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3606" w14:textId="2CBD46FA" w:rsidR="001C78BA" w:rsidRDefault="0050779D" w:rsidP="001C78BA">
      <w:bookmarkStart w:id="0" w:name="_GoBack"/>
      <w:bookmarkEnd w:id="0"/>
      <w:r>
        <w:rPr>
          <w:noProof/>
        </w:rPr>
        <w:drawing>
          <wp:anchor distT="0" distB="0" distL="114300" distR="114300" simplePos="0" relativeHeight="251657728" behindDoc="0" locked="0" layoutInCell="1" allowOverlap="1" wp14:anchorId="4DA66B73" wp14:editId="1866649D">
            <wp:simplePos x="0" y="0"/>
            <wp:positionH relativeFrom="margin">
              <wp:align>center</wp:align>
            </wp:positionH>
            <wp:positionV relativeFrom="margin">
              <wp:align>top</wp:align>
            </wp:positionV>
            <wp:extent cx="1896745" cy="914400"/>
            <wp:effectExtent l="0" t="0" r="8255" b="0"/>
            <wp:wrapSquare wrapText="bothSides"/>
            <wp:docPr id="2" name="Picture 2" descr="w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tflogo"/>
                    <pic:cNvPicPr>
                      <a:picLocks noChangeAspect="1" noChangeArrowheads="1"/>
                    </pic:cNvPicPr>
                  </pic:nvPicPr>
                  <pic:blipFill>
                    <a:blip r:embed="rId8">
                      <a:extLst>
                        <a:ext uri="{28A0092B-C50C-407E-A947-70E740481C1C}">
                          <a14:useLocalDpi xmlns:a14="http://schemas.microsoft.com/office/drawing/2010/main" val="0"/>
                        </a:ext>
                      </a:extLst>
                    </a:blip>
                    <a:srcRect l="17549" t="22020" r="18993" b="24509"/>
                    <a:stretch>
                      <a:fillRect/>
                    </a:stretch>
                  </pic:blipFill>
                  <pic:spPr bwMode="auto">
                    <a:xfrm>
                      <a:off x="0" y="0"/>
                      <a:ext cx="18967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34C" w14:textId="77777777" w:rsidR="001C78BA" w:rsidRDefault="001C78BA" w:rsidP="001C78BA"/>
    <w:p w14:paraId="7D3F12C2" w14:textId="77777777" w:rsidR="001C78BA" w:rsidRDefault="001C78BA" w:rsidP="001C78BA"/>
    <w:p w14:paraId="77BF88BF" w14:textId="77777777" w:rsidR="001C78BA" w:rsidRDefault="001C78BA" w:rsidP="001C78BA"/>
    <w:p w14:paraId="09EDF35D" w14:textId="77777777" w:rsidR="001C78BA" w:rsidRDefault="001C78BA" w:rsidP="001C78BA"/>
    <w:p w14:paraId="089DE086" w14:textId="77777777" w:rsidR="001C78BA" w:rsidRDefault="001C78BA" w:rsidP="001C78BA"/>
    <w:p w14:paraId="2BBB2ED3" w14:textId="23C83446" w:rsidR="001C78BA" w:rsidRDefault="007363BE" w:rsidP="001C78BA">
      <w:pPr>
        <w:jc w:val="right"/>
      </w:pPr>
      <w:r>
        <w:t xml:space="preserve">July </w:t>
      </w:r>
      <w:r w:rsidR="009A2984">
        <w:t>11</w:t>
      </w:r>
      <w:r w:rsidR="00B35A32">
        <w:t>, 201</w:t>
      </w:r>
      <w:r w:rsidR="00E23093">
        <w:t>4</w:t>
      </w:r>
    </w:p>
    <w:p w14:paraId="47002CB1" w14:textId="77777777" w:rsidR="001C78BA" w:rsidRDefault="001C78BA" w:rsidP="001C78BA"/>
    <w:p w14:paraId="6CBF6C8C" w14:textId="77777777" w:rsidR="001C78BA" w:rsidRPr="0070046C" w:rsidRDefault="001C78BA" w:rsidP="001C78BA">
      <w:pPr>
        <w:jc w:val="center"/>
        <w:rPr>
          <w:sz w:val="44"/>
        </w:rPr>
      </w:pPr>
      <w:r w:rsidRPr="0070046C">
        <w:rPr>
          <w:sz w:val="44"/>
        </w:rPr>
        <w:t>Western Power Issues Roundtable</w:t>
      </w:r>
    </w:p>
    <w:p w14:paraId="06B4266E" w14:textId="540456E1" w:rsidR="001C78BA" w:rsidRPr="0070046C" w:rsidRDefault="001C78BA" w:rsidP="001C78BA">
      <w:pPr>
        <w:jc w:val="center"/>
        <w:rPr>
          <w:sz w:val="36"/>
        </w:rPr>
      </w:pPr>
      <w:r>
        <w:rPr>
          <w:sz w:val="36"/>
        </w:rPr>
        <w:t>Friday</w:t>
      </w:r>
      <w:r w:rsidRPr="0070046C">
        <w:rPr>
          <w:sz w:val="36"/>
        </w:rPr>
        <w:t xml:space="preserve">, August </w:t>
      </w:r>
      <w:r w:rsidR="00E23093">
        <w:rPr>
          <w:sz w:val="36"/>
        </w:rPr>
        <w:t>1</w:t>
      </w:r>
      <w:r w:rsidRPr="0070046C">
        <w:rPr>
          <w:sz w:val="36"/>
        </w:rPr>
        <w:t>, 201</w:t>
      </w:r>
      <w:r w:rsidR="00E23093">
        <w:rPr>
          <w:sz w:val="36"/>
        </w:rPr>
        <w:t>4</w:t>
      </w:r>
    </w:p>
    <w:p w14:paraId="48330F45" w14:textId="77777777" w:rsidR="001C78BA" w:rsidRPr="00521145" w:rsidRDefault="001C78BA" w:rsidP="001C78BA">
      <w:pPr>
        <w:jc w:val="center"/>
        <w:rPr>
          <w:sz w:val="28"/>
        </w:rPr>
      </w:pPr>
      <w:r w:rsidRPr="00521145">
        <w:rPr>
          <w:sz w:val="28"/>
        </w:rPr>
        <w:t>Offices of Skadden Arps LLP</w:t>
      </w:r>
    </w:p>
    <w:p w14:paraId="69DDA494" w14:textId="77777777" w:rsidR="001C78BA" w:rsidRPr="000727D1" w:rsidRDefault="001C78BA" w:rsidP="001C78BA">
      <w:pPr>
        <w:jc w:val="center"/>
        <w:rPr>
          <w:sz w:val="28"/>
        </w:rPr>
      </w:pPr>
      <w:r w:rsidRPr="000727D1">
        <w:rPr>
          <w:sz w:val="28"/>
        </w:rPr>
        <w:t>700 14</w:t>
      </w:r>
      <w:r w:rsidRPr="00BC4B36">
        <w:rPr>
          <w:sz w:val="28"/>
          <w:vertAlign w:val="superscript"/>
        </w:rPr>
        <w:t>th</w:t>
      </w:r>
      <w:r w:rsidRPr="000727D1">
        <w:rPr>
          <w:sz w:val="28"/>
        </w:rPr>
        <w:t xml:space="preserve"> St., N.W.</w:t>
      </w:r>
    </w:p>
    <w:p w14:paraId="76FFABC9" w14:textId="77777777" w:rsidR="001C78BA" w:rsidRPr="000727D1" w:rsidRDefault="001C78BA" w:rsidP="001C78BA">
      <w:pPr>
        <w:jc w:val="center"/>
        <w:rPr>
          <w:sz w:val="28"/>
        </w:rPr>
      </w:pPr>
      <w:r w:rsidRPr="000727D1">
        <w:rPr>
          <w:sz w:val="28"/>
        </w:rPr>
        <w:t>Washington DC 20005</w:t>
      </w:r>
    </w:p>
    <w:p w14:paraId="496E3F0C" w14:textId="35F56C02" w:rsidR="001C78BA" w:rsidRPr="000727D1" w:rsidRDefault="001C78BA" w:rsidP="001C78BA">
      <w:pPr>
        <w:jc w:val="center"/>
        <w:rPr>
          <w:sz w:val="28"/>
        </w:rPr>
      </w:pPr>
      <w:r w:rsidRPr="000727D1">
        <w:rPr>
          <w:sz w:val="28"/>
        </w:rPr>
        <w:t xml:space="preserve">Room 11-AB; </w:t>
      </w:r>
      <w:r w:rsidR="00447A30">
        <w:rPr>
          <w:sz w:val="28"/>
        </w:rPr>
        <w:t>9</w:t>
      </w:r>
      <w:r w:rsidRPr="000727D1">
        <w:rPr>
          <w:sz w:val="28"/>
        </w:rPr>
        <w:t xml:space="preserve"> a.m. – 3:00 p.m.</w:t>
      </w:r>
    </w:p>
    <w:p w14:paraId="2575811C" w14:textId="77777777" w:rsidR="001C78BA" w:rsidRPr="00521145" w:rsidRDefault="001C78BA" w:rsidP="001C78BA">
      <w:pPr>
        <w:jc w:val="center"/>
        <w:rPr>
          <w:sz w:val="28"/>
        </w:rPr>
      </w:pPr>
    </w:p>
    <w:p w14:paraId="27E6C92B" w14:textId="7C88CB4A" w:rsidR="001C78BA" w:rsidRDefault="00B35A32" w:rsidP="001C78BA">
      <w:r>
        <w:t>T</w:t>
      </w:r>
      <w:r w:rsidR="001C78BA" w:rsidRPr="0070046C">
        <w:t>he Western Power Trading Forum (WPTF)</w:t>
      </w:r>
      <w:r w:rsidR="001C78BA">
        <w:t xml:space="preserve"> </w:t>
      </w:r>
      <w:r w:rsidR="001C78BA" w:rsidRPr="0070046C">
        <w:t xml:space="preserve">will conduct </w:t>
      </w:r>
      <w:r>
        <w:t xml:space="preserve">once again </w:t>
      </w:r>
      <w:r w:rsidR="001C78BA" w:rsidRPr="0070046C">
        <w:t xml:space="preserve">a roundtable on Western Power Issues for the benefit of </w:t>
      </w:r>
      <w:r w:rsidR="001C78BA">
        <w:t>the trade group</w:t>
      </w:r>
      <w:r w:rsidR="001C78BA" w:rsidRPr="0070046C">
        <w:t xml:space="preserve"> members and invited </w:t>
      </w:r>
      <w:r>
        <w:t xml:space="preserve">industry </w:t>
      </w:r>
      <w:r w:rsidR="001C78BA" w:rsidRPr="0070046C">
        <w:t xml:space="preserve">guests. </w:t>
      </w:r>
      <w:r w:rsidR="00A60CC2">
        <w:t>The roundtable format has proven</w:t>
      </w:r>
      <w:r w:rsidR="001C78BA">
        <w:t xml:space="preserve"> highly successful in airing what otherwise are complex issues in a collegial fashion that allow participants to ask questions and engage in meaningful dialogue. This session will have three broad topics:</w:t>
      </w:r>
    </w:p>
    <w:p w14:paraId="5BC040B9" w14:textId="7137F3A9" w:rsidR="001C78BA" w:rsidRDefault="00E23093" w:rsidP="001C78BA">
      <w:pPr>
        <w:numPr>
          <w:ilvl w:val="0"/>
          <w:numId w:val="1"/>
        </w:numPr>
      </w:pPr>
      <w:r>
        <w:t>CAISO’s Fifteen Minute Market: As Planned or Unintended Consequences?</w:t>
      </w:r>
    </w:p>
    <w:p w14:paraId="797FEBB2" w14:textId="2909E378" w:rsidR="001C78BA" w:rsidRPr="004A14FD" w:rsidRDefault="00934B06" w:rsidP="001C78BA">
      <w:pPr>
        <w:numPr>
          <w:ilvl w:val="0"/>
          <w:numId w:val="1"/>
        </w:numPr>
      </w:pPr>
      <w:r w:rsidRPr="004A14FD">
        <w:t>EPA’s Proposed Carbon Rules—Fragmenting Electricity Markets?</w:t>
      </w:r>
    </w:p>
    <w:p w14:paraId="3B81FA7C" w14:textId="704D47B5" w:rsidR="001C78BA" w:rsidRPr="00BC4B36" w:rsidRDefault="001A1E1C" w:rsidP="001C78BA">
      <w:pPr>
        <w:numPr>
          <w:ilvl w:val="0"/>
          <w:numId w:val="1"/>
        </w:numPr>
      </w:pPr>
      <w:r>
        <w:t>Electricity/Gas Coordination in the West</w:t>
      </w:r>
    </w:p>
    <w:p w14:paraId="04733367" w14:textId="77777777" w:rsidR="001C78BA" w:rsidRDefault="001C78BA" w:rsidP="001C78BA"/>
    <w:p w14:paraId="5287AD6A" w14:textId="5A38628F" w:rsidR="001C78BA" w:rsidRPr="0070046C" w:rsidRDefault="001C78BA" w:rsidP="001C78BA">
      <w:r>
        <w:lastRenderedPageBreak/>
        <w:t xml:space="preserve">Our roundtable format has been well received and the </w:t>
      </w:r>
      <w:r w:rsidR="00B35A32">
        <w:t>attendees</w:t>
      </w:r>
      <w:r>
        <w:t xml:space="preserve"> tell me they learn more in </w:t>
      </w:r>
      <w:r w:rsidR="00B35A32">
        <w:t>a few hours</w:t>
      </w:r>
      <w:r>
        <w:t xml:space="preserve"> than they ever thought possible.  T</w:t>
      </w:r>
      <w:r w:rsidRPr="0070046C">
        <w:t xml:space="preserve">he agenda for the August </w:t>
      </w:r>
      <w:r w:rsidR="00E23093">
        <w:t>1</w:t>
      </w:r>
      <w:r w:rsidRPr="0070046C">
        <w:t xml:space="preserve"> meeting </w:t>
      </w:r>
      <w:r w:rsidR="00E23093">
        <w:t xml:space="preserve">found </w:t>
      </w:r>
      <w:r>
        <w:t xml:space="preserve">on page 3, </w:t>
      </w:r>
      <w:r w:rsidRPr="0070046C">
        <w:t>below</w:t>
      </w:r>
      <w:r>
        <w:t>,</w:t>
      </w:r>
      <w:r w:rsidR="009D3E48">
        <w:t xml:space="preserve"> will encourage</w:t>
      </w:r>
      <w:r w:rsidRPr="0070046C">
        <w:t xml:space="preserve"> lively discussion</w:t>
      </w:r>
      <w:r w:rsidR="009D3E48">
        <w:t>s</w:t>
      </w:r>
      <w:r w:rsidRPr="0070046C">
        <w:t>.  A lunch will be hosted by WPTF</w:t>
      </w:r>
      <w:r w:rsidR="004A14FD">
        <w:t>,</w:t>
      </w:r>
      <w:r w:rsidR="009D3E48">
        <w:t xml:space="preserve"> and a reception </w:t>
      </w:r>
      <w:r w:rsidR="004A14FD">
        <w:t xml:space="preserve">will be held </w:t>
      </w:r>
      <w:r w:rsidR="009D3E48">
        <w:t>immediately following the roundtable hosted by Skadden Arps and WPTF</w:t>
      </w:r>
      <w:r w:rsidRPr="0070046C">
        <w:t>.   I look forward to seeing you there.</w:t>
      </w:r>
    </w:p>
    <w:p w14:paraId="3A14A1C9" w14:textId="77777777" w:rsidR="001C78BA" w:rsidRPr="0070046C" w:rsidRDefault="001C78BA" w:rsidP="001C78BA"/>
    <w:p w14:paraId="448F7389" w14:textId="77777777" w:rsidR="001C78BA" w:rsidRPr="0070046C" w:rsidRDefault="001C78BA" w:rsidP="001C78BA">
      <w:r w:rsidRPr="0070046C">
        <w:t>Sincerely,</w:t>
      </w:r>
    </w:p>
    <w:p w14:paraId="4E502E9A" w14:textId="77777777" w:rsidR="001C78BA" w:rsidRPr="0070046C" w:rsidRDefault="001C78BA" w:rsidP="001C78BA"/>
    <w:p w14:paraId="7518AFFF" w14:textId="77777777" w:rsidR="001C78BA" w:rsidRPr="0070046C" w:rsidRDefault="001C78BA" w:rsidP="001C78BA"/>
    <w:p w14:paraId="4F24B29C" w14:textId="77777777" w:rsidR="001C78BA" w:rsidRPr="0070046C" w:rsidRDefault="001C78BA" w:rsidP="001C78BA">
      <w:r w:rsidRPr="0070046C">
        <w:t>Gary B. Ackerman</w:t>
      </w:r>
    </w:p>
    <w:p w14:paraId="4DE4F6F1" w14:textId="77777777" w:rsidR="001C78BA" w:rsidRPr="0070046C" w:rsidRDefault="001C78BA" w:rsidP="001C78BA">
      <w:r w:rsidRPr="0070046C">
        <w:t>Executive Director</w:t>
      </w:r>
    </w:p>
    <w:p w14:paraId="63E26772" w14:textId="3167DB70" w:rsidR="001C78BA" w:rsidRPr="001F54E1" w:rsidRDefault="001C78BA" w:rsidP="001C78BA">
      <w:pPr>
        <w:jc w:val="center"/>
        <w:rPr>
          <w:b/>
          <w:i/>
          <w:u w:val="single"/>
        </w:rPr>
      </w:pPr>
      <w:r w:rsidRPr="0070046C">
        <w:br w:type="page"/>
      </w:r>
      <w:r w:rsidR="00E23093">
        <w:rPr>
          <w:b/>
          <w:i/>
          <w:u w:val="single"/>
        </w:rPr>
        <w:lastRenderedPageBreak/>
        <w:t>Invited</w:t>
      </w:r>
      <w:r w:rsidRPr="001F54E1">
        <w:rPr>
          <w:b/>
          <w:i/>
          <w:u w:val="single"/>
        </w:rPr>
        <w:t xml:space="preserve"> </w:t>
      </w:r>
      <w:r w:rsidR="00E23093">
        <w:rPr>
          <w:b/>
          <w:i/>
          <w:u w:val="single"/>
        </w:rPr>
        <w:t>Participants</w:t>
      </w:r>
    </w:p>
    <w:p w14:paraId="7FA76FD4" w14:textId="0BAD010A" w:rsidR="001C78BA" w:rsidRPr="00FC79EF" w:rsidRDefault="001C78BA" w:rsidP="001C78BA">
      <w:pPr>
        <w:rPr>
          <w:b/>
          <w:i/>
          <w:sz w:val="28"/>
        </w:rPr>
      </w:pPr>
      <w:r w:rsidRPr="00AB6EE0">
        <w:rPr>
          <w:b/>
        </w:rPr>
        <w:t xml:space="preserve"> </w:t>
      </w:r>
      <w:r w:rsidR="00634EB7">
        <w:rPr>
          <w:b/>
        </w:rPr>
        <w:t xml:space="preserve">* </w:t>
      </w:r>
      <w:r w:rsidRPr="00AB6EE0">
        <w:rPr>
          <w:b/>
        </w:rPr>
        <w:t>designates confirmed participant or observer</w:t>
      </w:r>
    </w:p>
    <w:p w14:paraId="557A1C0A" w14:textId="77777777" w:rsidR="001C78BA" w:rsidRPr="0070046C" w:rsidRDefault="001C78BA" w:rsidP="001C78BA">
      <w:r w:rsidRPr="00FC79EF">
        <w:rPr>
          <w:b/>
          <w:i/>
          <w:sz w:val="28"/>
        </w:rPr>
        <w:t>Industry Guests</w:t>
      </w:r>
    </w:p>
    <w:p w14:paraId="48928792" w14:textId="77777777" w:rsidR="001C78BA" w:rsidRPr="0070046C" w:rsidRDefault="001C78BA" w:rsidP="001C78BA">
      <w:pPr>
        <w:sectPr w:rsidR="001C78BA" w:rsidRPr="0070046C">
          <w:footerReference w:type="default" r:id="rId9"/>
          <w:pgSz w:w="12240" w:h="15840"/>
          <w:pgMar w:top="1440" w:right="1800" w:bottom="1440" w:left="1800" w:header="720" w:footer="720" w:gutter="0"/>
          <w:cols w:space="720"/>
        </w:sectPr>
      </w:pPr>
    </w:p>
    <w:p w14:paraId="70ABC84D" w14:textId="05307FF7" w:rsidR="0062617C" w:rsidRDefault="0062617C" w:rsidP="00AB2B7D">
      <w:r>
        <w:lastRenderedPageBreak/>
        <w:t>*</w:t>
      </w:r>
      <w:r w:rsidR="009074D6">
        <w:t>Jeb Stenhouse</w:t>
      </w:r>
      <w:r>
        <w:t>, EPA</w:t>
      </w:r>
    </w:p>
    <w:p w14:paraId="33491288" w14:textId="18F5FD00" w:rsidR="00AB2B7D" w:rsidRDefault="000D6E36" w:rsidP="00AB2B7D">
      <w:r>
        <w:t>*</w:t>
      </w:r>
      <w:r w:rsidR="00AB2B7D">
        <w:t>Professor Ben Hobbs, Johns Hopkins</w:t>
      </w:r>
    </w:p>
    <w:p w14:paraId="1596AB13" w14:textId="3CA2B604" w:rsidR="00BF24A0" w:rsidRDefault="002B31A6" w:rsidP="00AB2B7D">
      <w:r>
        <w:t>*</w:t>
      </w:r>
      <w:r w:rsidR="00BF24A0">
        <w:t>Scott Harvey, FTI Consulting</w:t>
      </w:r>
    </w:p>
    <w:p w14:paraId="6E91F587" w14:textId="4029F545" w:rsidR="001A1E1C" w:rsidRDefault="004A14FD" w:rsidP="00AB2B7D">
      <w:r>
        <w:t>*</w:t>
      </w:r>
      <w:r w:rsidR="001A1E1C">
        <w:t>Brad Bouillon, CAISO</w:t>
      </w:r>
    </w:p>
    <w:p w14:paraId="428E36E6" w14:textId="2B033342" w:rsidR="00744A8E" w:rsidRDefault="00F800FB" w:rsidP="00AB2B7D">
      <w:r>
        <w:t>*</w:t>
      </w:r>
      <w:r w:rsidR="00744A8E">
        <w:t>Brad Cooper, CAISO</w:t>
      </w:r>
    </w:p>
    <w:p w14:paraId="5D2A7F4C" w14:textId="2EC342CE" w:rsidR="00B35A32" w:rsidRDefault="00B35A32" w:rsidP="001C78BA">
      <w:r>
        <w:t>*Ellen Wolfe, Resero Consulting</w:t>
      </w:r>
    </w:p>
    <w:p w14:paraId="43BF535B" w14:textId="710D9526" w:rsidR="00CB72E9" w:rsidRPr="0070046C" w:rsidRDefault="001A1E1C" w:rsidP="001C78BA">
      <w:pPr>
        <w:sectPr w:rsidR="00CB72E9" w:rsidRPr="0070046C" w:rsidSect="001C78BA">
          <w:type w:val="continuous"/>
          <w:pgSz w:w="12240" w:h="15840"/>
          <w:pgMar w:top="1440" w:right="1800" w:bottom="1440" w:left="1800" w:header="720" w:footer="720" w:gutter="0"/>
          <w:cols w:num="2" w:space="720" w:equalWidth="0">
            <w:col w:w="3960" w:space="720"/>
            <w:col w:w="3960"/>
          </w:cols>
        </w:sectPr>
      </w:pPr>
      <w:r>
        <w:t>*</w:t>
      </w:r>
      <w:r w:rsidR="00CB72E9">
        <w:t>Clare Breidenich, WPTF</w:t>
      </w:r>
    </w:p>
    <w:p w14:paraId="6288FE07" w14:textId="77777777" w:rsidR="001C78BA" w:rsidRPr="0070046C" w:rsidRDefault="001C78BA" w:rsidP="001C78BA"/>
    <w:p w14:paraId="3C863D8B" w14:textId="77777777" w:rsidR="001C78BA" w:rsidRPr="0002746A" w:rsidRDefault="001C78BA" w:rsidP="001C78BA">
      <w:pPr>
        <w:rPr>
          <w:b/>
          <w:i/>
          <w:sz w:val="28"/>
        </w:rPr>
      </w:pPr>
      <w:r w:rsidRPr="0002746A">
        <w:rPr>
          <w:b/>
          <w:i/>
          <w:sz w:val="28"/>
        </w:rPr>
        <w:t>FERC Staff</w:t>
      </w:r>
    </w:p>
    <w:p w14:paraId="04F3BFA9" w14:textId="77777777" w:rsidR="001C78BA" w:rsidRPr="0070046C" w:rsidRDefault="001C78BA" w:rsidP="001C78BA">
      <w:pPr>
        <w:sectPr w:rsidR="001C78BA" w:rsidRPr="0070046C" w:rsidSect="001C78BA">
          <w:type w:val="continuous"/>
          <w:pgSz w:w="12240" w:h="15840"/>
          <w:pgMar w:top="1440" w:right="1800" w:bottom="1440" w:left="1800" w:header="720" w:footer="720" w:gutter="0"/>
          <w:cols w:space="720"/>
        </w:sectPr>
      </w:pPr>
    </w:p>
    <w:p w14:paraId="52CEB29B" w14:textId="2101AF95" w:rsidR="00E5019E" w:rsidRDefault="002F3DD9" w:rsidP="001C78BA">
      <w:r>
        <w:lastRenderedPageBreak/>
        <w:t>*</w:t>
      </w:r>
      <w:r w:rsidR="00E5019E">
        <w:t>Arnie Quinn</w:t>
      </w:r>
    </w:p>
    <w:p w14:paraId="4EAF8B0C" w14:textId="1300A25E" w:rsidR="00C37579" w:rsidRPr="002375EA" w:rsidRDefault="00744A8E" w:rsidP="001C78BA">
      <w:r>
        <w:t>*</w:t>
      </w:r>
      <w:r w:rsidR="00C37579">
        <w:t>Steve Rodgers</w:t>
      </w:r>
    </w:p>
    <w:p w14:paraId="5976E12F" w14:textId="77777777" w:rsidR="001C78BA" w:rsidRPr="0070046C" w:rsidRDefault="001C78BA" w:rsidP="001C78BA">
      <w:pPr>
        <w:sectPr w:rsidR="001C78BA" w:rsidRPr="0070046C" w:rsidSect="001C78BA">
          <w:type w:val="continuous"/>
          <w:pgSz w:w="12240" w:h="15840"/>
          <w:pgMar w:top="1440" w:right="1800" w:bottom="1440" w:left="1800" w:header="720" w:footer="720" w:gutter="0"/>
          <w:cols w:num="2" w:space="720" w:equalWidth="0">
            <w:col w:w="3960" w:space="720"/>
            <w:col w:w="3960"/>
          </w:cols>
        </w:sectPr>
      </w:pPr>
    </w:p>
    <w:p w14:paraId="40A9BED6" w14:textId="77777777" w:rsidR="001C78BA" w:rsidRDefault="001C78BA" w:rsidP="001C78BA">
      <w:pPr>
        <w:rPr>
          <w:b/>
          <w:i/>
          <w:spacing w:val="26"/>
          <w:sz w:val="28"/>
        </w:rPr>
      </w:pPr>
    </w:p>
    <w:p w14:paraId="4B0AEDC2" w14:textId="7C164403" w:rsidR="001C78BA" w:rsidRPr="0070046C" w:rsidRDefault="001C78BA" w:rsidP="001C78BA">
      <w:r w:rsidRPr="00FC79EF">
        <w:rPr>
          <w:b/>
          <w:i/>
          <w:spacing w:val="26"/>
          <w:sz w:val="28"/>
        </w:rPr>
        <w:t>WPTF</w:t>
      </w:r>
      <w:r w:rsidR="00E84055">
        <w:rPr>
          <w:b/>
          <w:i/>
          <w:spacing w:val="26"/>
          <w:sz w:val="28"/>
        </w:rPr>
        <w:t xml:space="preserve"> </w:t>
      </w:r>
      <w:r w:rsidRPr="00FC79EF">
        <w:rPr>
          <w:b/>
          <w:i/>
          <w:spacing w:val="26"/>
          <w:sz w:val="28"/>
        </w:rPr>
        <w:t>Member Participants</w:t>
      </w:r>
    </w:p>
    <w:p w14:paraId="7D501965" w14:textId="77777777" w:rsidR="001C78BA" w:rsidRPr="0070046C" w:rsidRDefault="001C78BA">
      <w:pPr>
        <w:sectPr w:rsidR="001C78BA" w:rsidRPr="0070046C">
          <w:footerReference w:type="default" r:id="rId10"/>
          <w:type w:val="continuous"/>
          <w:pgSz w:w="12240" w:h="15840"/>
          <w:pgMar w:top="1440" w:right="1800" w:bottom="1440" w:left="1800" w:header="720" w:footer="720" w:gutter="0"/>
          <w:cols w:space="720"/>
        </w:sectPr>
      </w:pPr>
    </w:p>
    <w:p w14:paraId="04EB2371" w14:textId="2E9DA499" w:rsidR="001C78BA" w:rsidRPr="0070046C" w:rsidRDefault="00DB283E">
      <w:r>
        <w:lastRenderedPageBreak/>
        <w:t>*</w:t>
      </w:r>
      <w:r w:rsidR="001C78BA" w:rsidRPr="0070046C">
        <w:t>John Estes, Skadden Arps</w:t>
      </w:r>
    </w:p>
    <w:p w14:paraId="4BBB6152" w14:textId="2474E71F" w:rsidR="001C78BA" w:rsidRPr="0070046C" w:rsidRDefault="002D7F75">
      <w:r>
        <w:t>*</w:t>
      </w:r>
      <w:r w:rsidR="001C78BA" w:rsidRPr="0070046C">
        <w:t>Harry Singh, Goldman Sachs</w:t>
      </w:r>
    </w:p>
    <w:p w14:paraId="7B6A077C" w14:textId="77777777" w:rsidR="0062617C" w:rsidRDefault="0062617C" w:rsidP="0062617C">
      <w:r>
        <w:t>*Peter Colussy, Xcel Energy</w:t>
      </w:r>
    </w:p>
    <w:p w14:paraId="64B9D6B2" w14:textId="657DDF03" w:rsidR="001C78BA" w:rsidRPr="00521145" w:rsidRDefault="000D6E36">
      <w:r>
        <w:t>*</w:t>
      </w:r>
      <w:r w:rsidR="001C78BA" w:rsidRPr="00521145">
        <w:t>Bruce Bleiweis, DC Energy</w:t>
      </w:r>
    </w:p>
    <w:p w14:paraId="2DAE0C9F" w14:textId="75EB035C" w:rsidR="0062617C" w:rsidRDefault="00CA7821">
      <w:r>
        <w:t>*</w:t>
      </w:r>
      <w:r w:rsidR="0062617C">
        <w:t>Sarah Novasel, Calpine</w:t>
      </w:r>
    </w:p>
    <w:p w14:paraId="17EB4F51" w14:textId="77777777" w:rsidR="00CA7821" w:rsidRDefault="00CA7821" w:rsidP="00CA7821">
      <w:r>
        <w:t>*Brian Theaker, NRG</w:t>
      </w:r>
    </w:p>
    <w:p w14:paraId="497A9835" w14:textId="0D9783CC" w:rsidR="001C78BA" w:rsidRDefault="006D653F">
      <w:r>
        <w:t>*Michael Evans, Shell</w:t>
      </w:r>
      <w:r w:rsidR="001C78BA">
        <w:t xml:space="preserve"> </w:t>
      </w:r>
    </w:p>
    <w:p w14:paraId="52597E31" w14:textId="5BAFC8CD" w:rsidR="00E5524F" w:rsidRDefault="001A1E1C">
      <w:r>
        <w:t>*</w:t>
      </w:r>
      <w:r w:rsidR="00B35A32">
        <w:t>Laura Beane</w:t>
      </w:r>
      <w:r w:rsidR="00E5524F">
        <w:t>, Iberdrola</w:t>
      </w:r>
    </w:p>
    <w:p w14:paraId="48040E7B" w14:textId="350D9FA4" w:rsidR="00B35A32" w:rsidRDefault="0062617C">
      <w:r>
        <w:t>*</w:t>
      </w:r>
      <w:r w:rsidR="00E23093">
        <w:t>Dede Hapner</w:t>
      </w:r>
      <w:r w:rsidR="00B35A32">
        <w:t>, PG&amp;E</w:t>
      </w:r>
    </w:p>
    <w:p w14:paraId="1A10B87C" w14:textId="0E821EA7" w:rsidR="00811C0F" w:rsidRDefault="00811C0F">
      <w:r>
        <w:t>*Mel Christopher, PG&amp;E</w:t>
      </w:r>
    </w:p>
    <w:p w14:paraId="3212F838" w14:textId="298EE4BE" w:rsidR="00DE50B5" w:rsidRDefault="00AE56F1">
      <w:r>
        <w:t>*</w:t>
      </w:r>
      <w:r w:rsidR="00E23093">
        <w:t>Mason Emnet</w:t>
      </w:r>
      <w:r w:rsidR="00E5019E">
        <w:t>t</w:t>
      </w:r>
      <w:r w:rsidR="00DB283E">
        <w:t>, NextEra</w:t>
      </w:r>
    </w:p>
    <w:p w14:paraId="3D47DF8E" w14:textId="5ADE8F0D" w:rsidR="001C78BA" w:rsidRDefault="00140AD2">
      <w:r>
        <w:t>*</w:t>
      </w:r>
      <w:r w:rsidR="002B033D">
        <w:t>Adam Raphae</w:t>
      </w:r>
      <w:r w:rsidR="0030064B">
        <w:t>ly, Noble</w:t>
      </w:r>
      <w:r w:rsidR="00637F4F">
        <w:t xml:space="preserve"> Americas</w:t>
      </w:r>
    </w:p>
    <w:p w14:paraId="2CC6E671" w14:textId="77D454B4" w:rsidR="001C78BA" w:rsidRDefault="003F30AC">
      <w:r>
        <w:t>*</w:t>
      </w:r>
      <w:r w:rsidR="009977DC">
        <w:t>Randy Cullison, Tenaska</w:t>
      </w:r>
    </w:p>
    <w:p w14:paraId="56B993FB" w14:textId="5111513A" w:rsidR="00420DD2" w:rsidRDefault="00567E6B">
      <w:r>
        <w:t>*</w:t>
      </w:r>
      <w:r w:rsidR="00420DD2">
        <w:t>Steve Huhman, Morgan Stanley</w:t>
      </w:r>
    </w:p>
    <w:p w14:paraId="30BFE112" w14:textId="16F33CA0" w:rsidR="00A12588" w:rsidRDefault="00E93A9D">
      <w:r>
        <w:t>*Ron Moulton, WAPA</w:t>
      </w:r>
    </w:p>
    <w:p w14:paraId="5C13F5BE" w14:textId="295DAA26" w:rsidR="000501DE" w:rsidRDefault="00CA7821">
      <w:r>
        <w:t>*Steve Eckert</w:t>
      </w:r>
      <w:r w:rsidR="000501DE">
        <w:t>, Brookfield</w:t>
      </w:r>
    </w:p>
    <w:p w14:paraId="7C0E270B" w14:textId="3CAF3A6B" w:rsidR="000501DE" w:rsidRDefault="001A1E1C">
      <w:r>
        <w:t>*</w:t>
      </w:r>
      <w:r w:rsidR="000501DE">
        <w:t>Michael MacD</w:t>
      </w:r>
      <w:r w:rsidR="007A0DB3">
        <w:t>o</w:t>
      </w:r>
      <w:r w:rsidR="000501DE">
        <w:t>ugall, Powerex</w:t>
      </w:r>
    </w:p>
    <w:p w14:paraId="512D080F" w14:textId="66D78A8C" w:rsidR="000501DE" w:rsidRDefault="00CA7821">
      <w:r>
        <w:lastRenderedPageBreak/>
        <w:t>*John Fulkerson, PGE</w:t>
      </w:r>
    </w:p>
    <w:p w14:paraId="30DEA996" w14:textId="484CB398" w:rsidR="00811C0F" w:rsidRDefault="003A5F09">
      <w:r>
        <w:t>*</w:t>
      </w:r>
      <w:r w:rsidR="007363BE">
        <w:t>Paul Borkovich</w:t>
      </w:r>
      <w:r w:rsidR="00811C0F">
        <w:t>, SoCalGas</w:t>
      </w:r>
    </w:p>
    <w:p w14:paraId="1F625302" w14:textId="230784A0" w:rsidR="000501DE" w:rsidRDefault="001F4380">
      <w:r>
        <w:t>*Chris Bursaw, Capital Power</w:t>
      </w:r>
    </w:p>
    <w:p w14:paraId="3E063869" w14:textId="34F71BBD" w:rsidR="000501DE" w:rsidRDefault="00DE6112">
      <w:r>
        <w:t xml:space="preserve">*Greg </w:t>
      </w:r>
      <w:r w:rsidR="002B5CE4">
        <w:t>Wetstone</w:t>
      </w:r>
      <w:r w:rsidR="000501DE">
        <w:t>, Terra-Gen</w:t>
      </w:r>
    </w:p>
    <w:p w14:paraId="33E52ADB" w14:textId="77777777" w:rsidR="00221452" w:rsidRDefault="00221452" w:rsidP="00221452">
      <w:r>
        <w:t>*Andre Templeman, for LS Power</w:t>
      </w:r>
    </w:p>
    <w:p w14:paraId="04085436" w14:textId="13108B9B" w:rsidR="00DE6112" w:rsidRDefault="00503DC8" w:rsidP="00DE6112">
      <w:r>
        <w:t>*David Francis, EDF Trading</w:t>
      </w:r>
    </w:p>
    <w:p w14:paraId="035F8821" w14:textId="7B04D002" w:rsidR="00DE6112" w:rsidRDefault="0075086F" w:rsidP="00DE6112">
      <w:r>
        <w:t>*Mary Lynch, Exelon/Constellation</w:t>
      </w:r>
    </w:p>
    <w:p w14:paraId="0ADDB6D0" w14:textId="77777777" w:rsidR="009A2984" w:rsidRDefault="009A2984" w:rsidP="009A2984">
      <w:r>
        <w:t>*Braydon Boulanger, TransAlta</w:t>
      </w:r>
    </w:p>
    <w:p w14:paraId="786A545D" w14:textId="77777777" w:rsidR="001C78BA" w:rsidRPr="00FC79EF" w:rsidRDefault="001C78BA" w:rsidP="001C78BA">
      <w:pPr>
        <w:pBdr>
          <w:top w:val="single" w:sz="4" w:space="1" w:color="auto"/>
        </w:pBdr>
        <w:rPr>
          <w:b/>
          <w:i/>
          <w:sz w:val="28"/>
        </w:rPr>
        <w:sectPr w:rsidR="001C78BA" w:rsidRPr="00FC79EF" w:rsidSect="001C78BA">
          <w:type w:val="continuous"/>
          <w:pgSz w:w="12240" w:h="15840"/>
          <w:pgMar w:top="1440" w:right="1800" w:bottom="1440" w:left="1800" w:header="720" w:footer="720" w:gutter="0"/>
          <w:cols w:num="2" w:space="720" w:equalWidth="0">
            <w:col w:w="3960" w:space="720"/>
            <w:col w:w="3960"/>
          </w:cols>
        </w:sectPr>
      </w:pPr>
    </w:p>
    <w:p w14:paraId="27ED6594" w14:textId="20B72E23" w:rsidR="001C78BA" w:rsidRPr="00FC79EF" w:rsidRDefault="00B15D25" w:rsidP="001C78BA">
      <w:pPr>
        <w:pBdr>
          <w:top w:val="single" w:sz="4" w:space="1" w:color="auto"/>
        </w:pBdr>
        <w:rPr>
          <w:b/>
          <w:i/>
          <w:sz w:val="28"/>
        </w:rPr>
      </w:pPr>
      <w:r>
        <w:rPr>
          <w:b/>
          <w:i/>
          <w:sz w:val="28"/>
        </w:rPr>
        <w:lastRenderedPageBreak/>
        <w:t xml:space="preserve">Partial List of </w:t>
      </w:r>
      <w:r w:rsidR="001C78BA" w:rsidRPr="00FC79EF">
        <w:rPr>
          <w:b/>
          <w:i/>
          <w:sz w:val="28"/>
        </w:rPr>
        <w:t>Invited Observers</w:t>
      </w:r>
    </w:p>
    <w:p w14:paraId="595E98E9" w14:textId="77777777" w:rsidR="001C78BA" w:rsidRDefault="001C78BA">
      <w:pPr>
        <w:sectPr w:rsidR="001C78BA">
          <w:type w:val="continuous"/>
          <w:pgSz w:w="12240" w:h="15840"/>
          <w:pgMar w:top="1440" w:right="1800" w:bottom="1440" w:left="1800" w:header="720" w:footer="720" w:gutter="0"/>
          <w:cols w:space="720"/>
        </w:sectPr>
      </w:pPr>
    </w:p>
    <w:p w14:paraId="280B853B" w14:textId="65E927A4" w:rsidR="001C78BA" w:rsidRPr="00CE1EB2" w:rsidRDefault="002B31A6" w:rsidP="001C78BA">
      <w:r>
        <w:lastRenderedPageBreak/>
        <w:t>*</w:t>
      </w:r>
      <w:r w:rsidR="00DC3B8F">
        <w:t>Jamie Simler</w:t>
      </w:r>
      <w:r w:rsidR="001C78BA" w:rsidRPr="00CE1EB2">
        <w:t>, FERC</w:t>
      </w:r>
    </w:p>
    <w:p w14:paraId="29527C4B" w14:textId="64F3E2E0" w:rsidR="00E70FC2" w:rsidRDefault="00BD4FEC" w:rsidP="00E70FC2">
      <w:r>
        <w:t>*</w:t>
      </w:r>
      <w:r w:rsidR="00E70FC2">
        <w:t>Scott Miller, FERC</w:t>
      </w:r>
    </w:p>
    <w:p w14:paraId="192BD23E" w14:textId="6BC746CE" w:rsidR="00891CE6" w:rsidRPr="0070046C" w:rsidRDefault="00002A0E">
      <w:r>
        <w:t>*Len Tao</w:t>
      </w:r>
      <w:r w:rsidR="00891CE6">
        <w:t>, FERC</w:t>
      </w:r>
    </w:p>
    <w:p w14:paraId="30816B12" w14:textId="7378FEC1" w:rsidR="00A7774B" w:rsidRPr="0070046C" w:rsidRDefault="00002A0E" w:rsidP="00A7774B">
      <w:r>
        <w:t>*Sandra Waldstein</w:t>
      </w:r>
      <w:r w:rsidR="00A7774B">
        <w:t>, FERC</w:t>
      </w:r>
    </w:p>
    <w:p w14:paraId="7D0FE28B" w14:textId="42359FED" w:rsidR="001C78BA" w:rsidRPr="004E4295" w:rsidRDefault="00002A0E">
      <w:r>
        <w:t>*Ter</w:t>
      </w:r>
      <w:r w:rsidR="00E767AC">
        <w:t>e</w:t>
      </w:r>
      <w:r>
        <w:t>nce Burke</w:t>
      </w:r>
      <w:r w:rsidR="001C78BA" w:rsidRPr="004E4295">
        <w:t>, FERC</w:t>
      </w:r>
    </w:p>
    <w:p w14:paraId="6ABF2157" w14:textId="2D4BD403" w:rsidR="00F87630" w:rsidRDefault="00567E6B">
      <w:r>
        <w:t>*</w:t>
      </w:r>
      <w:r w:rsidR="00F87630">
        <w:t>Patricia Schaub, FERC</w:t>
      </w:r>
    </w:p>
    <w:p w14:paraId="6E8FFCB5" w14:textId="580CAAF2" w:rsidR="008D57BD" w:rsidRDefault="00C37E5F">
      <w:r>
        <w:t>*</w:t>
      </w:r>
      <w:r w:rsidR="002B3012">
        <w:t>Jette Gebhart</w:t>
      </w:r>
      <w:r w:rsidR="008D57BD">
        <w:t>, FERC</w:t>
      </w:r>
    </w:p>
    <w:p w14:paraId="74535A72" w14:textId="085192E7" w:rsidR="00CA5CD1" w:rsidRDefault="00E01188">
      <w:r>
        <w:t>*Robin Lunt</w:t>
      </w:r>
      <w:r w:rsidR="00CA5CD1">
        <w:t>, FERC</w:t>
      </w:r>
    </w:p>
    <w:p w14:paraId="7958BDFC" w14:textId="3C67AB9F" w:rsidR="00777B44" w:rsidRDefault="00C13FE4">
      <w:r>
        <w:t>*Heidi Werntz</w:t>
      </w:r>
      <w:r w:rsidR="00777B44">
        <w:t>, FERC</w:t>
      </w:r>
    </w:p>
    <w:p w14:paraId="5E3DD47B" w14:textId="12518BD2" w:rsidR="00E70FC2" w:rsidRDefault="007E4C54">
      <w:r>
        <w:t>*Elizabeth Arnold</w:t>
      </w:r>
      <w:r w:rsidR="00A7774B">
        <w:t>, FERC</w:t>
      </w:r>
    </w:p>
    <w:p w14:paraId="69375DA1" w14:textId="62763B1B" w:rsidR="009211B8" w:rsidRPr="004E4295" w:rsidRDefault="002B5CE4">
      <w:r>
        <w:t>*Christina Hayes</w:t>
      </w:r>
      <w:r w:rsidR="009211B8">
        <w:t>, FERC</w:t>
      </w:r>
    </w:p>
    <w:p w14:paraId="728A8B18" w14:textId="67CC0E97" w:rsidR="0062617C" w:rsidRDefault="00C37E5F" w:rsidP="0062617C">
      <w:r>
        <w:t>*John Shepherd, Skadden Arps</w:t>
      </w:r>
    </w:p>
    <w:p w14:paraId="48070C3B" w14:textId="58372ED6" w:rsidR="0062617C" w:rsidRDefault="00C37E5F" w:rsidP="0062617C">
      <w:r>
        <w:t>*Joel Newton, NextEra</w:t>
      </w:r>
    </w:p>
    <w:p w14:paraId="53ECCCD8" w14:textId="366DBB59" w:rsidR="00CA7821" w:rsidRDefault="00CA7821" w:rsidP="0062617C">
      <w:r>
        <w:t>*Andrew Sharer, NRG</w:t>
      </w:r>
    </w:p>
    <w:p w14:paraId="3E7B4E04" w14:textId="62971200" w:rsidR="00CA7821" w:rsidRDefault="00CA7821" w:rsidP="0062617C">
      <w:r>
        <w:t>*Taylor Roye, NRG</w:t>
      </w:r>
    </w:p>
    <w:p w14:paraId="76BAF398" w14:textId="77777777" w:rsidR="009A2984" w:rsidRDefault="009A2984" w:rsidP="0062617C">
      <w:r>
        <w:t>*Joe Cavicchi, Capital Power</w:t>
      </w:r>
    </w:p>
    <w:p w14:paraId="22E9E326" w14:textId="01BBF935" w:rsidR="00A653C8" w:rsidRDefault="00A653C8" w:rsidP="0062617C">
      <w:r>
        <w:t>*Joanna Perry, Capital Power</w:t>
      </w:r>
    </w:p>
    <w:p w14:paraId="37B5ED5B" w14:textId="25328353" w:rsidR="0062617C" w:rsidRDefault="000D6E36" w:rsidP="0062617C">
      <w:r>
        <w:t>*Mark Bryfogle, Consultant</w:t>
      </w:r>
    </w:p>
    <w:p w14:paraId="595F899C" w14:textId="473A0C48" w:rsidR="0062617C" w:rsidRDefault="000D6E36" w:rsidP="0062617C">
      <w:r>
        <w:t>*Mihai Cosman, Exelon</w:t>
      </w:r>
    </w:p>
    <w:p w14:paraId="16F268AB" w14:textId="16EAAED2" w:rsidR="0062617C" w:rsidRDefault="00E93A9D" w:rsidP="0062617C">
      <w:r>
        <w:t>*Mike McElhany, WAPA</w:t>
      </w:r>
    </w:p>
    <w:p w14:paraId="25B07EFE" w14:textId="717F9AB2" w:rsidR="0062617C" w:rsidRDefault="002B31A6" w:rsidP="0062617C">
      <w:r>
        <w:t>*Susan Pope, FTI Consulting</w:t>
      </w:r>
    </w:p>
    <w:p w14:paraId="71332ACC" w14:textId="6CC6735E" w:rsidR="00C01B52" w:rsidRDefault="002B5CE4">
      <w:r>
        <w:t>*</w:t>
      </w:r>
      <w:r w:rsidR="00C01B52">
        <w:t>Melissa Mitchell, EPSA</w:t>
      </w:r>
    </w:p>
    <w:p w14:paraId="33D34F81" w14:textId="483E501B" w:rsidR="002D7F75" w:rsidRDefault="00184649">
      <w:r>
        <w:t>*Andrew Ulmer</w:t>
      </w:r>
      <w:r w:rsidR="002D7F75">
        <w:t>, CAISO</w:t>
      </w:r>
    </w:p>
    <w:p w14:paraId="3B602BA2" w14:textId="5D1597C9" w:rsidR="00C618B4" w:rsidRDefault="008B6BDD">
      <w:r>
        <w:t>*Terri</w:t>
      </w:r>
      <w:r w:rsidR="00C618B4">
        <w:t xml:space="preserve"> Moreland, CAISO</w:t>
      </w:r>
    </w:p>
    <w:p w14:paraId="0E15C6FA" w14:textId="747F12D3" w:rsidR="00F36CF8" w:rsidRDefault="00F36CF8">
      <w:r>
        <w:lastRenderedPageBreak/>
        <w:t>*Julia Berg, Deloitte Services LP</w:t>
      </w:r>
    </w:p>
    <w:p w14:paraId="1F035C66" w14:textId="5EFC70EC" w:rsidR="009F7C02" w:rsidRDefault="009F7C02">
      <w:r>
        <w:t>*Jay Carriere, Berkshire Hathaway</w:t>
      </w:r>
    </w:p>
    <w:p w14:paraId="3E2C16A7" w14:textId="77777777" w:rsidR="009211B8" w:rsidRDefault="009211B8" w:rsidP="001C78BA">
      <w:pPr>
        <w:rPr>
          <w:b/>
        </w:rPr>
      </w:pPr>
    </w:p>
    <w:p w14:paraId="5B1590EB" w14:textId="2F092D26" w:rsidR="00F36CF8" w:rsidRPr="00AB6EE0" w:rsidRDefault="00F36CF8" w:rsidP="001C78BA">
      <w:pPr>
        <w:rPr>
          <w:b/>
        </w:rPr>
        <w:sectPr w:rsidR="00F36CF8" w:rsidRPr="00AB6EE0" w:rsidSect="001C78BA">
          <w:type w:val="continuous"/>
          <w:pgSz w:w="12240" w:h="15840"/>
          <w:pgMar w:top="1440" w:right="1800" w:bottom="1440" w:left="1800" w:header="720" w:footer="720" w:gutter="0"/>
          <w:cols w:num="2" w:space="720" w:equalWidth="0">
            <w:col w:w="3960" w:space="720"/>
            <w:col w:w="3960"/>
          </w:cols>
        </w:sectPr>
      </w:pPr>
    </w:p>
    <w:p w14:paraId="4DAE73F7" w14:textId="77777777" w:rsidR="002600F3" w:rsidRDefault="002600F3">
      <w:r>
        <w:lastRenderedPageBreak/>
        <w:br w:type="page"/>
      </w:r>
    </w:p>
    <w:p w14:paraId="06D537E6" w14:textId="5966894F" w:rsidR="001C78BA" w:rsidRDefault="001C78BA" w:rsidP="001C78BA">
      <w:pPr>
        <w:ind w:left="360"/>
        <w:jc w:val="center"/>
      </w:pPr>
      <w:r>
        <w:lastRenderedPageBreak/>
        <w:t>AGENDA</w:t>
      </w:r>
    </w:p>
    <w:p w14:paraId="3CCE2E46" w14:textId="77777777" w:rsidR="001C78BA" w:rsidRDefault="001C78BA">
      <w:r>
        <w:t xml:space="preserve">Unless noted otherwise, speakers will be allotted </w:t>
      </w:r>
      <w:r w:rsidRPr="00521145">
        <w:rPr>
          <w:b/>
        </w:rPr>
        <w:t>five minutes</w:t>
      </w:r>
      <w:r>
        <w:t xml:space="preserve"> for their remarks to help frame the issue, and there will be facilitated discussion for each panel’s balance of time. </w:t>
      </w:r>
    </w:p>
    <w:p w14:paraId="4185E886" w14:textId="77777777" w:rsidR="00534357" w:rsidRDefault="00534357">
      <w:pPr>
        <w:rPr>
          <w:u w:val="single"/>
        </w:rPr>
      </w:pPr>
    </w:p>
    <w:p w14:paraId="2FFDD121" w14:textId="2CF6DC7C" w:rsidR="001C78BA" w:rsidRDefault="00B15D25">
      <w:pPr>
        <w:rPr>
          <w:u w:val="single"/>
        </w:rPr>
      </w:pPr>
      <w:r>
        <w:rPr>
          <w:u w:val="single"/>
        </w:rPr>
        <w:t>9</w:t>
      </w:r>
      <w:r w:rsidR="001C78BA">
        <w:rPr>
          <w:u w:val="single"/>
        </w:rPr>
        <w:t>:00 a.m. Opening Remarks</w:t>
      </w:r>
      <w:r w:rsidR="00FD5BCB">
        <w:rPr>
          <w:u w:val="single"/>
        </w:rPr>
        <w:t xml:space="preserve"> (Meeting in Room 11-AB)</w:t>
      </w:r>
      <w:r w:rsidR="001C78BA">
        <w:rPr>
          <w:u w:val="single"/>
        </w:rPr>
        <w:t xml:space="preserve"> </w:t>
      </w:r>
    </w:p>
    <w:p w14:paraId="374CB010" w14:textId="77777777" w:rsidR="001C78BA" w:rsidRDefault="001C78BA"/>
    <w:p w14:paraId="140B1DD2" w14:textId="462F5429" w:rsidR="001C78BA" w:rsidRPr="001F54E1" w:rsidRDefault="00B15D25">
      <w:pPr>
        <w:rPr>
          <w:u w:val="single"/>
        </w:rPr>
      </w:pPr>
      <w:r>
        <w:rPr>
          <w:u w:val="single"/>
        </w:rPr>
        <w:t>9</w:t>
      </w:r>
      <w:r w:rsidR="001C78BA">
        <w:rPr>
          <w:u w:val="single"/>
        </w:rPr>
        <w:t>:15 a.m. First Panel</w:t>
      </w:r>
      <w:r w:rsidR="001C78BA" w:rsidRPr="00BC4B36">
        <w:rPr>
          <w:u w:val="single"/>
        </w:rPr>
        <w:t>:</w:t>
      </w:r>
      <w:r w:rsidRPr="00B15D25">
        <w:rPr>
          <w:u w:val="single"/>
        </w:rPr>
        <w:t xml:space="preserve"> Fifteen Minute Market: As Planned or Unintended Consequences?</w:t>
      </w:r>
      <w:r w:rsidR="001C78BA" w:rsidRPr="00463288">
        <w:rPr>
          <w:u w:val="single"/>
        </w:rPr>
        <w:t xml:space="preserve"> </w:t>
      </w:r>
    </w:p>
    <w:p w14:paraId="0983CA1F" w14:textId="34D2238C" w:rsidR="001C78BA" w:rsidRDefault="001A1E1C" w:rsidP="001C78BA">
      <w:r>
        <w:t xml:space="preserve">Last May the CAISO inaugurated a new Fifteen Minute Market (FMM) to comply with FERC Order 764 on sub-hourly scheduling.  The early results have elicited a swarm of comments from market participants that the FFM prices are too unpredictable and yield counter-intuitive results.  </w:t>
      </w:r>
      <w:r w:rsidR="002F3DD9">
        <w:t>M</w:t>
      </w:r>
      <w:r>
        <w:t>any importers are eschewing the FMM.</w:t>
      </w:r>
      <w:r w:rsidR="001C78BA">
        <w:t xml:space="preserve">   </w:t>
      </w:r>
      <w:r>
        <w:t xml:space="preserve">Did the </w:t>
      </w:r>
      <w:r w:rsidR="002F3DD9">
        <w:t>introduction</w:t>
      </w:r>
      <w:r>
        <w:t xml:space="preserve"> of a new market between the day-ahead and real-time transactions impart too much complexity and unintended consequences.  </w:t>
      </w:r>
      <w:r w:rsidR="00B35A32">
        <w:t>The panelists will be:</w:t>
      </w:r>
      <w:r w:rsidR="007F2D33">
        <w:t xml:space="preserve"> Ellen Wolfe, Resero </w:t>
      </w:r>
      <w:r w:rsidR="001C78BA">
        <w:t xml:space="preserve">… </w:t>
      </w:r>
      <w:r>
        <w:t>Laura Beane, Iberdrola … Mike MacDougall, Powerex</w:t>
      </w:r>
      <w:r w:rsidR="00744A8E">
        <w:t xml:space="preserve"> … Brad Cooper, CAISO.</w:t>
      </w:r>
    </w:p>
    <w:p w14:paraId="1FEDD005" w14:textId="77777777" w:rsidR="001C78BA" w:rsidRDefault="001C78BA"/>
    <w:p w14:paraId="0152119C" w14:textId="7C307D93" w:rsidR="001C78BA" w:rsidRPr="001F54E1" w:rsidRDefault="001A1E1C">
      <w:pPr>
        <w:rPr>
          <w:u w:val="single"/>
        </w:rPr>
      </w:pPr>
      <w:r>
        <w:rPr>
          <w:u w:val="single"/>
        </w:rPr>
        <w:t>10</w:t>
      </w:r>
      <w:r w:rsidR="001C78BA">
        <w:rPr>
          <w:u w:val="single"/>
        </w:rPr>
        <w:t>:</w:t>
      </w:r>
      <w:r w:rsidR="00EC4CD5">
        <w:rPr>
          <w:u w:val="single"/>
        </w:rPr>
        <w:t>30</w:t>
      </w:r>
      <w:r w:rsidR="001C78BA">
        <w:rPr>
          <w:u w:val="single"/>
        </w:rPr>
        <w:t xml:space="preserve"> a.m. Second Panel</w:t>
      </w:r>
      <w:r w:rsidR="001C78BA" w:rsidRPr="00B35A32">
        <w:rPr>
          <w:u w:val="single"/>
        </w:rPr>
        <w:t>:</w:t>
      </w:r>
      <w:r w:rsidR="00B15D25" w:rsidRPr="00B15D25">
        <w:rPr>
          <w:u w:val="single"/>
        </w:rPr>
        <w:t xml:space="preserve"> </w:t>
      </w:r>
      <w:r w:rsidR="00934B06" w:rsidRPr="00934B06">
        <w:rPr>
          <w:u w:val="single"/>
        </w:rPr>
        <w:t>EPA’s Proposed Carbon Rules</w:t>
      </w:r>
      <w:r w:rsidR="009D3E48">
        <w:rPr>
          <w:u w:val="single"/>
        </w:rPr>
        <w:t>—F</w:t>
      </w:r>
      <w:r w:rsidR="00934B06">
        <w:rPr>
          <w:u w:val="single"/>
        </w:rPr>
        <w:t>ragmenting</w:t>
      </w:r>
      <w:r w:rsidR="00934B06" w:rsidRPr="00934B06">
        <w:rPr>
          <w:u w:val="single"/>
        </w:rPr>
        <w:t xml:space="preserve"> Electricity </w:t>
      </w:r>
      <w:r w:rsidR="00934B06">
        <w:rPr>
          <w:u w:val="single"/>
        </w:rPr>
        <w:t>Markets</w:t>
      </w:r>
      <w:r w:rsidR="00934B06" w:rsidRPr="00934B06">
        <w:rPr>
          <w:u w:val="single"/>
        </w:rPr>
        <w:t>?</w:t>
      </w:r>
      <w:r w:rsidR="001C78BA" w:rsidRPr="00B15D25">
        <w:rPr>
          <w:u w:val="single"/>
        </w:rPr>
        <w:t xml:space="preserve"> </w:t>
      </w:r>
    </w:p>
    <w:p w14:paraId="447A2D37" w14:textId="1470061E" w:rsidR="001C78BA" w:rsidRDefault="00934B06" w:rsidP="001C78BA">
      <w:r w:rsidRPr="00934B06">
        <w:t>U.S. EPA’s proposed carbon rule for existing electric generators provides significant flexibility to individual states in how they meet their emission targets. We are already seeing the impact of California’s carbon regulations on electric</w:t>
      </w:r>
      <w:r>
        <w:t>ity markets throughout the W</w:t>
      </w:r>
      <w:r w:rsidRPr="00934B06">
        <w:t xml:space="preserve">est; the possibility of multiple states imposing different carbon regulations creates even more uncertainty and complexity for companies that transact in multiple markets. The panelists for this session will be: Clare Breidenich, WPTF … </w:t>
      </w:r>
      <w:r w:rsidR="009074D6">
        <w:t>Jeb Stenhouse</w:t>
      </w:r>
      <w:r w:rsidRPr="00934B06">
        <w:t>, U.S. EPA … Peter Colussy, Xcel.</w:t>
      </w:r>
    </w:p>
    <w:p w14:paraId="1E2582E1" w14:textId="77777777" w:rsidR="001C78BA" w:rsidRDefault="001C78BA"/>
    <w:p w14:paraId="201AC642" w14:textId="276AD042" w:rsidR="001C78BA" w:rsidRDefault="001C78BA" w:rsidP="001C78BA">
      <w:pPr>
        <w:pBdr>
          <w:top w:val="single" w:sz="4" w:space="1" w:color="auto"/>
          <w:left w:val="single" w:sz="4" w:space="4" w:color="auto"/>
          <w:bottom w:val="single" w:sz="4" w:space="1" w:color="auto"/>
          <w:right w:val="single" w:sz="4" w:space="4" w:color="auto"/>
        </w:pBdr>
        <w:rPr>
          <w:u w:val="single"/>
        </w:rPr>
      </w:pPr>
      <w:r>
        <w:rPr>
          <w:u w:val="single"/>
        </w:rPr>
        <w:t>12:</w:t>
      </w:r>
      <w:r w:rsidR="00EC4CD5">
        <w:rPr>
          <w:u w:val="single"/>
        </w:rPr>
        <w:t>00</w:t>
      </w:r>
      <w:r>
        <w:rPr>
          <w:u w:val="single"/>
        </w:rPr>
        <w:t xml:space="preserve"> p.m.: Hosted Lunch</w:t>
      </w:r>
      <w:r>
        <w:rPr>
          <w:rStyle w:val="FootnoteReference"/>
          <w:u w:val="single"/>
        </w:rPr>
        <w:footnoteReference w:id="1"/>
      </w:r>
      <w:r>
        <w:rPr>
          <w:u w:val="single"/>
        </w:rPr>
        <w:t xml:space="preserve"> </w:t>
      </w:r>
    </w:p>
    <w:p w14:paraId="050F49D8" w14:textId="51725393" w:rsidR="001C78BA" w:rsidRPr="002E1B58" w:rsidRDefault="001C78BA" w:rsidP="001C78BA">
      <w:pPr>
        <w:pBdr>
          <w:top w:val="single" w:sz="4" w:space="1" w:color="auto"/>
          <w:left w:val="single" w:sz="4" w:space="4" w:color="auto"/>
          <w:bottom w:val="single" w:sz="4" w:space="1" w:color="auto"/>
          <w:right w:val="single" w:sz="4" w:space="4" w:color="auto"/>
        </w:pBdr>
        <w:rPr>
          <w:i/>
          <w:u w:val="single"/>
        </w:rPr>
      </w:pPr>
      <w:r>
        <w:tab/>
      </w:r>
      <w:r w:rsidRPr="003B472F">
        <w:rPr>
          <w:i/>
          <w:u w:val="single"/>
        </w:rPr>
        <w:t xml:space="preserve">Keynote Speaker: John Estes III: </w:t>
      </w:r>
      <w:r w:rsidR="00B35A32">
        <w:rPr>
          <w:i/>
          <w:u w:val="single"/>
        </w:rPr>
        <w:t xml:space="preserve">Update on </w:t>
      </w:r>
      <w:r w:rsidR="00AC5D61">
        <w:rPr>
          <w:i/>
          <w:u w:val="single"/>
        </w:rPr>
        <w:t>Power Industry Trends</w:t>
      </w:r>
    </w:p>
    <w:p w14:paraId="36909718" w14:textId="77777777" w:rsidR="001C78BA" w:rsidRDefault="001C78BA">
      <w:pPr>
        <w:rPr>
          <w:u w:val="single"/>
        </w:rPr>
      </w:pPr>
    </w:p>
    <w:p w14:paraId="24FBDEBC" w14:textId="7F90D685" w:rsidR="001C78BA" w:rsidRPr="008C5148" w:rsidRDefault="001C78BA">
      <w:pPr>
        <w:rPr>
          <w:u w:val="single"/>
        </w:rPr>
      </w:pPr>
      <w:r>
        <w:rPr>
          <w:u w:val="single"/>
        </w:rPr>
        <w:t xml:space="preserve">1:00 p.m. </w:t>
      </w:r>
      <w:r w:rsidRPr="008C5148">
        <w:rPr>
          <w:u w:val="single"/>
        </w:rPr>
        <w:t>Third Panel:</w:t>
      </w:r>
      <w:r w:rsidRPr="00B35A32">
        <w:rPr>
          <w:u w:val="single"/>
        </w:rPr>
        <w:t xml:space="preserve"> </w:t>
      </w:r>
      <w:r w:rsidR="001A1E1C">
        <w:rPr>
          <w:u w:val="single"/>
        </w:rPr>
        <w:t>Electricity/Gas Coordination in the West</w:t>
      </w:r>
    </w:p>
    <w:p w14:paraId="6D9C9701" w14:textId="02E47EC9" w:rsidR="001C78BA" w:rsidRDefault="001C78BA" w:rsidP="001C78BA"/>
    <w:p w14:paraId="2B59F0DC" w14:textId="2FED5427" w:rsidR="001C78BA" w:rsidRDefault="00811C0F">
      <w:r>
        <w:t xml:space="preserve">Scheduling practices for natural gas rest upon the timelines employed by different balancing authorities and gas pipelines.  Under normal operating conditions the </w:t>
      </w:r>
      <w:r w:rsidR="002F3DD9">
        <w:t>coordination</w:t>
      </w:r>
      <w:r>
        <w:t xml:space="preserve"> is seamless.  However, extremely cold days have caused disruptions in the natural gas pipeline system, and ensuing power plant curtailments. The promise of greater dependence on renewable energy also leads to greater dependence on natural-gas generation for swing capacity in order to maintain grid reliability.  How are the grid operators in the West handling these issues?  Panelists will be: Mel Christopher, PG&amp;E  … Brad Bouillon, CAISO  … </w:t>
      </w:r>
      <w:r w:rsidR="007363BE">
        <w:t>Paul Borkovich</w:t>
      </w:r>
      <w:r>
        <w:t>, SoCalGas.</w:t>
      </w:r>
    </w:p>
    <w:p w14:paraId="48873454" w14:textId="77777777" w:rsidR="00811C0F" w:rsidRDefault="00811C0F"/>
    <w:p w14:paraId="4EA7E489" w14:textId="29187100" w:rsidR="001F74E7" w:rsidRDefault="00E04C38" w:rsidP="001F74E7">
      <w:r>
        <w:rPr>
          <w:u w:val="single"/>
        </w:rPr>
        <w:t>2:</w:t>
      </w:r>
      <w:r w:rsidR="00547CCF">
        <w:rPr>
          <w:u w:val="single"/>
        </w:rPr>
        <w:t>30</w:t>
      </w:r>
      <w:r w:rsidR="001C78BA" w:rsidRPr="00521145">
        <w:rPr>
          <w:u w:val="single"/>
        </w:rPr>
        <w:t xml:space="preserve"> p.m. </w:t>
      </w:r>
      <w:r w:rsidR="00811C0F">
        <w:rPr>
          <w:u w:val="single"/>
        </w:rPr>
        <w:t xml:space="preserve">Participants: The Most Important Thing I Learned Today and </w:t>
      </w:r>
      <w:r w:rsidR="001C78BA" w:rsidRPr="00521145">
        <w:rPr>
          <w:u w:val="single"/>
        </w:rPr>
        <w:t>Adjourn</w:t>
      </w:r>
    </w:p>
    <w:p w14:paraId="13DE2C50" w14:textId="77777777" w:rsidR="001F74E7" w:rsidRDefault="001F74E7" w:rsidP="001C78BA">
      <w:pPr>
        <w:rPr>
          <w:u w:val="single"/>
        </w:rPr>
      </w:pPr>
    </w:p>
    <w:p w14:paraId="07F551CB" w14:textId="3ACADF1D" w:rsidR="001C78BA" w:rsidRPr="001F74E7" w:rsidRDefault="001F74E7" w:rsidP="001C78BA">
      <w:pPr>
        <w:rPr>
          <w:u w:val="single"/>
        </w:rPr>
      </w:pPr>
      <w:r>
        <w:rPr>
          <w:u w:val="single"/>
        </w:rPr>
        <w:t>3:00 p.m. Reception hosted by WPTF (In Room 11-311)</w:t>
      </w:r>
    </w:p>
    <w:sectPr w:rsidR="001C78BA" w:rsidRPr="001F74E7" w:rsidSect="001C78B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B284" w14:textId="77777777" w:rsidR="00AF4B79" w:rsidRDefault="00AF4B79">
      <w:r>
        <w:separator/>
      </w:r>
    </w:p>
  </w:endnote>
  <w:endnote w:type="continuationSeparator" w:id="0">
    <w:p w14:paraId="7B26D9A4" w14:textId="77777777" w:rsidR="00AF4B79" w:rsidRDefault="00AF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D974" w14:textId="5423771A" w:rsidR="00707417" w:rsidRDefault="00707417">
    <w:pPr>
      <w:pStyle w:val="Footer"/>
      <w:jc w:val="center"/>
      <w:rPr>
        <w:b/>
        <w:spacing w:val="28"/>
        <w:position w:val="12"/>
        <w:sz w:val="18"/>
      </w:rPr>
    </w:pPr>
    <w:r>
      <w:rPr>
        <w:b/>
        <w:spacing w:val="28"/>
        <w:position w:val="12"/>
        <w:sz w:val="18"/>
      </w:rPr>
      <w:t>411 E. Huntington Dr., STE 107-222 Arcadia CA 91006 T:925-299-9271 F:925-299-0152</w:t>
    </w:r>
  </w:p>
  <w:p w14:paraId="32601148" w14:textId="77777777" w:rsidR="00707417" w:rsidRDefault="00707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D883" w14:textId="13D8C87A" w:rsidR="00707417" w:rsidRDefault="00707417">
    <w:pPr>
      <w:pStyle w:val="Footer"/>
      <w:jc w:val="center"/>
      <w:rPr>
        <w:b/>
        <w:spacing w:val="28"/>
        <w:position w:val="12"/>
        <w:sz w:val="18"/>
      </w:rPr>
    </w:pPr>
    <w:r>
      <w:rPr>
        <w:b/>
        <w:spacing w:val="28"/>
        <w:position w:val="12"/>
        <w:sz w:val="18"/>
      </w:rPr>
      <w:t>411 E. Huntington Dr., STE 107-222 Arcadia CA 91006 T:925-299-9271 F:925-299-0152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97801" w14:textId="77777777" w:rsidR="00AF4B79" w:rsidRDefault="00AF4B79">
      <w:r>
        <w:separator/>
      </w:r>
    </w:p>
  </w:footnote>
  <w:footnote w:type="continuationSeparator" w:id="0">
    <w:p w14:paraId="203BBEBA" w14:textId="77777777" w:rsidR="00AF4B79" w:rsidRDefault="00AF4B79">
      <w:r>
        <w:continuationSeparator/>
      </w:r>
    </w:p>
  </w:footnote>
  <w:footnote w:id="1">
    <w:p w14:paraId="73F70D00" w14:textId="6083605E" w:rsidR="00707417" w:rsidRDefault="00707417">
      <w:pPr>
        <w:pStyle w:val="FootnoteText"/>
      </w:pPr>
      <w:r>
        <w:rPr>
          <w:rStyle w:val="FootnoteReference"/>
        </w:rPr>
        <w:footnoteRef/>
      </w:r>
      <w:r>
        <w:t xml:space="preserve"> Anyone requiring an invoice for the lunch and the reception will be provided such allowing government employees to reimburse WPTF by check.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04E96"/>
    <w:multiLevelType w:val="hybridMultilevel"/>
    <w:tmpl w:val="20E8D6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AC"/>
    <w:rsid w:val="00002A0E"/>
    <w:rsid w:val="00045C71"/>
    <w:rsid w:val="00046975"/>
    <w:rsid w:val="000501DE"/>
    <w:rsid w:val="000B5DA2"/>
    <w:rsid w:val="000D1189"/>
    <w:rsid w:val="000D6E36"/>
    <w:rsid w:val="000E4E40"/>
    <w:rsid w:val="000E5116"/>
    <w:rsid w:val="00117562"/>
    <w:rsid w:val="00140AD2"/>
    <w:rsid w:val="00145D9A"/>
    <w:rsid w:val="00184649"/>
    <w:rsid w:val="001A1E1C"/>
    <w:rsid w:val="001A233D"/>
    <w:rsid w:val="001A502D"/>
    <w:rsid w:val="001C78BA"/>
    <w:rsid w:val="001D430B"/>
    <w:rsid w:val="001F1BAB"/>
    <w:rsid w:val="001F4380"/>
    <w:rsid w:val="001F74E7"/>
    <w:rsid w:val="0020792A"/>
    <w:rsid w:val="00221452"/>
    <w:rsid w:val="00255A9E"/>
    <w:rsid w:val="00255E8E"/>
    <w:rsid w:val="002600F3"/>
    <w:rsid w:val="00273AE2"/>
    <w:rsid w:val="0028506C"/>
    <w:rsid w:val="002B033D"/>
    <w:rsid w:val="002B3012"/>
    <w:rsid w:val="002B31A6"/>
    <w:rsid w:val="002B5CE4"/>
    <w:rsid w:val="002C2644"/>
    <w:rsid w:val="002C4EDE"/>
    <w:rsid w:val="002D3B02"/>
    <w:rsid w:val="002D7F75"/>
    <w:rsid w:val="002E1B58"/>
    <w:rsid w:val="002E6AF1"/>
    <w:rsid w:val="002F3DD9"/>
    <w:rsid w:val="0030064B"/>
    <w:rsid w:val="0030614F"/>
    <w:rsid w:val="00326F9B"/>
    <w:rsid w:val="00330E08"/>
    <w:rsid w:val="00333803"/>
    <w:rsid w:val="00336F21"/>
    <w:rsid w:val="00357A76"/>
    <w:rsid w:val="003A5F09"/>
    <w:rsid w:val="003D75D9"/>
    <w:rsid w:val="003E2789"/>
    <w:rsid w:val="003F30AC"/>
    <w:rsid w:val="004006D4"/>
    <w:rsid w:val="00420DD2"/>
    <w:rsid w:val="00422E12"/>
    <w:rsid w:val="00445A13"/>
    <w:rsid w:val="00447A30"/>
    <w:rsid w:val="00462C00"/>
    <w:rsid w:val="00463288"/>
    <w:rsid w:val="00494E47"/>
    <w:rsid w:val="004A14FD"/>
    <w:rsid w:val="004C34F3"/>
    <w:rsid w:val="004D38D3"/>
    <w:rsid w:val="004D7EF4"/>
    <w:rsid w:val="00503DC8"/>
    <w:rsid w:val="0050779D"/>
    <w:rsid w:val="00534357"/>
    <w:rsid w:val="00545C48"/>
    <w:rsid w:val="00547CCF"/>
    <w:rsid w:val="00560010"/>
    <w:rsid w:val="00567E6B"/>
    <w:rsid w:val="0057530D"/>
    <w:rsid w:val="005857F1"/>
    <w:rsid w:val="005F72FA"/>
    <w:rsid w:val="00606EAF"/>
    <w:rsid w:val="0062617C"/>
    <w:rsid w:val="006325F8"/>
    <w:rsid w:val="00633BAC"/>
    <w:rsid w:val="00634EB7"/>
    <w:rsid w:val="00637F4F"/>
    <w:rsid w:val="00650C07"/>
    <w:rsid w:val="00653D0A"/>
    <w:rsid w:val="00673E50"/>
    <w:rsid w:val="006764D3"/>
    <w:rsid w:val="006D653F"/>
    <w:rsid w:val="00707417"/>
    <w:rsid w:val="007363BE"/>
    <w:rsid w:val="00744A8E"/>
    <w:rsid w:val="0075086F"/>
    <w:rsid w:val="0077051B"/>
    <w:rsid w:val="00777B44"/>
    <w:rsid w:val="007A0DB3"/>
    <w:rsid w:val="007A47AE"/>
    <w:rsid w:val="007A6709"/>
    <w:rsid w:val="007B0E65"/>
    <w:rsid w:val="007E4C54"/>
    <w:rsid w:val="007F2D33"/>
    <w:rsid w:val="00811C0F"/>
    <w:rsid w:val="00816F32"/>
    <w:rsid w:val="008176DF"/>
    <w:rsid w:val="00835627"/>
    <w:rsid w:val="008477A9"/>
    <w:rsid w:val="0085257D"/>
    <w:rsid w:val="00861399"/>
    <w:rsid w:val="0086707F"/>
    <w:rsid w:val="008736C9"/>
    <w:rsid w:val="00873B81"/>
    <w:rsid w:val="00876ED5"/>
    <w:rsid w:val="00877134"/>
    <w:rsid w:val="0087732F"/>
    <w:rsid w:val="00891CE6"/>
    <w:rsid w:val="008B4AF6"/>
    <w:rsid w:val="008B6BDD"/>
    <w:rsid w:val="008C1D24"/>
    <w:rsid w:val="008C5148"/>
    <w:rsid w:val="008D57BD"/>
    <w:rsid w:val="008F4C4B"/>
    <w:rsid w:val="009074D6"/>
    <w:rsid w:val="00907E34"/>
    <w:rsid w:val="009211B8"/>
    <w:rsid w:val="00934B06"/>
    <w:rsid w:val="00954AAB"/>
    <w:rsid w:val="0097259A"/>
    <w:rsid w:val="00975B10"/>
    <w:rsid w:val="009977DC"/>
    <w:rsid w:val="009A2984"/>
    <w:rsid w:val="009A7F4B"/>
    <w:rsid w:val="009B50EB"/>
    <w:rsid w:val="009D3E48"/>
    <w:rsid w:val="009F7C02"/>
    <w:rsid w:val="00A12588"/>
    <w:rsid w:val="00A417CB"/>
    <w:rsid w:val="00A55563"/>
    <w:rsid w:val="00A558B3"/>
    <w:rsid w:val="00A60CC2"/>
    <w:rsid w:val="00A653C8"/>
    <w:rsid w:val="00A74BFC"/>
    <w:rsid w:val="00A7774B"/>
    <w:rsid w:val="00A87ACA"/>
    <w:rsid w:val="00AB2B7D"/>
    <w:rsid w:val="00AB336E"/>
    <w:rsid w:val="00AC5D61"/>
    <w:rsid w:val="00AE56F1"/>
    <w:rsid w:val="00AF4B79"/>
    <w:rsid w:val="00B15D25"/>
    <w:rsid w:val="00B35A32"/>
    <w:rsid w:val="00B41AC0"/>
    <w:rsid w:val="00BD4FEC"/>
    <w:rsid w:val="00BF24A0"/>
    <w:rsid w:val="00C01B52"/>
    <w:rsid w:val="00C13FE4"/>
    <w:rsid w:val="00C37579"/>
    <w:rsid w:val="00C37E5F"/>
    <w:rsid w:val="00C618B4"/>
    <w:rsid w:val="00C67AD3"/>
    <w:rsid w:val="00C807B8"/>
    <w:rsid w:val="00C813CF"/>
    <w:rsid w:val="00CA5CD1"/>
    <w:rsid w:val="00CA7821"/>
    <w:rsid w:val="00CB72E9"/>
    <w:rsid w:val="00CC36CA"/>
    <w:rsid w:val="00CF6EC7"/>
    <w:rsid w:val="00D429D1"/>
    <w:rsid w:val="00D643D0"/>
    <w:rsid w:val="00D951DA"/>
    <w:rsid w:val="00DA065E"/>
    <w:rsid w:val="00DB283E"/>
    <w:rsid w:val="00DC3B8F"/>
    <w:rsid w:val="00DE50B5"/>
    <w:rsid w:val="00DE6112"/>
    <w:rsid w:val="00DF5AFE"/>
    <w:rsid w:val="00E01188"/>
    <w:rsid w:val="00E016E5"/>
    <w:rsid w:val="00E04C38"/>
    <w:rsid w:val="00E23093"/>
    <w:rsid w:val="00E464F4"/>
    <w:rsid w:val="00E5019E"/>
    <w:rsid w:val="00E5524F"/>
    <w:rsid w:val="00E61F53"/>
    <w:rsid w:val="00E70FC2"/>
    <w:rsid w:val="00E7214B"/>
    <w:rsid w:val="00E767AC"/>
    <w:rsid w:val="00E84055"/>
    <w:rsid w:val="00E93A9D"/>
    <w:rsid w:val="00EA3C81"/>
    <w:rsid w:val="00EC4CD5"/>
    <w:rsid w:val="00EC7FE6"/>
    <w:rsid w:val="00ED6B55"/>
    <w:rsid w:val="00F0438C"/>
    <w:rsid w:val="00F06084"/>
    <w:rsid w:val="00F36CF8"/>
    <w:rsid w:val="00F63E1B"/>
    <w:rsid w:val="00F74C39"/>
    <w:rsid w:val="00F800FB"/>
    <w:rsid w:val="00F87630"/>
    <w:rsid w:val="00FB79D5"/>
    <w:rsid w:val="00FD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2B157"/>
  <w14:defaultImageDpi w14:val="300"/>
  <w15:docId w15:val="{C8E10721-F2F7-4F8E-9164-25C48971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AC"/>
    <w:rPr>
      <w:rFonts w:ascii="Times" w:eastAsia="Times" w:hAnsi="Times"/>
      <w:sz w:val="24"/>
    </w:rPr>
  </w:style>
  <w:style w:type="paragraph" w:styleId="Heading1">
    <w:name w:val="heading 1"/>
    <w:basedOn w:val="Normal"/>
    <w:next w:val="Normal"/>
    <w:qFormat/>
    <w:rsid w:val="005B68E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3BAC"/>
    <w:pPr>
      <w:tabs>
        <w:tab w:val="center" w:pos="4320"/>
        <w:tab w:val="right" w:pos="8640"/>
      </w:tabs>
    </w:pPr>
  </w:style>
  <w:style w:type="character" w:styleId="Hyperlink">
    <w:name w:val="Hyperlink"/>
    <w:basedOn w:val="DefaultParagraphFont"/>
    <w:rsid w:val="00633BAC"/>
    <w:rPr>
      <w:color w:val="0000FF"/>
      <w:u w:val="single"/>
    </w:rPr>
  </w:style>
  <w:style w:type="paragraph" w:styleId="FootnoteText">
    <w:name w:val="footnote text"/>
    <w:basedOn w:val="Normal"/>
    <w:semiHidden/>
    <w:rsid w:val="005B68E1"/>
    <w:rPr>
      <w:rFonts w:ascii="Times New Roman" w:eastAsia="Times New Roman" w:hAnsi="Times New Roman"/>
      <w:szCs w:val="24"/>
    </w:rPr>
  </w:style>
  <w:style w:type="character" w:styleId="FootnoteReference">
    <w:name w:val="footnote reference"/>
    <w:basedOn w:val="DefaultParagraphFont"/>
    <w:semiHidden/>
    <w:rsid w:val="005B68E1"/>
    <w:rPr>
      <w:vertAlign w:val="superscript"/>
    </w:rPr>
  </w:style>
  <w:style w:type="paragraph" w:styleId="Header">
    <w:name w:val="header"/>
    <w:basedOn w:val="Normal"/>
    <w:rsid w:val="005B68E1"/>
    <w:pPr>
      <w:tabs>
        <w:tab w:val="center" w:pos="4320"/>
        <w:tab w:val="right" w:pos="8640"/>
      </w:tabs>
    </w:pPr>
  </w:style>
  <w:style w:type="character" w:styleId="Strong">
    <w:name w:val="Strong"/>
    <w:basedOn w:val="DefaultParagraphFont"/>
    <w:qFormat/>
    <w:rsid w:val="0050406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7D81-3C76-4409-AF91-E437FA9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5322</CharactersWithSpaces>
  <SharedDoc>false</SharedDoc>
  <HLinks>
    <vt:vector size="6" baseType="variant">
      <vt:variant>
        <vt:i4>524310</vt:i4>
      </vt:variant>
      <vt:variant>
        <vt:i4>-1</vt:i4>
      </vt:variant>
      <vt:variant>
        <vt:i4>1026</vt:i4>
      </vt:variant>
      <vt:variant>
        <vt:i4>1</vt:i4>
      </vt:variant>
      <vt:variant>
        <vt:lpwstr>wptflogo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e01arr</dc:creator>
  <cp:keywords/>
  <dc:description/>
  <cp:lastModifiedBy>Robinson, Debra</cp:lastModifiedBy>
  <cp:revision>2</cp:revision>
  <dcterms:created xsi:type="dcterms:W3CDTF">2014-08-08T19:01:00Z</dcterms:created>
  <dcterms:modified xsi:type="dcterms:W3CDTF">2014-08-08T19:01:00Z</dcterms:modified>
</cp:coreProperties>
</file>