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0A0" w:rsidRPr="00A070A0" w:rsidRDefault="00A070A0" w:rsidP="00A070A0">
      <w:pPr>
        <w:spacing w:after="0" w:line="240" w:lineRule="auto"/>
        <w:rPr>
          <w:rFonts w:ascii="Times New Roman" w:eastAsia="Times New Roman" w:hAnsi="Times New Roman" w:cs="Times New Roman"/>
          <w:sz w:val="24"/>
          <w:szCs w:val="24"/>
          <w:lang w:val="en"/>
        </w:rPr>
      </w:pPr>
      <w:r w:rsidRPr="00A070A0">
        <w:rPr>
          <w:rFonts w:ascii="Times New Roman" w:eastAsia="Times New Roman" w:hAnsi="Times New Roman" w:cs="Times New Roman"/>
          <w:sz w:val="24"/>
          <w:szCs w:val="24"/>
          <w:lang w:val="en"/>
        </w:rPr>
        <w:t xml:space="preserve">January 15, 2014 </w:t>
      </w:r>
    </w:p>
    <w:p w:rsidR="00A070A0" w:rsidRPr="00A070A0" w:rsidRDefault="00A070A0" w:rsidP="00A070A0">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hyperlink r:id="rId4" w:history="1">
        <w:r w:rsidRPr="00A070A0">
          <w:rPr>
            <w:rFonts w:ascii="Times New Roman" w:eastAsia="Times New Roman" w:hAnsi="Times New Roman" w:cs="Times New Roman"/>
            <w:b/>
            <w:bCs/>
            <w:color w:val="0000FF"/>
            <w:kern w:val="36"/>
            <w:sz w:val="48"/>
            <w:szCs w:val="48"/>
            <w:u w:val="single"/>
            <w:lang w:val="en"/>
          </w:rPr>
          <w:t>Monthly generator capacity factor data now available by fuel and technology</w:t>
        </w:r>
      </w:hyperlink>
    </w:p>
    <w:p w:rsidR="00A070A0" w:rsidRPr="00A070A0" w:rsidRDefault="00A070A0" w:rsidP="00A070A0">
      <w:pPr>
        <w:spacing w:after="0" w:line="240" w:lineRule="auto"/>
        <w:rPr>
          <w:rFonts w:ascii="Times New Roman" w:eastAsia="Times New Roman" w:hAnsi="Times New Roman" w:cs="Times New Roman"/>
          <w:sz w:val="24"/>
          <w:szCs w:val="24"/>
          <w:lang w:val="en"/>
        </w:rPr>
      </w:pPr>
      <w:r w:rsidRPr="00A070A0">
        <w:rPr>
          <w:rFonts w:ascii="Times New Roman" w:eastAsia="Times New Roman" w:hAnsi="Times New Roman" w:cs="Times New Roman"/>
          <w:noProof/>
          <w:sz w:val="24"/>
          <w:szCs w:val="24"/>
        </w:rPr>
        <w:drawing>
          <wp:inline distT="0" distB="0" distL="0" distR="0" wp14:anchorId="6C4F07A0" wp14:editId="3C76D19A">
            <wp:extent cx="5476875" cy="2733675"/>
            <wp:effectExtent l="0" t="0" r="9525" b="9525"/>
            <wp:docPr id="1" name="Picture 1" descr="graph of monthly capacity factors for select fuels and technologies, as explained in the articl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 of monthly capacity factors for select fuels and technologies, as explained in the article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875" cy="2733675"/>
                    </a:xfrm>
                    <a:prstGeom prst="rect">
                      <a:avLst/>
                    </a:prstGeom>
                    <a:noFill/>
                    <a:ln>
                      <a:noFill/>
                    </a:ln>
                  </pic:spPr>
                </pic:pic>
              </a:graphicData>
            </a:graphic>
          </wp:inline>
        </w:drawing>
      </w:r>
    </w:p>
    <w:p w:rsidR="00A070A0" w:rsidRPr="00A070A0" w:rsidRDefault="00A070A0" w:rsidP="00A070A0">
      <w:pPr>
        <w:spacing w:after="0" w:line="240" w:lineRule="auto"/>
        <w:rPr>
          <w:rFonts w:ascii="Times New Roman" w:eastAsia="Times New Roman" w:hAnsi="Times New Roman" w:cs="Times New Roman"/>
          <w:sz w:val="24"/>
          <w:szCs w:val="24"/>
          <w:lang w:val="en"/>
        </w:rPr>
      </w:pPr>
      <w:r w:rsidRPr="00A070A0">
        <w:rPr>
          <w:rFonts w:ascii="Times New Roman" w:eastAsia="Times New Roman" w:hAnsi="Times New Roman" w:cs="Times New Roman"/>
          <w:b/>
          <w:bCs/>
          <w:sz w:val="24"/>
          <w:szCs w:val="24"/>
          <w:lang w:val="en"/>
        </w:rPr>
        <w:t xml:space="preserve">Source: </w:t>
      </w:r>
      <w:r w:rsidRPr="00A070A0">
        <w:rPr>
          <w:rFonts w:ascii="Times New Roman" w:eastAsia="Times New Roman" w:hAnsi="Times New Roman" w:cs="Times New Roman"/>
          <w:sz w:val="24"/>
          <w:szCs w:val="24"/>
          <w:lang w:val="en"/>
        </w:rPr>
        <w:t xml:space="preserve">U.S. Energy Information Administration, Electric Power Monthly, Tables </w:t>
      </w:r>
      <w:hyperlink r:id="rId6" w:history="1">
        <w:r w:rsidRPr="00A070A0">
          <w:rPr>
            <w:rFonts w:ascii="Times New Roman" w:eastAsia="Times New Roman" w:hAnsi="Times New Roman" w:cs="Times New Roman"/>
            <w:color w:val="0000FF"/>
            <w:sz w:val="24"/>
            <w:szCs w:val="24"/>
            <w:u w:val="single"/>
            <w:lang w:val="en"/>
          </w:rPr>
          <w:t>6.7a</w:t>
        </w:r>
      </w:hyperlink>
      <w:r w:rsidRPr="00A070A0">
        <w:rPr>
          <w:rFonts w:ascii="Times New Roman" w:eastAsia="Times New Roman" w:hAnsi="Times New Roman" w:cs="Times New Roman"/>
          <w:sz w:val="24"/>
          <w:szCs w:val="24"/>
          <w:lang w:val="en"/>
        </w:rPr>
        <w:t xml:space="preserve"> and </w:t>
      </w:r>
      <w:hyperlink r:id="rId7" w:history="1">
        <w:r w:rsidRPr="00A070A0">
          <w:rPr>
            <w:rFonts w:ascii="Times New Roman" w:eastAsia="Times New Roman" w:hAnsi="Times New Roman" w:cs="Times New Roman"/>
            <w:color w:val="0000FF"/>
            <w:sz w:val="24"/>
            <w:szCs w:val="24"/>
            <w:u w:val="single"/>
            <w:lang w:val="en"/>
          </w:rPr>
          <w:t>6.7b</w:t>
        </w:r>
      </w:hyperlink>
      <w:r w:rsidRPr="00A070A0">
        <w:rPr>
          <w:rFonts w:ascii="Times New Roman" w:eastAsia="Times New Roman" w:hAnsi="Times New Roman" w:cs="Times New Roman"/>
          <w:sz w:val="24"/>
          <w:szCs w:val="24"/>
          <w:lang w:val="en"/>
        </w:rPr>
        <w:t xml:space="preserve"> </w:t>
      </w:r>
    </w:p>
    <w:p w:rsidR="00A070A0" w:rsidRPr="00A070A0" w:rsidRDefault="00A070A0" w:rsidP="00A070A0">
      <w:pPr>
        <w:spacing w:after="0" w:line="240" w:lineRule="auto"/>
        <w:rPr>
          <w:rFonts w:ascii="Times New Roman" w:eastAsia="Times New Roman" w:hAnsi="Times New Roman" w:cs="Times New Roman"/>
          <w:sz w:val="24"/>
          <w:szCs w:val="24"/>
          <w:lang w:val="en"/>
        </w:rPr>
      </w:pPr>
      <w:r w:rsidRPr="00A070A0">
        <w:rPr>
          <w:rFonts w:ascii="Times New Roman" w:eastAsia="Times New Roman" w:hAnsi="Times New Roman" w:cs="Times New Roman"/>
          <w:sz w:val="24"/>
          <w:szCs w:val="24"/>
          <w:lang w:val="en"/>
        </w:rPr>
        <w:pict>
          <v:rect id="_x0000_i1025" style="width:0;height:1.5pt" o:hralign="center" o:hrstd="t" o:hr="t" fillcolor="#a0a0a0" stroked="f"/>
        </w:pict>
      </w:r>
    </w:p>
    <w:p w:rsidR="00A070A0" w:rsidRPr="00A070A0" w:rsidRDefault="00A070A0" w:rsidP="00A070A0">
      <w:pPr>
        <w:spacing w:before="100" w:beforeAutospacing="1" w:after="100" w:afterAutospacing="1" w:line="240" w:lineRule="auto"/>
        <w:rPr>
          <w:rFonts w:ascii="Times New Roman" w:eastAsia="Times New Roman" w:hAnsi="Times New Roman" w:cs="Times New Roman"/>
          <w:sz w:val="24"/>
          <w:szCs w:val="24"/>
          <w:lang w:val="en"/>
        </w:rPr>
      </w:pPr>
      <w:r w:rsidRPr="00A070A0">
        <w:rPr>
          <w:rFonts w:ascii="Times New Roman" w:eastAsia="Times New Roman" w:hAnsi="Times New Roman" w:cs="Times New Roman"/>
          <w:sz w:val="24"/>
          <w:szCs w:val="24"/>
          <w:lang w:val="en"/>
        </w:rPr>
        <w:t xml:space="preserve">Capacity factors are an important measure of electric generator usage. In December 2013, EIA began publishing tables of monthly capacity factors for 16 different </w:t>
      </w:r>
      <w:hyperlink r:id="rId8" w:history="1">
        <w:r w:rsidRPr="00A070A0">
          <w:rPr>
            <w:rFonts w:ascii="Times New Roman" w:eastAsia="Times New Roman" w:hAnsi="Times New Roman" w:cs="Times New Roman"/>
            <w:color w:val="0000FF"/>
            <w:sz w:val="24"/>
            <w:szCs w:val="24"/>
            <w:u w:val="single"/>
            <w:lang w:val="en"/>
          </w:rPr>
          <w:t>fossil</w:t>
        </w:r>
      </w:hyperlink>
      <w:r w:rsidRPr="00A070A0">
        <w:rPr>
          <w:rFonts w:ascii="Times New Roman" w:eastAsia="Times New Roman" w:hAnsi="Times New Roman" w:cs="Times New Roman"/>
          <w:sz w:val="24"/>
          <w:szCs w:val="24"/>
          <w:lang w:val="en"/>
        </w:rPr>
        <w:t xml:space="preserve"> and </w:t>
      </w:r>
      <w:hyperlink r:id="rId9" w:history="1">
        <w:r w:rsidRPr="00A070A0">
          <w:rPr>
            <w:rFonts w:ascii="Times New Roman" w:eastAsia="Times New Roman" w:hAnsi="Times New Roman" w:cs="Times New Roman"/>
            <w:color w:val="0000FF"/>
            <w:sz w:val="24"/>
            <w:szCs w:val="24"/>
            <w:u w:val="single"/>
            <w:lang w:val="en"/>
          </w:rPr>
          <w:t>non-fossil</w:t>
        </w:r>
      </w:hyperlink>
      <w:r w:rsidRPr="00A070A0">
        <w:rPr>
          <w:rFonts w:ascii="Times New Roman" w:eastAsia="Times New Roman" w:hAnsi="Times New Roman" w:cs="Times New Roman"/>
          <w:sz w:val="24"/>
          <w:szCs w:val="24"/>
          <w:lang w:val="en"/>
        </w:rPr>
        <w:t xml:space="preserve"> fuel and technology combinations in the </w:t>
      </w:r>
      <w:hyperlink r:id="rId10" w:history="1">
        <w:r w:rsidRPr="00A070A0">
          <w:rPr>
            <w:rFonts w:ascii="Times New Roman" w:eastAsia="Times New Roman" w:hAnsi="Times New Roman" w:cs="Times New Roman"/>
            <w:color w:val="0000FF"/>
            <w:sz w:val="24"/>
            <w:szCs w:val="24"/>
            <w:u w:val="single"/>
            <w:lang w:val="en"/>
          </w:rPr>
          <w:t>Electric Power Monthly</w:t>
        </w:r>
      </w:hyperlink>
      <w:r w:rsidRPr="00A070A0">
        <w:rPr>
          <w:rFonts w:ascii="Times New Roman" w:eastAsia="Times New Roman" w:hAnsi="Times New Roman" w:cs="Times New Roman"/>
          <w:sz w:val="24"/>
          <w:szCs w:val="24"/>
          <w:lang w:val="en"/>
        </w:rPr>
        <w:t xml:space="preserve">. </w:t>
      </w:r>
    </w:p>
    <w:p w:rsidR="00A070A0" w:rsidRPr="00A070A0" w:rsidRDefault="00A070A0" w:rsidP="00A070A0">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070A0">
        <w:rPr>
          <w:rFonts w:ascii="Times New Roman" w:eastAsia="Times New Roman" w:hAnsi="Times New Roman" w:cs="Times New Roman"/>
          <w:b/>
          <w:bCs/>
          <w:sz w:val="36"/>
          <w:szCs w:val="36"/>
          <w:lang w:val="en"/>
        </w:rPr>
        <w:t>What is a capacity factor?</w:t>
      </w:r>
    </w:p>
    <w:p w:rsidR="00A070A0" w:rsidRPr="00A070A0" w:rsidRDefault="00A070A0" w:rsidP="00A070A0">
      <w:pPr>
        <w:spacing w:before="100" w:beforeAutospacing="1" w:after="100" w:afterAutospacing="1" w:line="240" w:lineRule="auto"/>
        <w:rPr>
          <w:rFonts w:ascii="Times New Roman" w:eastAsia="Times New Roman" w:hAnsi="Times New Roman" w:cs="Times New Roman"/>
          <w:sz w:val="24"/>
          <w:szCs w:val="24"/>
          <w:lang w:val="en"/>
        </w:rPr>
      </w:pPr>
      <w:r w:rsidRPr="00A070A0">
        <w:rPr>
          <w:rFonts w:ascii="Times New Roman" w:eastAsia="Times New Roman" w:hAnsi="Times New Roman" w:cs="Times New Roman"/>
          <w:sz w:val="24"/>
          <w:szCs w:val="24"/>
          <w:lang w:val="en"/>
        </w:rPr>
        <w:t xml:space="preserve">Capacity factors describe how intensively a fleet of generators is run. A capacity factor near 100% means a fleet is operating nearly all of the time. It is the ratio of a fleet's actual generation to its maximum potential generation. </w:t>
      </w:r>
    </w:p>
    <w:p w:rsidR="00A070A0" w:rsidRPr="00A070A0" w:rsidRDefault="00A070A0" w:rsidP="00A070A0">
      <w:pPr>
        <w:spacing w:before="100" w:beforeAutospacing="1" w:after="100" w:afterAutospacing="1" w:line="240" w:lineRule="auto"/>
        <w:rPr>
          <w:rFonts w:ascii="Times New Roman" w:eastAsia="Times New Roman" w:hAnsi="Times New Roman" w:cs="Times New Roman"/>
          <w:sz w:val="24"/>
          <w:szCs w:val="24"/>
          <w:lang w:val="en"/>
        </w:rPr>
      </w:pPr>
      <w:r w:rsidRPr="00A070A0">
        <w:rPr>
          <w:rFonts w:ascii="Times New Roman" w:eastAsia="Times New Roman" w:hAnsi="Times New Roman" w:cs="Times New Roman"/>
          <w:sz w:val="24"/>
          <w:szCs w:val="24"/>
          <w:lang w:val="en"/>
        </w:rPr>
        <w:t xml:space="preserve">In the past, EIA published annual capacity factors for only a few fuel types, and several renewable fuel types were aggregated. With an updated methodology and more detailed technology breakout, these new tables allow readers to distinguish between generators having different </w:t>
      </w:r>
      <w:hyperlink r:id="rId11" w:history="1">
        <w:r w:rsidRPr="00A070A0">
          <w:rPr>
            <w:rFonts w:ascii="Times New Roman" w:eastAsia="Times New Roman" w:hAnsi="Times New Roman" w:cs="Times New Roman"/>
            <w:color w:val="0000FF"/>
            <w:sz w:val="24"/>
            <w:szCs w:val="24"/>
            <w:u w:val="single"/>
            <w:lang w:val="en"/>
          </w:rPr>
          <w:t>roles</w:t>
        </w:r>
      </w:hyperlink>
      <w:r w:rsidRPr="00A070A0">
        <w:rPr>
          <w:rFonts w:ascii="Times New Roman" w:eastAsia="Times New Roman" w:hAnsi="Times New Roman" w:cs="Times New Roman"/>
          <w:sz w:val="24"/>
          <w:szCs w:val="24"/>
          <w:lang w:val="en"/>
        </w:rPr>
        <w:t xml:space="preserve"> within the electric power system. Baseload generators, like nuclear units, typically have high capacity factors, while peaking generators like natural gas-fired combustion turbines have low capacity factors. </w:t>
      </w:r>
    </w:p>
    <w:p w:rsidR="00A070A0" w:rsidRPr="00A070A0" w:rsidRDefault="00A070A0" w:rsidP="00A070A0">
      <w:pPr>
        <w:spacing w:before="100" w:beforeAutospacing="1" w:after="100" w:afterAutospacing="1" w:line="240" w:lineRule="auto"/>
        <w:rPr>
          <w:rFonts w:ascii="Times New Roman" w:eastAsia="Times New Roman" w:hAnsi="Times New Roman" w:cs="Times New Roman"/>
          <w:sz w:val="24"/>
          <w:szCs w:val="24"/>
          <w:lang w:val="en"/>
        </w:rPr>
      </w:pPr>
      <w:r w:rsidRPr="00A070A0">
        <w:rPr>
          <w:rFonts w:ascii="Times New Roman" w:eastAsia="Times New Roman" w:hAnsi="Times New Roman" w:cs="Times New Roman"/>
          <w:sz w:val="24"/>
          <w:szCs w:val="24"/>
          <w:lang w:val="en"/>
        </w:rPr>
        <w:t xml:space="preserve">Monthly data allow users to see seasonal patterns, such as periods of nuclear </w:t>
      </w:r>
      <w:hyperlink r:id="rId12" w:history="1">
        <w:r w:rsidRPr="00A070A0">
          <w:rPr>
            <w:rFonts w:ascii="Times New Roman" w:eastAsia="Times New Roman" w:hAnsi="Times New Roman" w:cs="Times New Roman"/>
            <w:color w:val="0000FF"/>
            <w:sz w:val="24"/>
            <w:szCs w:val="24"/>
            <w:u w:val="single"/>
            <w:lang w:val="en"/>
          </w:rPr>
          <w:t>refueling outages</w:t>
        </w:r>
      </w:hyperlink>
      <w:r w:rsidRPr="00A070A0">
        <w:rPr>
          <w:rFonts w:ascii="Times New Roman" w:eastAsia="Times New Roman" w:hAnsi="Times New Roman" w:cs="Times New Roman"/>
          <w:sz w:val="24"/>
          <w:szCs w:val="24"/>
          <w:lang w:val="en"/>
        </w:rPr>
        <w:t xml:space="preserve"> in the shoulder seasons (spring and fall) and increased operation of peaking generators during the </w:t>
      </w:r>
      <w:r w:rsidRPr="00A070A0">
        <w:rPr>
          <w:rFonts w:ascii="Times New Roman" w:eastAsia="Times New Roman" w:hAnsi="Times New Roman" w:cs="Times New Roman"/>
          <w:sz w:val="24"/>
          <w:szCs w:val="24"/>
          <w:lang w:val="en"/>
        </w:rPr>
        <w:lastRenderedPageBreak/>
        <w:t xml:space="preserve">periods of highest electricity demand in the summer months (driven primarily by air conditioning use). </w:t>
      </w:r>
    </w:p>
    <w:p w:rsidR="00A070A0" w:rsidRPr="00A070A0" w:rsidRDefault="00A070A0" w:rsidP="00A070A0">
      <w:pPr>
        <w:spacing w:before="100" w:beforeAutospacing="1" w:after="100" w:afterAutospacing="1" w:line="240" w:lineRule="auto"/>
        <w:rPr>
          <w:rFonts w:ascii="Times New Roman" w:eastAsia="Times New Roman" w:hAnsi="Times New Roman" w:cs="Times New Roman"/>
          <w:sz w:val="24"/>
          <w:szCs w:val="24"/>
          <w:lang w:val="en"/>
        </w:rPr>
      </w:pPr>
      <w:r w:rsidRPr="00A070A0">
        <w:rPr>
          <w:rFonts w:ascii="Times New Roman" w:eastAsia="Times New Roman" w:hAnsi="Times New Roman" w:cs="Times New Roman"/>
          <w:sz w:val="24"/>
          <w:szCs w:val="24"/>
          <w:lang w:val="en"/>
        </w:rPr>
        <w:t xml:space="preserve">EIA's new tables include capacity factors for individual renewable generating technologies (see chart below). Geothermal and waste technologies operate fairly steadily and at high capacity factors. Intermittent renewable sources like solar and wind tend to have lower capacity factors, as their output varies with the availability of the sun and wind on both a daily and seasonal basis. Solar generators—particularly solar thermal—operate at a minimum during winter months, while the U.S. wind fleet on average has a period of low production during the late summer. Hydroelectric generators show both seasonal and </w:t>
      </w:r>
      <w:hyperlink r:id="rId13" w:history="1">
        <w:r w:rsidRPr="00A070A0">
          <w:rPr>
            <w:rFonts w:ascii="Times New Roman" w:eastAsia="Times New Roman" w:hAnsi="Times New Roman" w:cs="Times New Roman"/>
            <w:color w:val="0000FF"/>
            <w:sz w:val="24"/>
            <w:szCs w:val="24"/>
            <w:u w:val="single"/>
            <w:lang w:val="en"/>
          </w:rPr>
          <w:t>annual</w:t>
        </w:r>
      </w:hyperlink>
      <w:r w:rsidRPr="00A070A0">
        <w:rPr>
          <w:rFonts w:ascii="Times New Roman" w:eastAsia="Times New Roman" w:hAnsi="Times New Roman" w:cs="Times New Roman"/>
          <w:sz w:val="24"/>
          <w:szCs w:val="24"/>
          <w:lang w:val="en"/>
        </w:rPr>
        <w:t xml:space="preserve"> variations reflecting changing levels of precipitation, river flow, and snowmelt. </w:t>
      </w:r>
    </w:p>
    <w:p w:rsidR="00A070A0" w:rsidRPr="00A070A0" w:rsidRDefault="00A070A0" w:rsidP="00A070A0">
      <w:pPr>
        <w:spacing w:after="0" w:line="240" w:lineRule="auto"/>
        <w:rPr>
          <w:rFonts w:ascii="Times New Roman" w:eastAsia="Times New Roman" w:hAnsi="Times New Roman" w:cs="Times New Roman"/>
          <w:sz w:val="24"/>
          <w:szCs w:val="24"/>
          <w:lang w:val="en"/>
        </w:rPr>
      </w:pPr>
      <w:r w:rsidRPr="00A070A0">
        <w:rPr>
          <w:rFonts w:ascii="Times New Roman" w:eastAsia="Times New Roman" w:hAnsi="Times New Roman" w:cs="Times New Roman"/>
          <w:noProof/>
          <w:sz w:val="24"/>
          <w:szCs w:val="24"/>
        </w:rPr>
        <w:drawing>
          <wp:inline distT="0" distB="0" distL="0" distR="0" wp14:anchorId="0F37E0B6" wp14:editId="35FE880C">
            <wp:extent cx="5486400" cy="2733675"/>
            <wp:effectExtent l="0" t="0" r="0" b="9525"/>
            <wp:docPr id="2" name="Picture 2" descr="graph of monthly capacity factors for select renewable fuels and technologies, as explained in the articl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h of monthly capacity factors for select renewable fuels and technologies, as explained in the article 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733675"/>
                    </a:xfrm>
                    <a:prstGeom prst="rect">
                      <a:avLst/>
                    </a:prstGeom>
                    <a:noFill/>
                    <a:ln>
                      <a:noFill/>
                    </a:ln>
                  </pic:spPr>
                </pic:pic>
              </a:graphicData>
            </a:graphic>
          </wp:inline>
        </w:drawing>
      </w:r>
    </w:p>
    <w:p w:rsidR="00A070A0" w:rsidRPr="00A070A0" w:rsidRDefault="00A070A0" w:rsidP="00A070A0">
      <w:pPr>
        <w:spacing w:after="0" w:line="240" w:lineRule="auto"/>
        <w:rPr>
          <w:rFonts w:ascii="Times New Roman" w:eastAsia="Times New Roman" w:hAnsi="Times New Roman" w:cs="Times New Roman"/>
          <w:sz w:val="24"/>
          <w:szCs w:val="24"/>
          <w:lang w:val="en"/>
        </w:rPr>
      </w:pPr>
      <w:r w:rsidRPr="00A070A0">
        <w:rPr>
          <w:rFonts w:ascii="Times New Roman" w:eastAsia="Times New Roman" w:hAnsi="Times New Roman" w:cs="Times New Roman"/>
          <w:b/>
          <w:bCs/>
          <w:sz w:val="24"/>
          <w:szCs w:val="24"/>
          <w:lang w:val="en"/>
        </w:rPr>
        <w:t xml:space="preserve">Source: </w:t>
      </w:r>
      <w:r w:rsidRPr="00A070A0">
        <w:rPr>
          <w:rFonts w:ascii="Times New Roman" w:eastAsia="Times New Roman" w:hAnsi="Times New Roman" w:cs="Times New Roman"/>
          <w:sz w:val="24"/>
          <w:szCs w:val="24"/>
          <w:lang w:val="en"/>
        </w:rPr>
        <w:t xml:space="preserve">U.S. Energy Information Administration, Electric Power Monthly, Tables </w:t>
      </w:r>
      <w:hyperlink r:id="rId15" w:history="1">
        <w:r w:rsidRPr="00A070A0">
          <w:rPr>
            <w:rFonts w:ascii="Times New Roman" w:eastAsia="Times New Roman" w:hAnsi="Times New Roman" w:cs="Times New Roman"/>
            <w:color w:val="0000FF"/>
            <w:sz w:val="24"/>
            <w:szCs w:val="24"/>
            <w:u w:val="single"/>
            <w:lang w:val="en"/>
          </w:rPr>
          <w:t>6.7a</w:t>
        </w:r>
      </w:hyperlink>
      <w:r w:rsidRPr="00A070A0">
        <w:rPr>
          <w:rFonts w:ascii="Times New Roman" w:eastAsia="Times New Roman" w:hAnsi="Times New Roman" w:cs="Times New Roman"/>
          <w:sz w:val="24"/>
          <w:szCs w:val="24"/>
          <w:lang w:val="en"/>
        </w:rPr>
        <w:t xml:space="preserve"> and </w:t>
      </w:r>
      <w:hyperlink r:id="rId16" w:history="1">
        <w:r w:rsidRPr="00A070A0">
          <w:rPr>
            <w:rFonts w:ascii="Times New Roman" w:eastAsia="Times New Roman" w:hAnsi="Times New Roman" w:cs="Times New Roman"/>
            <w:color w:val="0000FF"/>
            <w:sz w:val="24"/>
            <w:szCs w:val="24"/>
            <w:u w:val="single"/>
            <w:lang w:val="en"/>
          </w:rPr>
          <w:t>6.7b</w:t>
        </w:r>
      </w:hyperlink>
      <w:r w:rsidRPr="00A070A0">
        <w:rPr>
          <w:rFonts w:ascii="Times New Roman" w:eastAsia="Times New Roman" w:hAnsi="Times New Roman" w:cs="Times New Roman"/>
          <w:sz w:val="24"/>
          <w:szCs w:val="24"/>
          <w:lang w:val="en"/>
        </w:rPr>
        <w:t xml:space="preserve"> </w:t>
      </w:r>
    </w:p>
    <w:p w:rsidR="00A070A0" w:rsidRPr="00A070A0" w:rsidRDefault="00A070A0" w:rsidP="00A070A0">
      <w:pPr>
        <w:spacing w:after="0" w:line="240" w:lineRule="auto"/>
        <w:rPr>
          <w:rFonts w:ascii="Times New Roman" w:eastAsia="Times New Roman" w:hAnsi="Times New Roman" w:cs="Times New Roman"/>
          <w:sz w:val="24"/>
          <w:szCs w:val="24"/>
          <w:lang w:val="en"/>
        </w:rPr>
      </w:pPr>
      <w:r w:rsidRPr="00A070A0">
        <w:rPr>
          <w:rFonts w:ascii="Times New Roman" w:eastAsia="Times New Roman" w:hAnsi="Times New Roman" w:cs="Times New Roman"/>
          <w:sz w:val="24"/>
          <w:szCs w:val="24"/>
          <w:lang w:val="en"/>
        </w:rPr>
        <w:pict>
          <v:rect id="_x0000_i1026" style="width:0;height:1.5pt" o:hralign="center" o:hrstd="t" o:hr="t" fillcolor="#a0a0a0" stroked="f"/>
        </w:pict>
      </w:r>
    </w:p>
    <w:p w:rsidR="00A070A0" w:rsidRPr="00A070A0" w:rsidRDefault="00A070A0" w:rsidP="00A070A0">
      <w:pPr>
        <w:spacing w:before="100" w:beforeAutospacing="1" w:after="100" w:afterAutospacing="1" w:line="240" w:lineRule="auto"/>
        <w:rPr>
          <w:rFonts w:ascii="Times New Roman" w:eastAsia="Times New Roman" w:hAnsi="Times New Roman" w:cs="Times New Roman"/>
          <w:sz w:val="24"/>
          <w:szCs w:val="24"/>
          <w:lang w:val="en"/>
        </w:rPr>
      </w:pPr>
      <w:r w:rsidRPr="00A070A0">
        <w:rPr>
          <w:rFonts w:ascii="Times New Roman" w:eastAsia="Times New Roman" w:hAnsi="Times New Roman" w:cs="Times New Roman"/>
          <w:b/>
          <w:bCs/>
          <w:sz w:val="24"/>
          <w:szCs w:val="24"/>
          <w:lang w:val="en"/>
        </w:rPr>
        <w:t xml:space="preserve">Principal contributor: </w:t>
      </w:r>
      <w:r w:rsidRPr="00A070A0">
        <w:rPr>
          <w:rFonts w:ascii="Times New Roman" w:eastAsia="Times New Roman" w:hAnsi="Times New Roman" w:cs="Times New Roman"/>
          <w:sz w:val="24"/>
          <w:szCs w:val="24"/>
          <w:lang w:val="en"/>
        </w:rPr>
        <w:t>EIA Staff</w:t>
      </w:r>
    </w:p>
    <w:p w:rsidR="00A070A0" w:rsidRPr="00A070A0" w:rsidRDefault="00A070A0" w:rsidP="00A070A0">
      <w:pPr>
        <w:spacing w:before="100" w:beforeAutospacing="1" w:after="100" w:afterAutospacing="1" w:line="240" w:lineRule="auto"/>
        <w:rPr>
          <w:rFonts w:ascii="Times New Roman" w:eastAsia="Times New Roman" w:hAnsi="Times New Roman" w:cs="Times New Roman"/>
          <w:sz w:val="24"/>
          <w:szCs w:val="24"/>
          <w:lang w:val="en"/>
        </w:rPr>
      </w:pPr>
      <w:r w:rsidRPr="00A070A0">
        <w:rPr>
          <w:rFonts w:ascii="Times New Roman" w:eastAsia="Times New Roman" w:hAnsi="Times New Roman" w:cs="Times New Roman"/>
          <w:b/>
          <w:bCs/>
          <w:sz w:val="24"/>
          <w:szCs w:val="24"/>
          <w:lang w:val="en"/>
        </w:rPr>
        <w:t xml:space="preserve">Tags: </w:t>
      </w:r>
      <w:hyperlink r:id="rId17" w:history="1">
        <w:r w:rsidRPr="00A070A0">
          <w:rPr>
            <w:rFonts w:ascii="Times New Roman" w:eastAsia="Times New Roman" w:hAnsi="Times New Roman" w:cs="Times New Roman"/>
            <w:color w:val="0000FF"/>
            <w:sz w:val="24"/>
            <w:szCs w:val="24"/>
            <w:u w:val="single"/>
            <w:lang w:val="en"/>
          </w:rPr>
          <w:t>capacity factor</w:t>
        </w:r>
      </w:hyperlink>
      <w:r w:rsidRPr="00A070A0">
        <w:rPr>
          <w:rFonts w:ascii="Times New Roman" w:eastAsia="Times New Roman" w:hAnsi="Times New Roman" w:cs="Times New Roman"/>
          <w:sz w:val="24"/>
          <w:szCs w:val="24"/>
          <w:lang w:val="en"/>
        </w:rPr>
        <w:t xml:space="preserve"> , </w:t>
      </w:r>
      <w:hyperlink r:id="rId18" w:history="1">
        <w:r w:rsidRPr="00A070A0">
          <w:rPr>
            <w:rFonts w:ascii="Times New Roman" w:eastAsia="Times New Roman" w:hAnsi="Times New Roman" w:cs="Times New Roman"/>
            <w:color w:val="0000FF"/>
            <w:sz w:val="24"/>
            <w:szCs w:val="24"/>
            <w:u w:val="single"/>
            <w:lang w:val="en"/>
          </w:rPr>
          <w:t>electricity</w:t>
        </w:r>
      </w:hyperlink>
      <w:r w:rsidRPr="00A070A0">
        <w:rPr>
          <w:rFonts w:ascii="Times New Roman" w:eastAsia="Times New Roman" w:hAnsi="Times New Roman" w:cs="Times New Roman"/>
          <w:sz w:val="24"/>
          <w:szCs w:val="24"/>
          <w:lang w:val="en"/>
        </w:rPr>
        <w:t xml:space="preserve"> , </w:t>
      </w:r>
      <w:hyperlink r:id="rId19" w:history="1">
        <w:r w:rsidRPr="00A070A0">
          <w:rPr>
            <w:rFonts w:ascii="Times New Roman" w:eastAsia="Times New Roman" w:hAnsi="Times New Roman" w:cs="Times New Roman"/>
            <w:color w:val="0000FF"/>
            <w:sz w:val="24"/>
            <w:szCs w:val="24"/>
            <w:u w:val="single"/>
            <w:lang w:val="en"/>
          </w:rPr>
          <w:t>generation</w:t>
        </w:r>
      </w:hyperlink>
      <w:r w:rsidRPr="00A070A0">
        <w:rPr>
          <w:rFonts w:ascii="Times New Roman" w:eastAsia="Times New Roman" w:hAnsi="Times New Roman" w:cs="Times New Roman"/>
          <w:sz w:val="24"/>
          <w:szCs w:val="24"/>
          <w:lang w:val="en"/>
        </w:rPr>
        <w:t xml:space="preserve"> , </w:t>
      </w:r>
      <w:hyperlink r:id="rId20" w:history="1">
        <w:r w:rsidRPr="00A070A0">
          <w:rPr>
            <w:rFonts w:ascii="Times New Roman" w:eastAsia="Times New Roman" w:hAnsi="Times New Roman" w:cs="Times New Roman"/>
            <w:color w:val="0000FF"/>
            <w:sz w:val="24"/>
            <w:szCs w:val="24"/>
            <w:u w:val="single"/>
            <w:lang w:val="en"/>
          </w:rPr>
          <w:t>renewable</w:t>
        </w:r>
      </w:hyperlink>
    </w:p>
    <w:p w:rsidR="00556307" w:rsidRDefault="00556307">
      <w:bookmarkStart w:id="0" w:name="_GoBack"/>
      <w:bookmarkEnd w:id="0"/>
    </w:p>
    <w:sectPr w:rsidR="00556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A0"/>
    <w:rsid w:val="00556307"/>
    <w:rsid w:val="00A0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87AC4-7459-4E9F-A89F-89027515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78764">
      <w:bodyDiv w:val="1"/>
      <w:marLeft w:val="0"/>
      <w:marRight w:val="0"/>
      <w:marTop w:val="0"/>
      <w:marBottom w:val="0"/>
      <w:divBdr>
        <w:top w:val="none" w:sz="0" w:space="0" w:color="auto"/>
        <w:left w:val="none" w:sz="0" w:space="0" w:color="auto"/>
        <w:bottom w:val="none" w:sz="0" w:space="0" w:color="auto"/>
        <w:right w:val="none" w:sz="0" w:space="0" w:color="auto"/>
      </w:divBdr>
      <w:divsChild>
        <w:div w:id="948657127">
          <w:marLeft w:val="0"/>
          <w:marRight w:val="0"/>
          <w:marTop w:val="0"/>
          <w:marBottom w:val="0"/>
          <w:divBdr>
            <w:top w:val="none" w:sz="0" w:space="0" w:color="auto"/>
            <w:left w:val="none" w:sz="0" w:space="0" w:color="auto"/>
            <w:bottom w:val="none" w:sz="0" w:space="0" w:color="auto"/>
            <w:right w:val="none" w:sz="0" w:space="0" w:color="auto"/>
          </w:divBdr>
          <w:divsChild>
            <w:div w:id="1055397137">
              <w:marLeft w:val="0"/>
              <w:marRight w:val="0"/>
              <w:marTop w:val="0"/>
              <w:marBottom w:val="0"/>
              <w:divBdr>
                <w:top w:val="none" w:sz="0" w:space="0" w:color="auto"/>
                <w:left w:val="none" w:sz="0" w:space="0" w:color="auto"/>
                <w:bottom w:val="none" w:sz="0" w:space="0" w:color="auto"/>
                <w:right w:val="none" w:sz="0" w:space="0" w:color="auto"/>
              </w:divBdr>
              <w:divsChild>
                <w:div w:id="1686251441">
                  <w:marLeft w:val="0"/>
                  <w:marRight w:val="0"/>
                  <w:marTop w:val="0"/>
                  <w:marBottom w:val="0"/>
                  <w:divBdr>
                    <w:top w:val="none" w:sz="0" w:space="0" w:color="auto"/>
                    <w:left w:val="none" w:sz="0" w:space="0" w:color="auto"/>
                    <w:bottom w:val="none" w:sz="0" w:space="0" w:color="auto"/>
                    <w:right w:val="none" w:sz="0" w:space="0" w:color="auto"/>
                  </w:divBdr>
                  <w:divsChild>
                    <w:div w:id="2012878625">
                      <w:marLeft w:val="0"/>
                      <w:marRight w:val="0"/>
                      <w:marTop w:val="0"/>
                      <w:marBottom w:val="0"/>
                      <w:divBdr>
                        <w:top w:val="none" w:sz="0" w:space="0" w:color="auto"/>
                        <w:left w:val="none" w:sz="0" w:space="0" w:color="auto"/>
                        <w:bottom w:val="none" w:sz="0" w:space="0" w:color="auto"/>
                        <w:right w:val="none" w:sz="0" w:space="0" w:color="auto"/>
                      </w:divBdr>
                      <w:divsChild>
                        <w:div w:id="1357383780">
                          <w:marLeft w:val="0"/>
                          <w:marRight w:val="0"/>
                          <w:marTop w:val="0"/>
                          <w:marBottom w:val="0"/>
                          <w:divBdr>
                            <w:top w:val="none" w:sz="0" w:space="0" w:color="auto"/>
                            <w:left w:val="none" w:sz="0" w:space="0" w:color="auto"/>
                            <w:bottom w:val="none" w:sz="0" w:space="0" w:color="auto"/>
                            <w:right w:val="none" w:sz="0" w:space="0" w:color="auto"/>
                          </w:divBdr>
                          <w:divsChild>
                            <w:div w:id="1005745819">
                              <w:marLeft w:val="0"/>
                              <w:marRight w:val="0"/>
                              <w:marTop w:val="0"/>
                              <w:marBottom w:val="0"/>
                              <w:divBdr>
                                <w:top w:val="none" w:sz="0" w:space="0" w:color="auto"/>
                                <w:left w:val="none" w:sz="0" w:space="0" w:color="auto"/>
                                <w:bottom w:val="none" w:sz="0" w:space="0" w:color="auto"/>
                                <w:right w:val="none" w:sz="0" w:space="0" w:color="auto"/>
                              </w:divBdr>
                              <w:divsChild>
                                <w:div w:id="905191043">
                                  <w:marLeft w:val="0"/>
                                  <w:marRight w:val="0"/>
                                  <w:marTop w:val="0"/>
                                  <w:marBottom w:val="0"/>
                                  <w:divBdr>
                                    <w:top w:val="none" w:sz="0" w:space="0" w:color="auto"/>
                                    <w:left w:val="none" w:sz="0" w:space="0" w:color="auto"/>
                                    <w:bottom w:val="none" w:sz="0" w:space="0" w:color="auto"/>
                                    <w:right w:val="none" w:sz="0" w:space="0" w:color="auto"/>
                                  </w:divBdr>
                                </w:div>
                                <w:div w:id="916019659">
                                  <w:marLeft w:val="300"/>
                                  <w:marRight w:val="0"/>
                                  <w:marTop w:val="180"/>
                                  <w:marBottom w:val="180"/>
                                  <w:divBdr>
                                    <w:top w:val="none" w:sz="0" w:space="0" w:color="auto"/>
                                    <w:left w:val="none" w:sz="0" w:space="0" w:color="auto"/>
                                    <w:bottom w:val="none" w:sz="0" w:space="0" w:color="auto"/>
                                    <w:right w:val="none" w:sz="0" w:space="0" w:color="auto"/>
                                  </w:divBdr>
                                  <w:divsChild>
                                    <w:div w:id="623469069">
                                      <w:marLeft w:val="0"/>
                                      <w:marRight w:val="0"/>
                                      <w:marTop w:val="0"/>
                                      <w:marBottom w:val="0"/>
                                      <w:divBdr>
                                        <w:top w:val="none" w:sz="0" w:space="0" w:color="auto"/>
                                        <w:left w:val="none" w:sz="0" w:space="0" w:color="auto"/>
                                        <w:bottom w:val="none" w:sz="0" w:space="0" w:color="auto"/>
                                        <w:right w:val="none" w:sz="0" w:space="0" w:color="auto"/>
                                      </w:divBdr>
                                    </w:div>
                                  </w:divsChild>
                                </w:div>
                                <w:div w:id="1642273283">
                                  <w:marLeft w:val="0"/>
                                  <w:marRight w:val="0"/>
                                  <w:marTop w:val="0"/>
                                  <w:marBottom w:val="0"/>
                                  <w:divBdr>
                                    <w:top w:val="none" w:sz="0" w:space="0" w:color="auto"/>
                                    <w:left w:val="none" w:sz="0" w:space="0" w:color="auto"/>
                                    <w:bottom w:val="none" w:sz="0" w:space="0" w:color="auto"/>
                                    <w:right w:val="none" w:sz="0" w:space="0" w:color="auto"/>
                                  </w:divBdr>
                                </w:div>
                                <w:div w:id="20014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a.gov/electricity/monthly/epm_table_grapher.cfm?t=epmt_6_07_a" TargetMode="External"/><Relationship Id="rId13" Type="http://schemas.openxmlformats.org/officeDocument/2006/relationships/hyperlink" Target="http://www.eia.gov/todayinenergy/detail.cfm?id=2650" TargetMode="External"/><Relationship Id="rId18" Type="http://schemas.openxmlformats.org/officeDocument/2006/relationships/hyperlink" Target="http://www.eia.gov/todayinenergy/index.cfm?tg=electricit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eia.gov/electricity/monthly/epm_table_grapher.cfm?t=epmt_6_07_b" TargetMode="External"/><Relationship Id="rId12" Type="http://schemas.openxmlformats.org/officeDocument/2006/relationships/hyperlink" Target="http://www.eia.gov/todayinenergy/detail.cfm?id=12951" TargetMode="External"/><Relationship Id="rId17" Type="http://schemas.openxmlformats.org/officeDocument/2006/relationships/hyperlink" Target="http://www.eia.gov/todayinenergy/index.cfm?tg=capacity%20factor" TargetMode="External"/><Relationship Id="rId2" Type="http://schemas.openxmlformats.org/officeDocument/2006/relationships/settings" Target="settings.xml"/><Relationship Id="rId16" Type="http://schemas.openxmlformats.org/officeDocument/2006/relationships/hyperlink" Target="http://www.eia.gov/electricity/monthly/epm_table_grapher.cfm?t=epmt_6_07_b" TargetMode="External"/><Relationship Id="rId20" Type="http://schemas.openxmlformats.org/officeDocument/2006/relationships/hyperlink" Target="http://www.eia.gov/todayinenergy/index.cfm?tg=renewable" TargetMode="External"/><Relationship Id="rId1" Type="http://schemas.openxmlformats.org/officeDocument/2006/relationships/styles" Target="styles.xml"/><Relationship Id="rId6" Type="http://schemas.openxmlformats.org/officeDocument/2006/relationships/hyperlink" Target="http://www.eia.gov/electricity/monthly/epm_table_grapher.cfm?t=epmt_6_07_a" TargetMode="External"/><Relationship Id="rId11" Type="http://schemas.openxmlformats.org/officeDocument/2006/relationships/hyperlink" Target="http://www.eia.gov/todayinenergy/detail.cfm?id=1710" TargetMode="External"/><Relationship Id="rId5" Type="http://schemas.openxmlformats.org/officeDocument/2006/relationships/image" Target="media/image1.png"/><Relationship Id="rId15" Type="http://schemas.openxmlformats.org/officeDocument/2006/relationships/hyperlink" Target="http://www.eia.gov/electricity/monthly/epm_table_grapher.cfm?t=epmt_6_07_a" TargetMode="External"/><Relationship Id="rId10" Type="http://schemas.openxmlformats.org/officeDocument/2006/relationships/hyperlink" Target="http://www.eia.gov/electricity/monthly/" TargetMode="External"/><Relationship Id="rId19" Type="http://schemas.openxmlformats.org/officeDocument/2006/relationships/hyperlink" Target="http://www.eia.gov/todayinenergy/index.cfm?tg=generation" TargetMode="External"/><Relationship Id="rId4" Type="http://schemas.openxmlformats.org/officeDocument/2006/relationships/hyperlink" Target="http://www.eia.gov/todayinenergy/detail.cfm?id=14611" TargetMode="External"/><Relationship Id="rId9" Type="http://schemas.openxmlformats.org/officeDocument/2006/relationships/hyperlink" Target="http://www.eia.gov/electricity/monthly/epm_table_grapher.cfm?t=epmt_6_07_b"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Meroney, William</dc:creator>
  <cp:keywords/>
  <dc:description/>
  <cp:lastModifiedBy>Meroney, William</cp:lastModifiedBy>
  <cp:revision>1</cp:revision>
  <dcterms:created xsi:type="dcterms:W3CDTF">2014-06-04T20:36:00Z</dcterms:created>
  <dcterms:modified xsi:type="dcterms:W3CDTF">2014-06-04T20:37:00Z</dcterms:modified>
</cp:coreProperties>
</file>