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C1" w:rsidRDefault="002839C1" w:rsidP="002839C1">
      <w:pPr>
        <w:rPr>
          <w:b/>
          <w:bCs/>
          <w:sz w:val="28"/>
          <w:szCs w:val="28"/>
          <w:u w:val="single"/>
        </w:rPr>
      </w:pPr>
    </w:p>
    <w:p w:rsidR="002839C1" w:rsidRPr="002839C1" w:rsidRDefault="002839C1" w:rsidP="002839C1">
      <w:pPr>
        <w:rPr>
          <w:b/>
          <w:bCs/>
          <w:sz w:val="28"/>
          <w:szCs w:val="28"/>
          <w:u w:val="single"/>
        </w:rPr>
      </w:pPr>
      <w:r w:rsidRPr="002839C1">
        <w:rPr>
          <w:b/>
          <w:bCs/>
          <w:sz w:val="28"/>
          <w:szCs w:val="28"/>
          <w:u w:val="single"/>
        </w:rPr>
        <w:t>MEMORANDUM</w:t>
      </w:r>
    </w:p>
    <w:p w:rsidR="002839C1" w:rsidRPr="002839C1" w:rsidRDefault="002839C1" w:rsidP="002839C1"/>
    <w:p w:rsidR="002839C1" w:rsidRPr="002839C1" w:rsidRDefault="002839C1" w:rsidP="002839C1">
      <w:r w:rsidRPr="002839C1">
        <w:rPr>
          <w:b/>
          <w:bCs/>
          <w:caps/>
        </w:rPr>
        <w:t>Date:</w:t>
      </w:r>
      <w:r>
        <w:rPr>
          <w:caps/>
        </w:rPr>
        <w:t> </w:t>
      </w:r>
      <w:r>
        <w:rPr>
          <w:caps/>
        </w:rPr>
        <w:tab/>
      </w:r>
      <w:r>
        <w:rPr>
          <w:caps/>
        </w:rPr>
        <w:tab/>
      </w:r>
      <w:r w:rsidR="00D0105D">
        <w:t>11/21</w:t>
      </w:r>
      <w:r w:rsidR="00BB5C5E">
        <w:t>/14</w:t>
      </w:r>
    </w:p>
    <w:p w:rsidR="002839C1" w:rsidRPr="002839C1" w:rsidRDefault="002839C1" w:rsidP="002839C1"/>
    <w:p w:rsidR="002839C1" w:rsidRPr="002839C1" w:rsidRDefault="002839C1" w:rsidP="002839C1">
      <w:pPr>
        <w:outlineLvl w:val="0"/>
      </w:pPr>
      <w:r w:rsidRPr="002839C1">
        <w:rPr>
          <w:b/>
          <w:bCs/>
          <w:caps/>
        </w:rPr>
        <w:t>From:</w:t>
      </w:r>
      <w:r w:rsidRPr="002839C1">
        <w:t xml:space="preserve"> </w:t>
      </w:r>
      <w:r>
        <w:tab/>
      </w:r>
      <w:r>
        <w:tab/>
      </w:r>
      <w:r w:rsidRPr="002839C1">
        <w:t>Ken Mitchell/EPA Region 4</w:t>
      </w:r>
    </w:p>
    <w:p w:rsidR="002839C1" w:rsidRPr="002839C1" w:rsidRDefault="002839C1" w:rsidP="002839C1"/>
    <w:p w:rsidR="002839C1" w:rsidRPr="002839C1" w:rsidRDefault="002839C1" w:rsidP="002839C1">
      <w:r w:rsidRPr="002839C1">
        <w:rPr>
          <w:b/>
          <w:bCs/>
          <w:caps/>
        </w:rPr>
        <w:t>To:</w:t>
      </w:r>
      <w:r>
        <w:rPr>
          <w:b/>
          <w:bCs/>
          <w:caps/>
        </w:rPr>
        <w:tab/>
      </w:r>
      <w:r>
        <w:rPr>
          <w:b/>
          <w:bCs/>
          <w:caps/>
        </w:rPr>
        <w:tab/>
      </w:r>
      <w:r w:rsidRPr="002839C1">
        <w:t>Clean Power Plan for Existing Power Plants; Docket Id: OAR–2013-0602</w:t>
      </w:r>
    </w:p>
    <w:p w:rsidR="002839C1" w:rsidRPr="002839C1" w:rsidRDefault="002839C1" w:rsidP="002839C1"/>
    <w:p w:rsidR="002839C1" w:rsidRPr="002839C1" w:rsidRDefault="002839C1" w:rsidP="00BB5C5E">
      <w:pPr>
        <w:ind w:left="1440" w:hanging="1440"/>
      </w:pPr>
      <w:r w:rsidRPr="002839C1">
        <w:rPr>
          <w:b/>
          <w:bCs/>
          <w:caps/>
        </w:rPr>
        <w:t>Subject:</w:t>
      </w:r>
      <w:r>
        <w:rPr>
          <w:b/>
          <w:bCs/>
          <w:caps/>
        </w:rPr>
        <w:tab/>
      </w:r>
      <w:r w:rsidR="00BB5C5E">
        <w:t xml:space="preserve">Discussion of the Clean Power </w:t>
      </w:r>
      <w:r w:rsidR="00D0105D">
        <w:t xml:space="preserve">Plan with </w:t>
      </w:r>
      <w:r w:rsidR="00B561D6">
        <w:t>the Georgia Environmental Protection Division</w:t>
      </w:r>
    </w:p>
    <w:p w:rsidR="002839C1" w:rsidRPr="002839C1" w:rsidRDefault="002839C1" w:rsidP="002839C1"/>
    <w:p w:rsidR="002839C1" w:rsidRDefault="002839C1" w:rsidP="002839C1">
      <w:pPr>
        <w:rPr>
          <w:b/>
          <w:bCs/>
          <w:caps/>
          <w:u w:val="single"/>
        </w:rPr>
      </w:pPr>
    </w:p>
    <w:p w:rsidR="002839C1" w:rsidRDefault="002839C1" w:rsidP="002839C1">
      <w:pPr>
        <w:rPr>
          <w:b/>
          <w:bCs/>
          <w:caps/>
        </w:rPr>
      </w:pPr>
      <w:r w:rsidRPr="002839C1">
        <w:rPr>
          <w:b/>
          <w:bCs/>
          <w:caps/>
          <w:u w:val="single"/>
        </w:rPr>
        <w:t>Summary</w:t>
      </w:r>
      <w:r w:rsidRPr="002839C1">
        <w:rPr>
          <w:b/>
          <w:bCs/>
          <w:caps/>
        </w:rPr>
        <w:t xml:space="preserve">:        </w:t>
      </w:r>
    </w:p>
    <w:p w:rsidR="005E3232" w:rsidRDefault="005E3232" w:rsidP="002839C1">
      <w:pPr>
        <w:rPr>
          <w:b/>
          <w:bCs/>
          <w:caps/>
        </w:rPr>
      </w:pPr>
    </w:p>
    <w:p w:rsidR="005E6C10" w:rsidRDefault="005E3232" w:rsidP="00B561D6">
      <w:pPr>
        <w:ind w:left="1440" w:hanging="1440"/>
      </w:pPr>
      <w:r w:rsidRPr="005E3232">
        <w:rPr>
          <w:sz w:val="24"/>
          <w:szCs w:val="24"/>
        </w:rPr>
        <w:t>Region 4 provided information on the Clean Power Plan</w:t>
      </w:r>
      <w:r w:rsidR="008C7495">
        <w:rPr>
          <w:sz w:val="24"/>
          <w:szCs w:val="24"/>
        </w:rPr>
        <w:t xml:space="preserve"> </w:t>
      </w:r>
      <w:r w:rsidR="00D0105D">
        <w:rPr>
          <w:sz w:val="24"/>
          <w:szCs w:val="24"/>
        </w:rPr>
        <w:t>to</w:t>
      </w:r>
      <w:r w:rsidR="00B561D6">
        <w:rPr>
          <w:sz w:val="24"/>
          <w:szCs w:val="24"/>
        </w:rPr>
        <w:t xml:space="preserve"> the </w:t>
      </w:r>
      <w:r w:rsidR="00B561D6">
        <w:t xml:space="preserve">Georgia Environmental </w:t>
      </w:r>
    </w:p>
    <w:p w:rsidR="005E6C10" w:rsidRDefault="00B561D6" w:rsidP="00B561D6">
      <w:pPr>
        <w:ind w:left="1440" w:hanging="1440"/>
        <w:rPr>
          <w:sz w:val="24"/>
          <w:szCs w:val="24"/>
        </w:rPr>
      </w:pPr>
      <w:r>
        <w:t>Protection Division</w:t>
      </w:r>
      <w:r w:rsidR="005E3232" w:rsidRPr="005E3232">
        <w:t xml:space="preserve"> on </w:t>
      </w:r>
      <w:r>
        <w:t>August 1</w:t>
      </w:r>
      <w:r w:rsidR="005E6C10">
        <w:t>3</w:t>
      </w:r>
      <w:r>
        <w:t>,</w:t>
      </w:r>
      <w:r w:rsidR="005E6C10">
        <w:t xml:space="preserve"> </w:t>
      </w:r>
      <w:r w:rsidR="005E3232" w:rsidRPr="005E3232">
        <w:t>2014</w:t>
      </w:r>
      <w:r w:rsidR="005E3232" w:rsidRPr="005E3232">
        <w:rPr>
          <w:sz w:val="24"/>
          <w:szCs w:val="24"/>
        </w:rPr>
        <w:t>.  The Clea</w:t>
      </w:r>
      <w:r w:rsidR="008C7495">
        <w:rPr>
          <w:sz w:val="24"/>
          <w:szCs w:val="24"/>
        </w:rPr>
        <w:t>n Power</w:t>
      </w:r>
      <w:r>
        <w:rPr>
          <w:sz w:val="24"/>
          <w:szCs w:val="24"/>
        </w:rPr>
        <w:t xml:space="preserve"> </w:t>
      </w:r>
      <w:r w:rsidR="005E3232" w:rsidRPr="005E3232">
        <w:rPr>
          <w:sz w:val="24"/>
          <w:szCs w:val="24"/>
        </w:rPr>
        <w:t>Plan for Existing Power</w:t>
      </w:r>
      <w:r w:rsidR="008C7495">
        <w:rPr>
          <w:sz w:val="24"/>
          <w:szCs w:val="24"/>
        </w:rPr>
        <w:t xml:space="preserve"> </w:t>
      </w:r>
      <w:r w:rsidR="005E3232" w:rsidRPr="005E3232">
        <w:rPr>
          <w:sz w:val="24"/>
          <w:szCs w:val="24"/>
        </w:rPr>
        <w:t xml:space="preserve">Plants was </w:t>
      </w:r>
    </w:p>
    <w:p w:rsidR="005E3232" w:rsidRPr="005E3232" w:rsidRDefault="008C7495" w:rsidP="00B561D6">
      <w:pPr>
        <w:ind w:left="1440" w:hanging="1440"/>
        <w:rPr>
          <w:rFonts w:ascii="Times New Roman" w:hAnsi="Times New Roman" w:cs="Times New Roman"/>
          <w:sz w:val="24"/>
          <w:szCs w:val="24"/>
        </w:rPr>
      </w:pPr>
      <w:r>
        <w:rPr>
          <w:sz w:val="24"/>
          <w:szCs w:val="24"/>
        </w:rPr>
        <w:t>p</w:t>
      </w:r>
      <w:r w:rsidR="005E3232" w:rsidRPr="005E3232">
        <w:rPr>
          <w:sz w:val="24"/>
          <w:szCs w:val="24"/>
        </w:rPr>
        <w:t>roposed on June 2, 2014.</w:t>
      </w:r>
      <w:r>
        <w:rPr>
          <w:sz w:val="24"/>
          <w:szCs w:val="24"/>
        </w:rPr>
        <w:t xml:space="preserve">  </w:t>
      </w:r>
    </w:p>
    <w:p w:rsidR="002839C1" w:rsidRDefault="002839C1" w:rsidP="002839C1">
      <w:pPr>
        <w:rPr>
          <w:b/>
          <w:bCs/>
          <w:caps/>
        </w:rPr>
      </w:pPr>
    </w:p>
    <w:p w:rsidR="002839C1" w:rsidRPr="002839C1" w:rsidRDefault="002839C1" w:rsidP="002839C1">
      <w:pPr>
        <w:rPr>
          <w:b/>
          <w:bCs/>
          <w:caps/>
        </w:rPr>
      </w:pPr>
      <w:r w:rsidRPr="00BB5C5E">
        <w:rPr>
          <w:b/>
          <w:bCs/>
          <w:caps/>
        </w:rPr>
        <w:t>Attendees</w:t>
      </w:r>
      <w:r w:rsidRPr="002839C1">
        <w:rPr>
          <w:b/>
          <w:bCs/>
          <w:caps/>
        </w:rPr>
        <w:t>:</w:t>
      </w:r>
    </w:p>
    <w:p w:rsidR="002839C1" w:rsidRPr="002839C1" w:rsidRDefault="002839C1" w:rsidP="002839C1">
      <w:pPr>
        <w:rPr>
          <w:b/>
          <w:bCs/>
          <w:u w:val="single"/>
        </w:rPr>
      </w:pPr>
      <w:r w:rsidRPr="002839C1">
        <w:rPr>
          <w:b/>
          <w:bCs/>
          <w:u w:val="single"/>
        </w:rPr>
        <w:br/>
        <w:t>EPA</w:t>
      </w:r>
    </w:p>
    <w:p w:rsidR="002839C1" w:rsidRDefault="003A484A" w:rsidP="002839C1">
      <w:r>
        <w:t>Beverly Banister</w:t>
      </w:r>
      <w:r w:rsidR="002839C1" w:rsidRPr="002839C1">
        <w:t>/EPA R4</w:t>
      </w:r>
      <w:r w:rsidR="00066F9E">
        <w:t xml:space="preserve"> </w:t>
      </w:r>
    </w:p>
    <w:p w:rsidR="005E6C10" w:rsidRDefault="005E6C10" w:rsidP="005E3232">
      <w:r>
        <w:t>Carol Kemker/EPA R4</w:t>
      </w:r>
    </w:p>
    <w:p w:rsidR="00B561D6" w:rsidRDefault="00B561D6" w:rsidP="005E3232">
      <w:r>
        <w:t>Jeaneanne Gettle/EPA R4</w:t>
      </w:r>
    </w:p>
    <w:p w:rsidR="005E3232" w:rsidRDefault="00B561D6" w:rsidP="005E3232">
      <w:r>
        <w:t>Ken Mitchell/EPA R4</w:t>
      </w:r>
    </w:p>
    <w:p w:rsidR="005E6C10" w:rsidRPr="002839C1" w:rsidRDefault="005E6C10" w:rsidP="005E3232">
      <w:r>
        <w:t>David McNeal/EPA R4</w:t>
      </w:r>
    </w:p>
    <w:p w:rsidR="005E6C10" w:rsidRDefault="005E6C10" w:rsidP="002839C1">
      <w:r>
        <w:t>David Solomon/EPA OAQPS</w:t>
      </w:r>
    </w:p>
    <w:p w:rsidR="005E6C10" w:rsidRDefault="005E6C10" w:rsidP="002839C1">
      <w:r>
        <w:t>Lisa Conner/EPA OAQPS</w:t>
      </w:r>
    </w:p>
    <w:p w:rsidR="005E6C10" w:rsidRDefault="005E6C10" w:rsidP="002839C1">
      <w:r>
        <w:t>Elineth Torres/EPA OAQPS</w:t>
      </w:r>
    </w:p>
    <w:p w:rsidR="005E6C10" w:rsidRDefault="005E6C10" w:rsidP="002839C1">
      <w:r>
        <w:t>Julia Miller/EPA OAP</w:t>
      </w:r>
    </w:p>
    <w:p w:rsidR="005E6C10" w:rsidRDefault="005E6C10" w:rsidP="002839C1">
      <w:r>
        <w:t>Erika Wilson/EPA OAP</w:t>
      </w:r>
    </w:p>
    <w:p w:rsidR="005E6C10" w:rsidRDefault="005E6C10" w:rsidP="002839C1">
      <w:r>
        <w:t>Erich Eichmann/EPA OAP</w:t>
      </w:r>
    </w:p>
    <w:p w:rsidR="005E3232" w:rsidRDefault="00B561D6" w:rsidP="002839C1">
      <w:r>
        <w:t>Matt Clouse/EPA OAP</w:t>
      </w:r>
    </w:p>
    <w:p w:rsidR="00B561D6" w:rsidRDefault="00B561D6" w:rsidP="002839C1">
      <w:r>
        <w:t>Other EPA Staff</w:t>
      </w:r>
    </w:p>
    <w:p w:rsidR="005E3232" w:rsidRPr="002839C1" w:rsidRDefault="005E3232" w:rsidP="002839C1"/>
    <w:p w:rsidR="002839C1" w:rsidRPr="002839C1" w:rsidRDefault="002839C1" w:rsidP="002839C1">
      <w:pPr>
        <w:rPr>
          <w:b/>
          <w:bCs/>
          <w:u w:val="single"/>
        </w:rPr>
      </w:pPr>
      <w:r w:rsidRPr="002839C1">
        <w:rPr>
          <w:b/>
          <w:bCs/>
          <w:u w:val="single"/>
        </w:rPr>
        <w:t>External Stakeholders</w:t>
      </w:r>
    </w:p>
    <w:p w:rsidR="00B561D6" w:rsidRDefault="005E6C10" w:rsidP="00DA3A25">
      <w:r>
        <w:t>Albert Pierce/GA EPD</w:t>
      </w:r>
    </w:p>
    <w:p w:rsidR="005E6C10" w:rsidRDefault="005E6C10" w:rsidP="00DA3A25">
      <w:r>
        <w:t>Karen Hays/GA EPD</w:t>
      </w:r>
    </w:p>
    <w:p w:rsidR="00B561D6" w:rsidRDefault="00B561D6" w:rsidP="00DA3A25">
      <w:r>
        <w:t>Mary Walker/GA EPD</w:t>
      </w:r>
    </w:p>
    <w:p w:rsidR="00B561D6" w:rsidRDefault="00B561D6" w:rsidP="00DA3A25">
      <w:r>
        <w:t>Keith Bentley/GA EPD</w:t>
      </w:r>
    </w:p>
    <w:p w:rsidR="00B561D6" w:rsidRDefault="00B561D6" w:rsidP="00DA3A25">
      <w:r>
        <w:t>Jud Turner/GA EPD</w:t>
      </w:r>
    </w:p>
    <w:p w:rsidR="00D02F0A" w:rsidRDefault="00D02F0A" w:rsidP="00DA3A25"/>
    <w:p w:rsidR="00D02F0A" w:rsidRDefault="00D02F0A" w:rsidP="00DA3A25">
      <w:pPr>
        <w:rPr>
          <w:b/>
        </w:rPr>
      </w:pPr>
      <w:r w:rsidRPr="00D02F0A">
        <w:rPr>
          <w:b/>
        </w:rPr>
        <w:t>ATTACHMENT</w:t>
      </w:r>
    </w:p>
    <w:p w:rsidR="00D02F0A" w:rsidRDefault="00D02F0A">
      <w:pPr>
        <w:spacing w:after="160" w:line="259" w:lineRule="auto"/>
        <w:rPr>
          <w:b/>
        </w:rPr>
      </w:pPr>
      <w:r>
        <w:rPr>
          <w:b/>
        </w:rPr>
        <w:br w:type="page"/>
      </w:r>
    </w:p>
    <w:p w:rsidR="005E6C10" w:rsidRDefault="00D02F0A" w:rsidP="00D02F0A">
      <w:pPr>
        <w:ind w:left="1440" w:hanging="1440"/>
        <w:rPr>
          <w:b/>
        </w:rPr>
      </w:pPr>
      <w:r w:rsidRPr="006D611E">
        <w:rPr>
          <w:b/>
        </w:rPr>
        <w:lastRenderedPageBreak/>
        <w:t>Advance Questions for Discussion of the Clean Power Plan wit</w:t>
      </w:r>
      <w:r w:rsidRPr="009F74D3">
        <w:rPr>
          <w:b/>
        </w:rPr>
        <w:t xml:space="preserve">h </w:t>
      </w:r>
      <w:r>
        <w:rPr>
          <w:b/>
        </w:rPr>
        <w:t>the G</w:t>
      </w:r>
      <w:r w:rsidR="006411DB">
        <w:rPr>
          <w:b/>
        </w:rPr>
        <w:t>eorgia Envi</w:t>
      </w:r>
      <w:r w:rsidR="005E6C10">
        <w:rPr>
          <w:b/>
        </w:rPr>
        <w:t>ronmental Protect</w:t>
      </w:r>
      <w:r w:rsidR="006411DB">
        <w:rPr>
          <w:b/>
        </w:rPr>
        <w:t>ion</w:t>
      </w:r>
    </w:p>
    <w:p w:rsidR="006411DB" w:rsidRDefault="00D02F0A" w:rsidP="008776E2">
      <w:pPr>
        <w:ind w:left="1440" w:hanging="1440"/>
        <w:rPr>
          <w:b/>
        </w:rPr>
      </w:pPr>
      <w:r>
        <w:rPr>
          <w:b/>
        </w:rPr>
        <w:t>Divis</w:t>
      </w:r>
      <w:r w:rsidR="006411DB">
        <w:rPr>
          <w:b/>
        </w:rPr>
        <w:t>i</w:t>
      </w:r>
      <w:r>
        <w:rPr>
          <w:b/>
        </w:rPr>
        <w:t>on on 8</w:t>
      </w:r>
      <w:r w:rsidRPr="009F74D3">
        <w:rPr>
          <w:b/>
        </w:rPr>
        <w:t>/</w:t>
      </w:r>
      <w:r>
        <w:rPr>
          <w:b/>
        </w:rPr>
        <w:t>1</w:t>
      </w:r>
      <w:r w:rsidR="006411DB">
        <w:rPr>
          <w:b/>
        </w:rPr>
        <w:t>3</w:t>
      </w:r>
      <w:r w:rsidRPr="009F74D3">
        <w:rPr>
          <w:b/>
        </w:rPr>
        <w:t>/14</w:t>
      </w:r>
    </w:p>
    <w:p w:rsidR="008776E2" w:rsidRDefault="008776E2" w:rsidP="008776E2">
      <w:pPr>
        <w:ind w:left="1440" w:hanging="1440"/>
        <w:rPr>
          <w:b/>
        </w:rPr>
      </w:pPr>
    </w:p>
    <w:p w:rsidR="008776E2" w:rsidRDefault="008776E2" w:rsidP="008776E2">
      <w:pPr>
        <w:rPr>
          <w:rFonts w:asciiTheme="minorHAnsi" w:hAnsiTheme="minorHAnsi" w:cstheme="minorBidi"/>
          <w:b/>
          <w:u w:val="single"/>
        </w:rPr>
      </w:pPr>
    </w:p>
    <w:tbl>
      <w:tblPr>
        <w:tblStyle w:val="TableGrid"/>
        <w:tblW w:w="0" w:type="auto"/>
        <w:tblLook w:val="04A0" w:firstRow="1" w:lastRow="0" w:firstColumn="1" w:lastColumn="0" w:noHBand="0" w:noVBand="1"/>
      </w:tblPr>
      <w:tblGrid>
        <w:gridCol w:w="2307"/>
        <w:gridCol w:w="7043"/>
      </w:tblGrid>
      <w:tr w:rsidR="008776E2" w:rsidRPr="008776E2" w:rsidTr="008776E2">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76E2" w:rsidRPr="008776E2" w:rsidRDefault="008776E2">
            <w:pPr>
              <w:rPr>
                <w:b/>
                <w:sz w:val="24"/>
                <w:szCs w:val="24"/>
              </w:rPr>
            </w:pPr>
            <w:r w:rsidRPr="008776E2">
              <w:rPr>
                <w:b/>
                <w:sz w:val="24"/>
                <w:szCs w:val="24"/>
              </w:rPr>
              <w:t>Subject</w:t>
            </w:r>
          </w:p>
        </w:tc>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76E2" w:rsidRPr="008776E2" w:rsidRDefault="008776E2">
            <w:pPr>
              <w:rPr>
                <w:b/>
                <w:sz w:val="24"/>
                <w:szCs w:val="24"/>
              </w:rPr>
            </w:pPr>
            <w:r w:rsidRPr="008776E2">
              <w:rPr>
                <w:b/>
                <w:sz w:val="24"/>
                <w:szCs w:val="24"/>
              </w:rPr>
              <w:t xml:space="preserve">Question </w:t>
            </w: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tcPr>
          <w:p w:rsidR="008776E2" w:rsidRPr="008776E2" w:rsidRDefault="008776E2">
            <w:pPr>
              <w:rPr>
                <w:b/>
                <w:sz w:val="24"/>
                <w:szCs w:val="24"/>
              </w:rPr>
            </w:pPr>
          </w:p>
        </w:tc>
        <w:tc>
          <w:tcPr>
            <w:tcW w:w="9720" w:type="dxa"/>
            <w:tcBorders>
              <w:top w:val="single" w:sz="4" w:space="0" w:color="auto"/>
              <w:left w:val="single" w:sz="4" w:space="0" w:color="auto"/>
              <w:bottom w:val="single" w:sz="4" w:space="0" w:color="auto"/>
              <w:right w:val="single" w:sz="4" w:space="0" w:color="auto"/>
            </w:tcBorders>
          </w:tcPr>
          <w:p w:rsidR="008776E2" w:rsidRPr="008776E2" w:rsidRDefault="008776E2">
            <w:pPr>
              <w:rPr>
                <w:sz w:val="24"/>
                <w:szCs w:val="24"/>
              </w:rPr>
            </w:pP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b/>
                <w:sz w:val="24"/>
                <w:szCs w:val="24"/>
              </w:rPr>
            </w:pPr>
            <w:r w:rsidRPr="008776E2">
              <w:rPr>
                <w:b/>
                <w:sz w:val="24"/>
                <w:szCs w:val="24"/>
              </w:rPr>
              <w:t>Dispatch to Natural Gas CC</w:t>
            </w:r>
          </w:p>
        </w:tc>
        <w:tc>
          <w:tcPr>
            <w:tcW w:w="9720"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sz w:val="24"/>
                <w:szCs w:val="24"/>
              </w:rPr>
            </w:pPr>
            <w:r w:rsidRPr="008776E2">
              <w:rPr>
                <w:sz w:val="24"/>
                <w:szCs w:val="24"/>
              </w:rPr>
              <w:t xml:space="preserve">Dispatch is currently performed based on economics.  What regulatory mechanism does EPA anticipate states using to require utilities to give priority to CO2 emissions over cost?  Implementation of a minimum dispatch requirement for NGCC would have significant impacts on our publically-owned utilities and their customers (Oglethorpe Power and MEAG Power). </w:t>
            </w:r>
          </w:p>
          <w:p w:rsidR="008776E2" w:rsidRPr="008776E2" w:rsidRDefault="008776E2">
            <w:pPr>
              <w:rPr>
                <w:sz w:val="24"/>
                <w:szCs w:val="24"/>
              </w:rPr>
            </w:pPr>
            <w:r w:rsidRPr="008776E2">
              <w:rPr>
                <w:sz w:val="24"/>
                <w:szCs w:val="24"/>
              </w:rPr>
              <w:t xml:space="preserve"> </w:t>
            </w: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b/>
                <w:sz w:val="24"/>
                <w:szCs w:val="24"/>
              </w:rPr>
            </w:pPr>
            <w:r w:rsidRPr="008776E2">
              <w:rPr>
                <w:b/>
                <w:sz w:val="24"/>
                <w:szCs w:val="24"/>
              </w:rPr>
              <w:t>Renewable generation – basis for SE target of 10 %</w:t>
            </w:r>
          </w:p>
        </w:tc>
        <w:tc>
          <w:tcPr>
            <w:tcW w:w="9720" w:type="dxa"/>
            <w:tcBorders>
              <w:top w:val="single" w:sz="4" w:space="0" w:color="auto"/>
              <w:left w:val="single" w:sz="4" w:space="0" w:color="auto"/>
              <w:bottom w:val="single" w:sz="4" w:space="0" w:color="auto"/>
              <w:right w:val="single" w:sz="4" w:space="0" w:color="auto"/>
            </w:tcBorders>
          </w:tcPr>
          <w:p w:rsidR="008776E2" w:rsidRPr="008776E2" w:rsidRDefault="008776E2">
            <w:pPr>
              <w:rPr>
                <w:sz w:val="24"/>
                <w:szCs w:val="24"/>
              </w:rPr>
            </w:pPr>
            <w:r w:rsidRPr="008776E2">
              <w:rPr>
                <w:sz w:val="24"/>
                <w:szCs w:val="24"/>
              </w:rPr>
              <w:t xml:space="preserve">The SE target of 10% was set based on the NC standard, which covers both RE and EE generation as opposed to RE only.  Is the basis for the 10 % assignment technically correct? </w:t>
            </w:r>
          </w:p>
          <w:p w:rsidR="008776E2" w:rsidRPr="008776E2" w:rsidRDefault="008776E2">
            <w:pPr>
              <w:rPr>
                <w:sz w:val="24"/>
                <w:szCs w:val="24"/>
              </w:rPr>
            </w:pP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b/>
                <w:sz w:val="24"/>
                <w:szCs w:val="24"/>
              </w:rPr>
            </w:pPr>
            <w:r w:rsidRPr="008776E2">
              <w:rPr>
                <w:b/>
                <w:sz w:val="24"/>
                <w:szCs w:val="24"/>
              </w:rPr>
              <w:t>Renewable generation – credit to generator or purchaser</w:t>
            </w:r>
          </w:p>
        </w:tc>
        <w:tc>
          <w:tcPr>
            <w:tcW w:w="9720" w:type="dxa"/>
            <w:tcBorders>
              <w:top w:val="single" w:sz="4" w:space="0" w:color="auto"/>
              <w:left w:val="single" w:sz="4" w:space="0" w:color="auto"/>
              <w:bottom w:val="single" w:sz="4" w:space="0" w:color="auto"/>
              <w:right w:val="single" w:sz="4" w:space="0" w:color="auto"/>
            </w:tcBorders>
          </w:tcPr>
          <w:p w:rsidR="008776E2" w:rsidRPr="008776E2" w:rsidRDefault="008776E2">
            <w:pPr>
              <w:rPr>
                <w:sz w:val="24"/>
                <w:szCs w:val="24"/>
              </w:rPr>
            </w:pPr>
            <w:r w:rsidRPr="008776E2">
              <w:rPr>
                <w:sz w:val="24"/>
                <w:szCs w:val="24"/>
              </w:rPr>
              <w:t>Who gets credit for renewable power purchased out-of-state?  The state purchasing or the state with the generation?  Has EPA changed their position on the answer previously given (which was the state purchasing the power gets the credit)?  How are wind and solar quantified for calculation of emissions performance?  Are there enforceable compliance mechanisms other than an RPS or EERS?</w:t>
            </w:r>
          </w:p>
          <w:p w:rsidR="008776E2" w:rsidRPr="008776E2" w:rsidRDefault="008776E2">
            <w:pPr>
              <w:rPr>
                <w:sz w:val="24"/>
                <w:szCs w:val="24"/>
              </w:rPr>
            </w:pP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b/>
                <w:sz w:val="24"/>
                <w:szCs w:val="24"/>
              </w:rPr>
            </w:pPr>
            <w:r w:rsidRPr="008776E2">
              <w:rPr>
                <w:b/>
                <w:sz w:val="24"/>
                <w:szCs w:val="24"/>
              </w:rPr>
              <w:t>Modeling</w:t>
            </w:r>
          </w:p>
        </w:tc>
        <w:tc>
          <w:tcPr>
            <w:tcW w:w="9720" w:type="dxa"/>
            <w:tcBorders>
              <w:top w:val="single" w:sz="4" w:space="0" w:color="auto"/>
              <w:left w:val="single" w:sz="4" w:space="0" w:color="auto"/>
              <w:bottom w:val="single" w:sz="4" w:space="0" w:color="auto"/>
              <w:right w:val="single" w:sz="4" w:space="0" w:color="auto"/>
            </w:tcBorders>
          </w:tcPr>
          <w:p w:rsidR="008776E2" w:rsidRPr="008776E2" w:rsidRDefault="008776E2">
            <w:pPr>
              <w:rPr>
                <w:sz w:val="24"/>
                <w:szCs w:val="24"/>
              </w:rPr>
            </w:pPr>
            <w:r w:rsidRPr="008776E2">
              <w:rPr>
                <w:sz w:val="24"/>
                <w:szCs w:val="24"/>
              </w:rPr>
              <w:t>Can EPA’s modelers work with our modelers so that we can evaluate the modeling runs that EPA did?   We would like to see the output files in an understandable format and be walked through the modeled compliance scenario.</w:t>
            </w:r>
          </w:p>
          <w:p w:rsidR="008776E2" w:rsidRPr="008776E2" w:rsidRDefault="008776E2">
            <w:pPr>
              <w:rPr>
                <w:sz w:val="24"/>
                <w:szCs w:val="24"/>
              </w:rPr>
            </w:pP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b/>
                <w:sz w:val="24"/>
                <w:szCs w:val="24"/>
              </w:rPr>
            </w:pPr>
            <w:r w:rsidRPr="008776E2">
              <w:rPr>
                <w:b/>
                <w:sz w:val="24"/>
                <w:szCs w:val="24"/>
              </w:rPr>
              <w:t>Mass-based goal</w:t>
            </w:r>
          </w:p>
        </w:tc>
        <w:tc>
          <w:tcPr>
            <w:tcW w:w="9720"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sz w:val="24"/>
                <w:szCs w:val="24"/>
              </w:rPr>
            </w:pPr>
            <w:r w:rsidRPr="008776E2">
              <w:rPr>
                <w:sz w:val="24"/>
                <w:szCs w:val="24"/>
              </w:rPr>
              <w:t>SE states have requested a webinar from EPA Region 4.  The current discussion of methodology in TSD is inadequate.  Does EPA plan to calculate an equivalent mass goal for each state and when might we expect to see it? If EPA is not doing the conversion calculation, when will EPA provide detailed guidance?</w:t>
            </w: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tcPr>
          <w:p w:rsidR="008776E2" w:rsidRPr="008776E2" w:rsidRDefault="008776E2">
            <w:pPr>
              <w:rPr>
                <w:b/>
                <w:sz w:val="24"/>
                <w:szCs w:val="24"/>
              </w:rPr>
            </w:pPr>
          </w:p>
        </w:tc>
        <w:tc>
          <w:tcPr>
            <w:tcW w:w="9720"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sz w:val="24"/>
                <w:szCs w:val="24"/>
              </w:rPr>
            </w:pPr>
            <w:r w:rsidRPr="008776E2">
              <w:rPr>
                <w:sz w:val="24"/>
                <w:szCs w:val="24"/>
              </w:rPr>
              <w:t xml:space="preserve">Is switching from rate-based goal to mass-based goal allowed?  How and when and how often?  Would you have to submit a plan revision every time you switched?  </w:t>
            </w: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b/>
                <w:sz w:val="24"/>
                <w:szCs w:val="24"/>
              </w:rPr>
            </w:pPr>
            <w:r w:rsidRPr="008776E2">
              <w:rPr>
                <w:b/>
                <w:sz w:val="24"/>
                <w:szCs w:val="24"/>
              </w:rPr>
              <w:t>Plan flexibility</w:t>
            </w:r>
          </w:p>
        </w:tc>
        <w:tc>
          <w:tcPr>
            <w:tcW w:w="9720" w:type="dxa"/>
            <w:tcBorders>
              <w:top w:val="single" w:sz="4" w:space="0" w:color="auto"/>
              <w:left w:val="single" w:sz="4" w:space="0" w:color="auto"/>
              <w:bottom w:val="single" w:sz="4" w:space="0" w:color="auto"/>
              <w:right w:val="single" w:sz="4" w:space="0" w:color="auto"/>
            </w:tcBorders>
          </w:tcPr>
          <w:p w:rsidR="008776E2" w:rsidRPr="008776E2" w:rsidRDefault="008776E2">
            <w:pPr>
              <w:rPr>
                <w:sz w:val="24"/>
                <w:szCs w:val="24"/>
              </w:rPr>
            </w:pPr>
            <w:r w:rsidRPr="008776E2">
              <w:rPr>
                <w:sz w:val="24"/>
                <w:szCs w:val="24"/>
              </w:rPr>
              <w:t>Many aspects of the energy infrastructure and technology will undoubtedly change between now and 2030. States will need some mechanism to adapt our plan to accommodate those changes relatively quickly (i.e. not a 2 year review process). How does EPA envision this working?</w:t>
            </w:r>
          </w:p>
          <w:p w:rsidR="008776E2" w:rsidRPr="008776E2" w:rsidRDefault="008776E2">
            <w:pPr>
              <w:rPr>
                <w:sz w:val="24"/>
                <w:szCs w:val="24"/>
              </w:rPr>
            </w:pPr>
          </w:p>
        </w:tc>
      </w:tr>
      <w:tr w:rsidR="008776E2" w:rsidRPr="008776E2" w:rsidTr="008776E2">
        <w:tc>
          <w:tcPr>
            <w:tcW w:w="2808"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b/>
                <w:sz w:val="24"/>
                <w:szCs w:val="24"/>
              </w:rPr>
            </w:pPr>
            <w:r w:rsidRPr="008776E2">
              <w:rPr>
                <w:b/>
                <w:sz w:val="24"/>
                <w:szCs w:val="24"/>
              </w:rPr>
              <w:lastRenderedPageBreak/>
              <w:t>Emissions Performance Level (60.5740)</w:t>
            </w:r>
          </w:p>
        </w:tc>
        <w:tc>
          <w:tcPr>
            <w:tcW w:w="9720" w:type="dxa"/>
            <w:tcBorders>
              <w:top w:val="single" w:sz="4" w:space="0" w:color="auto"/>
              <w:left w:val="single" w:sz="4" w:space="0" w:color="auto"/>
              <w:bottom w:val="single" w:sz="4" w:space="0" w:color="auto"/>
              <w:right w:val="single" w:sz="4" w:space="0" w:color="auto"/>
            </w:tcBorders>
            <w:hideMark/>
          </w:tcPr>
          <w:p w:rsidR="008776E2" w:rsidRPr="008776E2" w:rsidRDefault="008776E2">
            <w:pPr>
              <w:rPr>
                <w:sz w:val="24"/>
                <w:szCs w:val="24"/>
              </w:rPr>
            </w:pPr>
            <w:r w:rsidRPr="008776E2">
              <w:rPr>
                <w:sz w:val="24"/>
                <w:szCs w:val="24"/>
              </w:rPr>
              <w:t xml:space="preserve">Rule 60.5770(a)(3): </w:t>
            </w:r>
            <w:r w:rsidRPr="008776E2">
              <w:rPr>
                <w:i/>
                <w:iCs/>
                <w:sz w:val="24"/>
                <w:szCs w:val="24"/>
              </w:rPr>
              <w:t xml:space="preserve">(a)(3) The conversion must represent the tons of CO2 emissions that are projected to be emitted, in the absence of emissions standards contained in the plan, if the affected EGUs were to perform at an average </w:t>
            </w:r>
            <w:proofErr w:type="spellStart"/>
            <w:r w:rsidRPr="008776E2">
              <w:rPr>
                <w:i/>
                <w:iCs/>
                <w:sz w:val="24"/>
                <w:szCs w:val="24"/>
              </w:rPr>
              <w:t>lb</w:t>
            </w:r>
            <w:proofErr w:type="spellEnd"/>
            <w:r w:rsidRPr="008776E2">
              <w:rPr>
                <w:i/>
                <w:iCs/>
                <w:sz w:val="24"/>
                <w:szCs w:val="24"/>
              </w:rPr>
              <w:t xml:space="preserve"> CO2 /</w:t>
            </w:r>
            <w:proofErr w:type="spellStart"/>
            <w:r w:rsidRPr="008776E2">
              <w:rPr>
                <w:i/>
                <w:iCs/>
                <w:sz w:val="24"/>
                <w:szCs w:val="24"/>
              </w:rPr>
              <w:t>MWh</w:t>
            </w:r>
            <w:proofErr w:type="spellEnd"/>
            <w:r w:rsidRPr="008776E2">
              <w:rPr>
                <w:i/>
                <w:iCs/>
                <w:sz w:val="24"/>
                <w:szCs w:val="24"/>
              </w:rPr>
              <w:t xml:space="preserve"> rate equal to the rate-based goal for the state identified in Table 1 of this Subpart.  </w:t>
            </w:r>
          </w:p>
          <w:p w:rsidR="008776E2" w:rsidRPr="008776E2" w:rsidRDefault="008776E2" w:rsidP="008776E2">
            <w:pPr>
              <w:numPr>
                <w:ilvl w:val="0"/>
                <w:numId w:val="18"/>
              </w:numPr>
              <w:rPr>
                <w:sz w:val="24"/>
                <w:szCs w:val="24"/>
              </w:rPr>
            </w:pPr>
            <w:r w:rsidRPr="008776E2">
              <w:rPr>
                <w:sz w:val="24"/>
                <w:szCs w:val="24"/>
              </w:rPr>
              <w:t>Georgia’s rate-based goal is 834 while our coal emissions rate (after HR improvement) and NGCC emissions rate are 2157 and 841 lbs/</w:t>
            </w:r>
            <w:proofErr w:type="spellStart"/>
            <w:r w:rsidRPr="008776E2">
              <w:rPr>
                <w:sz w:val="24"/>
                <w:szCs w:val="24"/>
              </w:rPr>
              <w:t>MWh</w:t>
            </w:r>
            <w:proofErr w:type="spellEnd"/>
            <w:r w:rsidRPr="008776E2">
              <w:rPr>
                <w:sz w:val="24"/>
                <w:szCs w:val="24"/>
              </w:rPr>
              <w:t>, respectively.  Even if we dropped coal generation to 0, we would be left with an equivalent emissions rate of 841.  This would fail the equivalency test in paragraph (a</w:t>
            </w:r>
            <w:proofErr w:type="gramStart"/>
            <w:r w:rsidRPr="008776E2">
              <w:rPr>
                <w:sz w:val="24"/>
                <w:szCs w:val="24"/>
              </w:rPr>
              <w:t>)(</w:t>
            </w:r>
            <w:proofErr w:type="gramEnd"/>
            <w:r w:rsidRPr="008776E2">
              <w:rPr>
                <w:sz w:val="24"/>
                <w:szCs w:val="24"/>
              </w:rPr>
              <w:t>3).  No state that operates coal-fired EGUs and has a goal below 900 lbs/</w:t>
            </w:r>
            <w:proofErr w:type="spellStart"/>
            <w:r w:rsidRPr="008776E2">
              <w:rPr>
                <w:sz w:val="24"/>
                <w:szCs w:val="24"/>
              </w:rPr>
              <w:t>MWh</w:t>
            </w:r>
            <w:proofErr w:type="spellEnd"/>
            <w:r w:rsidRPr="008776E2">
              <w:rPr>
                <w:sz w:val="24"/>
                <w:szCs w:val="24"/>
              </w:rPr>
              <w:t xml:space="preserve"> would be able to meet the requirement as stated.  Please clarify.</w:t>
            </w:r>
          </w:p>
        </w:tc>
      </w:tr>
    </w:tbl>
    <w:p w:rsidR="008776E2" w:rsidRPr="008776E2" w:rsidRDefault="008776E2" w:rsidP="008776E2">
      <w:pPr>
        <w:rPr>
          <w:rFonts w:asciiTheme="minorHAnsi" w:hAnsiTheme="minorHAnsi" w:cstheme="minorBidi"/>
          <w:b/>
        </w:rPr>
      </w:pPr>
    </w:p>
    <w:p w:rsidR="008776E2" w:rsidRPr="008776E2" w:rsidRDefault="008776E2" w:rsidP="008776E2">
      <w:pPr>
        <w:rPr>
          <w:b/>
          <w:u w:val="single"/>
        </w:rPr>
      </w:pPr>
      <w:r w:rsidRPr="008776E2">
        <w:rPr>
          <w:b/>
          <w:u w:val="single"/>
        </w:rPr>
        <w:t>Other questions:</w:t>
      </w:r>
      <w:r>
        <w:rPr>
          <w:b/>
          <w:u w:val="single"/>
        </w:rPr>
        <w:br/>
      </w:r>
      <w:bookmarkStart w:id="0" w:name="_GoBack"/>
      <w:bookmarkEnd w:id="0"/>
    </w:p>
    <w:p w:rsidR="008776E2" w:rsidRPr="008776E2" w:rsidRDefault="008776E2" w:rsidP="008776E2">
      <w:pPr>
        <w:pStyle w:val="ListParagraph"/>
        <w:numPr>
          <w:ilvl w:val="0"/>
          <w:numId w:val="20"/>
        </w:numPr>
        <w:spacing w:after="200" w:line="276" w:lineRule="auto"/>
      </w:pPr>
      <w:r w:rsidRPr="008776E2">
        <w:t>How can a state account for or adjust in the event that a zero emission IPP either shuts down or does not reach expected capacity say in 2025?</w:t>
      </w:r>
    </w:p>
    <w:p w:rsidR="008776E2" w:rsidRPr="008776E2" w:rsidRDefault="008776E2" w:rsidP="008776E2">
      <w:pPr>
        <w:pStyle w:val="ListParagraph"/>
        <w:numPr>
          <w:ilvl w:val="0"/>
          <w:numId w:val="20"/>
        </w:numPr>
        <w:spacing w:after="200" w:line="276" w:lineRule="auto"/>
      </w:pPr>
      <w:r w:rsidRPr="008776E2">
        <w:t>Does EPA have a planned approach for dealing with some type major disruption in the energy markets that may occur in the future? Same question for an unexpected shutdown of an existing nuclear plant?</w:t>
      </w:r>
    </w:p>
    <w:p w:rsidR="008776E2" w:rsidRPr="008776E2" w:rsidRDefault="008776E2" w:rsidP="008776E2">
      <w:pPr>
        <w:pStyle w:val="ListParagraph"/>
        <w:numPr>
          <w:ilvl w:val="0"/>
          <w:numId w:val="20"/>
        </w:numPr>
        <w:spacing w:after="200" w:line="276" w:lineRule="auto"/>
      </w:pPr>
      <w:r w:rsidRPr="008776E2">
        <w:t>What does a federal state plan look like?</w:t>
      </w:r>
    </w:p>
    <w:p w:rsidR="008776E2" w:rsidRPr="008776E2" w:rsidRDefault="008776E2" w:rsidP="008776E2">
      <w:pPr>
        <w:pStyle w:val="ListParagraph"/>
        <w:numPr>
          <w:ilvl w:val="0"/>
          <w:numId w:val="20"/>
        </w:numPr>
        <w:spacing w:after="200" w:line="276" w:lineRule="auto"/>
      </w:pPr>
      <w:r w:rsidRPr="008776E2">
        <w:t>If two or more states request the two year extension to develop a multistate program and despite good faith efforts, the plan is not completed, how will EPA react and what will the path forward be for the states involved?</w:t>
      </w:r>
    </w:p>
    <w:p w:rsidR="008776E2" w:rsidRPr="008776E2" w:rsidRDefault="008776E2" w:rsidP="008776E2">
      <w:pPr>
        <w:pStyle w:val="ListParagraph"/>
        <w:numPr>
          <w:ilvl w:val="0"/>
          <w:numId w:val="20"/>
        </w:numPr>
        <w:spacing w:after="200" w:line="276" w:lineRule="auto"/>
      </w:pPr>
      <w:r w:rsidRPr="008776E2">
        <w:t>A state plan will be based on achieving certain levels of HRI, natural gas dispatch, RE, EE, assumed capacity factors for various fuel types and other methods that reduce carbon. Will the state be held accountable to meet each component of the plan or simply to meet the final goal?</w:t>
      </w:r>
    </w:p>
    <w:p w:rsidR="008776E2" w:rsidRPr="008776E2" w:rsidRDefault="008776E2" w:rsidP="008776E2">
      <w:pPr>
        <w:pStyle w:val="ListParagraph"/>
        <w:numPr>
          <w:ilvl w:val="0"/>
          <w:numId w:val="20"/>
        </w:numPr>
        <w:spacing w:after="200" w:line="276" w:lineRule="auto"/>
      </w:pPr>
      <w:r w:rsidRPr="008776E2">
        <w:t>Why did EPA include an interim goal, and why is it so close the final goal? Can states propose an alternative interim goal as long as the final goal is reached in 2030?</w:t>
      </w:r>
    </w:p>
    <w:p w:rsidR="008776E2" w:rsidRPr="008776E2" w:rsidRDefault="008776E2" w:rsidP="008776E2">
      <w:pPr>
        <w:pStyle w:val="ListParagraph"/>
        <w:numPr>
          <w:ilvl w:val="0"/>
          <w:numId w:val="20"/>
        </w:numPr>
        <w:spacing w:after="200" w:line="276" w:lineRule="auto"/>
      </w:pPr>
      <w:r w:rsidRPr="008776E2">
        <w:t>Can a new source be included as an affected unit for 111(d)?</w:t>
      </w:r>
    </w:p>
    <w:p w:rsidR="008776E2" w:rsidRDefault="008776E2" w:rsidP="008776E2">
      <w:pPr>
        <w:ind w:left="360"/>
        <w:rPr>
          <w:b/>
        </w:rPr>
      </w:pPr>
    </w:p>
    <w:p w:rsidR="008776E2" w:rsidRPr="00D02F0A" w:rsidRDefault="008776E2" w:rsidP="008776E2">
      <w:pPr>
        <w:ind w:left="1440" w:hanging="1440"/>
      </w:pPr>
    </w:p>
    <w:sectPr w:rsidR="008776E2" w:rsidRPr="00D0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D3D"/>
    <w:multiLevelType w:val="hybridMultilevel"/>
    <w:tmpl w:val="120CC85E"/>
    <w:lvl w:ilvl="0" w:tplc="538EEAA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7153C"/>
    <w:multiLevelType w:val="hybridMultilevel"/>
    <w:tmpl w:val="8C4E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46B99"/>
    <w:multiLevelType w:val="hybridMultilevel"/>
    <w:tmpl w:val="DF04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A6E89"/>
    <w:multiLevelType w:val="hybridMultilevel"/>
    <w:tmpl w:val="64105340"/>
    <w:lvl w:ilvl="0" w:tplc="2A3A58C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9605D"/>
    <w:multiLevelType w:val="hybridMultilevel"/>
    <w:tmpl w:val="7D8CCAB6"/>
    <w:lvl w:ilvl="0" w:tplc="1C7AD0E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E6A9A"/>
    <w:multiLevelType w:val="hybridMultilevel"/>
    <w:tmpl w:val="B2E6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94581"/>
    <w:multiLevelType w:val="multilevel"/>
    <w:tmpl w:val="52D0771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abstractNum>
  <w:abstractNum w:abstractNumId="7">
    <w:nsid w:val="450E71AB"/>
    <w:multiLevelType w:val="hybridMultilevel"/>
    <w:tmpl w:val="70D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85556"/>
    <w:multiLevelType w:val="hybridMultilevel"/>
    <w:tmpl w:val="6EB0CAEC"/>
    <w:lvl w:ilvl="0" w:tplc="4FFCD6B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96FA4"/>
    <w:multiLevelType w:val="hybridMultilevel"/>
    <w:tmpl w:val="2E48EB22"/>
    <w:lvl w:ilvl="0" w:tplc="6668131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12355F8"/>
    <w:multiLevelType w:val="hybridMultilevel"/>
    <w:tmpl w:val="A5B4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0F2FE5"/>
    <w:multiLevelType w:val="hybridMultilevel"/>
    <w:tmpl w:val="D49A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A691E"/>
    <w:multiLevelType w:val="multilevel"/>
    <w:tmpl w:val="D35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5302B9"/>
    <w:multiLevelType w:val="hybridMultilevel"/>
    <w:tmpl w:val="A5F2DE30"/>
    <w:lvl w:ilvl="0" w:tplc="5802B9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23944"/>
    <w:multiLevelType w:val="hybridMultilevel"/>
    <w:tmpl w:val="1B4A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E26C1"/>
    <w:multiLevelType w:val="hybridMultilevel"/>
    <w:tmpl w:val="C812EF78"/>
    <w:lvl w:ilvl="0" w:tplc="6D720AE6">
      <w:start w:val="1"/>
      <w:numFmt w:val="bullet"/>
      <w:lvlText w:val="•"/>
      <w:lvlJc w:val="left"/>
      <w:pPr>
        <w:tabs>
          <w:tab w:val="num" w:pos="720"/>
        </w:tabs>
        <w:ind w:left="720" w:hanging="360"/>
      </w:pPr>
      <w:rPr>
        <w:rFonts w:ascii="Times New Roman" w:hAnsi="Times New Roman" w:cs="Times New Roman" w:hint="default"/>
      </w:rPr>
    </w:lvl>
    <w:lvl w:ilvl="1" w:tplc="57ACC6F4">
      <w:start w:val="1"/>
      <w:numFmt w:val="bullet"/>
      <w:lvlText w:val="•"/>
      <w:lvlJc w:val="left"/>
      <w:pPr>
        <w:tabs>
          <w:tab w:val="num" w:pos="1440"/>
        </w:tabs>
        <w:ind w:left="1440" w:hanging="360"/>
      </w:pPr>
      <w:rPr>
        <w:rFonts w:ascii="Times New Roman" w:hAnsi="Times New Roman" w:cs="Times New Roman" w:hint="default"/>
      </w:rPr>
    </w:lvl>
    <w:lvl w:ilvl="2" w:tplc="188E54FA">
      <w:start w:val="1"/>
      <w:numFmt w:val="bullet"/>
      <w:lvlText w:val="•"/>
      <w:lvlJc w:val="left"/>
      <w:pPr>
        <w:tabs>
          <w:tab w:val="num" w:pos="2160"/>
        </w:tabs>
        <w:ind w:left="2160" w:hanging="360"/>
      </w:pPr>
      <w:rPr>
        <w:rFonts w:ascii="Times New Roman" w:hAnsi="Times New Roman" w:cs="Times New Roman" w:hint="default"/>
      </w:rPr>
    </w:lvl>
    <w:lvl w:ilvl="3" w:tplc="7B2A7024">
      <w:start w:val="1"/>
      <w:numFmt w:val="bullet"/>
      <w:lvlText w:val="•"/>
      <w:lvlJc w:val="left"/>
      <w:pPr>
        <w:tabs>
          <w:tab w:val="num" w:pos="2880"/>
        </w:tabs>
        <w:ind w:left="2880" w:hanging="360"/>
      </w:pPr>
      <w:rPr>
        <w:rFonts w:ascii="Times New Roman" w:hAnsi="Times New Roman" w:cs="Times New Roman" w:hint="default"/>
      </w:rPr>
    </w:lvl>
    <w:lvl w:ilvl="4" w:tplc="A4E68078">
      <w:start w:val="1"/>
      <w:numFmt w:val="bullet"/>
      <w:lvlText w:val="•"/>
      <w:lvlJc w:val="left"/>
      <w:pPr>
        <w:tabs>
          <w:tab w:val="num" w:pos="3600"/>
        </w:tabs>
        <w:ind w:left="3600" w:hanging="360"/>
      </w:pPr>
      <w:rPr>
        <w:rFonts w:ascii="Times New Roman" w:hAnsi="Times New Roman" w:cs="Times New Roman" w:hint="default"/>
      </w:rPr>
    </w:lvl>
    <w:lvl w:ilvl="5" w:tplc="EAD0C95A">
      <w:start w:val="1"/>
      <w:numFmt w:val="bullet"/>
      <w:lvlText w:val="•"/>
      <w:lvlJc w:val="left"/>
      <w:pPr>
        <w:tabs>
          <w:tab w:val="num" w:pos="4320"/>
        </w:tabs>
        <w:ind w:left="4320" w:hanging="360"/>
      </w:pPr>
      <w:rPr>
        <w:rFonts w:ascii="Times New Roman" w:hAnsi="Times New Roman" w:cs="Times New Roman" w:hint="default"/>
      </w:rPr>
    </w:lvl>
    <w:lvl w:ilvl="6" w:tplc="13BECEDE">
      <w:start w:val="1"/>
      <w:numFmt w:val="bullet"/>
      <w:lvlText w:val="•"/>
      <w:lvlJc w:val="left"/>
      <w:pPr>
        <w:tabs>
          <w:tab w:val="num" w:pos="5040"/>
        </w:tabs>
        <w:ind w:left="5040" w:hanging="360"/>
      </w:pPr>
      <w:rPr>
        <w:rFonts w:ascii="Times New Roman" w:hAnsi="Times New Roman" w:cs="Times New Roman" w:hint="default"/>
      </w:rPr>
    </w:lvl>
    <w:lvl w:ilvl="7" w:tplc="B81EED8A">
      <w:start w:val="1"/>
      <w:numFmt w:val="bullet"/>
      <w:lvlText w:val="•"/>
      <w:lvlJc w:val="left"/>
      <w:pPr>
        <w:tabs>
          <w:tab w:val="num" w:pos="5760"/>
        </w:tabs>
        <w:ind w:left="5760" w:hanging="360"/>
      </w:pPr>
      <w:rPr>
        <w:rFonts w:ascii="Times New Roman" w:hAnsi="Times New Roman" w:cs="Times New Roman" w:hint="default"/>
      </w:rPr>
    </w:lvl>
    <w:lvl w:ilvl="8" w:tplc="8718277E">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7C8E3356"/>
    <w:multiLevelType w:val="hybridMultilevel"/>
    <w:tmpl w:val="1464C8E2"/>
    <w:lvl w:ilvl="0" w:tplc="3564986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3"/>
  </w:num>
  <w:num w:numId="8">
    <w:abstractNumId w:val="4"/>
  </w:num>
  <w:num w:numId="9">
    <w:abstractNumId w:val="13"/>
  </w:num>
  <w:num w:numId="10">
    <w:abstractNumId w:val="0"/>
  </w:num>
  <w:num w:numId="11">
    <w:abstractNumId w:val="2"/>
  </w:num>
  <w:num w:numId="12">
    <w:abstractNumId w:val="7"/>
  </w:num>
  <w:num w:numId="13">
    <w:abstractNumId w:val="12"/>
  </w:num>
  <w:num w:numId="14">
    <w:abstractNumId w:val="11"/>
  </w:num>
  <w:num w:numId="15">
    <w:abstractNumId w:val="14"/>
  </w:num>
  <w:num w:numId="16">
    <w:abstractNumId w:val="5"/>
  </w:num>
  <w:num w:numId="17">
    <w:abstractNumId w:val="9"/>
  </w:num>
  <w:num w:numId="18">
    <w:abstractNumId w:val="9"/>
    <w:lvlOverride w:ilvl="0"/>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1"/>
    <w:rsid w:val="00066F9E"/>
    <w:rsid w:val="000C2429"/>
    <w:rsid w:val="000C7E3A"/>
    <w:rsid w:val="001C362F"/>
    <w:rsid w:val="001F5648"/>
    <w:rsid w:val="00204617"/>
    <w:rsid w:val="002839C1"/>
    <w:rsid w:val="00297CE4"/>
    <w:rsid w:val="003A484A"/>
    <w:rsid w:val="004479B9"/>
    <w:rsid w:val="00477F64"/>
    <w:rsid w:val="004E3AD6"/>
    <w:rsid w:val="00507AD3"/>
    <w:rsid w:val="005A4E73"/>
    <w:rsid w:val="005E3232"/>
    <w:rsid w:val="005E6C10"/>
    <w:rsid w:val="006411DB"/>
    <w:rsid w:val="006D611E"/>
    <w:rsid w:val="008776E2"/>
    <w:rsid w:val="008B7355"/>
    <w:rsid w:val="008C7495"/>
    <w:rsid w:val="009F74D3"/>
    <w:rsid w:val="00AA4CC5"/>
    <w:rsid w:val="00AD3FE5"/>
    <w:rsid w:val="00B561D6"/>
    <w:rsid w:val="00BB5C5E"/>
    <w:rsid w:val="00BC3E55"/>
    <w:rsid w:val="00C22AE1"/>
    <w:rsid w:val="00D0105D"/>
    <w:rsid w:val="00D02F0A"/>
    <w:rsid w:val="00DA3A25"/>
    <w:rsid w:val="00F6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EB96-E816-4792-9EB3-03AEC48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1"/>
    <w:pPr>
      <w:spacing w:after="0" w:line="240" w:lineRule="auto"/>
    </w:pPr>
    <w:rPr>
      <w:rFonts w:ascii="Calibri" w:hAnsi="Calibri" w:cs="Calibri"/>
    </w:rPr>
  </w:style>
  <w:style w:type="paragraph" w:styleId="Heading1">
    <w:name w:val="heading 1"/>
    <w:basedOn w:val="Normal"/>
    <w:next w:val="Normal"/>
    <w:link w:val="Heading1Char"/>
    <w:uiPriority w:val="9"/>
    <w:qFormat/>
    <w:rsid w:val="00DA3A25"/>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3A2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1E"/>
    <w:pPr>
      <w:ind w:left="720"/>
    </w:pPr>
  </w:style>
  <w:style w:type="paragraph" w:customStyle="1" w:styleId="Body">
    <w:name w:val="Body"/>
    <w:basedOn w:val="Normal"/>
    <w:rsid w:val="000C7E3A"/>
    <w:rPr>
      <w:rFonts w:ascii="Helvetica" w:hAnsi="Helvetica" w:cs="Times New Roman"/>
      <w:color w:val="000000"/>
      <w:lang w:eastAsia="ja-JP"/>
    </w:rPr>
  </w:style>
  <w:style w:type="numbering" w:customStyle="1" w:styleId="Numbered">
    <w:name w:val="Numbered"/>
    <w:rsid w:val="000C7E3A"/>
    <w:pPr>
      <w:numPr>
        <w:numId w:val="3"/>
      </w:numPr>
    </w:pPr>
  </w:style>
  <w:style w:type="character" w:customStyle="1" w:styleId="Heading1Char">
    <w:name w:val="Heading 1 Char"/>
    <w:basedOn w:val="DefaultParagraphFont"/>
    <w:link w:val="Heading1"/>
    <w:uiPriority w:val="9"/>
    <w:rsid w:val="00DA3A2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A3A25"/>
    <w:rPr>
      <w:rFonts w:ascii="Cambria" w:eastAsia="Times New Roman" w:hAnsi="Cambria" w:cs="Times New Roman"/>
      <w:b/>
      <w:bCs/>
      <w:i/>
      <w:iCs/>
      <w:sz w:val="28"/>
      <w:szCs w:val="28"/>
    </w:rPr>
  </w:style>
  <w:style w:type="table" w:styleId="TableGrid">
    <w:name w:val="Table Grid"/>
    <w:basedOn w:val="TableNormal"/>
    <w:uiPriority w:val="59"/>
    <w:rsid w:val="00641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6524">
      <w:bodyDiv w:val="1"/>
      <w:marLeft w:val="0"/>
      <w:marRight w:val="0"/>
      <w:marTop w:val="0"/>
      <w:marBottom w:val="0"/>
      <w:divBdr>
        <w:top w:val="none" w:sz="0" w:space="0" w:color="auto"/>
        <w:left w:val="none" w:sz="0" w:space="0" w:color="auto"/>
        <w:bottom w:val="none" w:sz="0" w:space="0" w:color="auto"/>
        <w:right w:val="none" w:sz="0" w:space="0" w:color="auto"/>
      </w:divBdr>
    </w:div>
    <w:div w:id="863396555">
      <w:bodyDiv w:val="1"/>
      <w:marLeft w:val="0"/>
      <w:marRight w:val="0"/>
      <w:marTop w:val="0"/>
      <w:marBottom w:val="0"/>
      <w:divBdr>
        <w:top w:val="none" w:sz="0" w:space="0" w:color="auto"/>
        <w:left w:val="none" w:sz="0" w:space="0" w:color="auto"/>
        <w:bottom w:val="none" w:sz="0" w:space="0" w:color="auto"/>
        <w:right w:val="none" w:sz="0" w:space="0" w:color="auto"/>
      </w:divBdr>
    </w:div>
    <w:div w:id="975454934">
      <w:bodyDiv w:val="1"/>
      <w:marLeft w:val="0"/>
      <w:marRight w:val="0"/>
      <w:marTop w:val="0"/>
      <w:marBottom w:val="0"/>
      <w:divBdr>
        <w:top w:val="none" w:sz="0" w:space="0" w:color="auto"/>
        <w:left w:val="none" w:sz="0" w:space="0" w:color="auto"/>
        <w:bottom w:val="none" w:sz="0" w:space="0" w:color="auto"/>
        <w:right w:val="none" w:sz="0" w:space="0" w:color="auto"/>
      </w:divBdr>
    </w:div>
    <w:div w:id="1112440487">
      <w:bodyDiv w:val="1"/>
      <w:marLeft w:val="0"/>
      <w:marRight w:val="0"/>
      <w:marTop w:val="0"/>
      <w:marBottom w:val="0"/>
      <w:divBdr>
        <w:top w:val="none" w:sz="0" w:space="0" w:color="auto"/>
        <w:left w:val="none" w:sz="0" w:space="0" w:color="auto"/>
        <w:bottom w:val="none" w:sz="0" w:space="0" w:color="auto"/>
        <w:right w:val="none" w:sz="0" w:space="0" w:color="auto"/>
      </w:divBdr>
    </w:div>
    <w:div w:id="1289509738">
      <w:bodyDiv w:val="1"/>
      <w:marLeft w:val="0"/>
      <w:marRight w:val="0"/>
      <w:marTop w:val="0"/>
      <w:marBottom w:val="0"/>
      <w:divBdr>
        <w:top w:val="none" w:sz="0" w:space="0" w:color="auto"/>
        <w:left w:val="none" w:sz="0" w:space="0" w:color="auto"/>
        <w:bottom w:val="none" w:sz="0" w:space="0" w:color="auto"/>
        <w:right w:val="none" w:sz="0" w:space="0" w:color="auto"/>
      </w:divBdr>
    </w:div>
    <w:div w:id="1325084616">
      <w:bodyDiv w:val="1"/>
      <w:marLeft w:val="0"/>
      <w:marRight w:val="0"/>
      <w:marTop w:val="0"/>
      <w:marBottom w:val="0"/>
      <w:divBdr>
        <w:top w:val="none" w:sz="0" w:space="0" w:color="auto"/>
        <w:left w:val="none" w:sz="0" w:space="0" w:color="auto"/>
        <w:bottom w:val="none" w:sz="0" w:space="0" w:color="auto"/>
        <w:right w:val="none" w:sz="0" w:space="0" w:color="auto"/>
      </w:divBdr>
    </w:div>
    <w:div w:id="1622567388">
      <w:bodyDiv w:val="1"/>
      <w:marLeft w:val="0"/>
      <w:marRight w:val="0"/>
      <w:marTop w:val="0"/>
      <w:marBottom w:val="0"/>
      <w:divBdr>
        <w:top w:val="none" w:sz="0" w:space="0" w:color="auto"/>
        <w:left w:val="none" w:sz="0" w:space="0" w:color="auto"/>
        <w:bottom w:val="none" w:sz="0" w:space="0" w:color="auto"/>
        <w:right w:val="none" w:sz="0" w:space="0" w:color="auto"/>
      </w:divBdr>
    </w:div>
    <w:div w:id="17926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Ken</dc:creator>
  <cp:keywords/>
  <dc:description/>
  <cp:lastModifiedBy>Mitchell, Ken</cp:lastModifiedBy>
  <cp:revision>3</cp:revision>
  <dcterms:created xsi:type="dcterms:W3CDTF">2014-11-21T15:11:00Z</dcterms:created>
  <dcterms:modified xsi:type="dcterms:W3CDTF">2014-11-21T15:18:00Z</dcterms:modified>
</cp:coreProperties>
</file>