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327D">
        <w:rPr>
          <w:sz w:val="24"/>
          <w:szCs w:val="24"/>
        </w:rPr>
        <w:t>November 24,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F30EE3" w:rsidRDefault="009E1E36" w:rsidP="00F30EE3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F30EE3">
        <w:rPr>
          <w:sz w:val="24"/>
          <w:szCs w:val="24"/>
          <w:lang w:val="en-CA"/>
        </w:rPr>
        <w:t xml:space="preserve">Carbon Power Plan for Existing Power Plants; Docket Id: </w:t>
      </w:r>
      <w:r w:rsidR="00F30EE3">
        <w:rPr>
          <w:sz w:val="24"/>
          <w:szCs w:val="24"/>
          <w:lang w:val="en"/>
        </w:rPr>
        <w:t>OAR–2013-0602</w:t>
      </w:r>
    </w:p>
    <w:p w:rsidR="00F30EE3" w:rsidRDefault="00F30EE3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CA3CD5">
        <w:rPr>
          <w:sz w:val="24"/>
          <w:szCs w:val="24"/>
        </w:rPr>
        <w:t>Region 7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bookmarkStart w:id="0" w:name="_GoBack"/>
      <w:r w:rsidR="009C64A8">
        <w:rPr>
          <w:sz w:val="24"/>
          <w:szCs w:val="24"/>
          <w:lang w:val="en-CA"/>
        </w:rPr>
        <w:t>October 9</w:t>
      </w:r>
      <w:r w:rsidR="0037318D">
        <w:rPr>
          <w:sz w:val="24"/>
          <w:szCs w:val="24"/>
          <w:lang w:val="en-CA"/>
        </w:rPr>
        <w:t xml:space="preserve"> 2014</w:t>
      </w:r>
      <w:r>
        <w:rPr>
          <w:sz w:val="24"/>
          <w:szCs w:val="24"/>
          <w:lang w:val="en-CA"/>
        </w:rPr>
        <w:t xml:space="preserve">, </w:t>
      </w:r>
      <w:r w:rsidR="002E23B0">
        <w:rPr>
          <w:sz w:val="24"/>
          <w:szCs w:val="24"/>
          <w:lang w:val="en-CA"/>
        </w:rPr>
        <w:t>Meeting</w:t>
      </w:r>
      <w:r w:rsidR="0037318D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  <w:bookmarkEnd w:id="0"/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2C773F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Karl Brooks and </w:t>
      </w:r>
      <w:r w:rsidR="009C64A8">
        <w:rPr>
          <w:sz w:val="24"/>
          <w:szCs w:val="24"/>
        </w:rPr>
        <w:t>Mark Smith</w:t>
      </w:r>
      <w:r w:rsidR="00D0541F">
        <w:rPr>
          <w:sz w:val="24"/>
          <w:szCs w:val="24"/>
        </w:rPr>
        <w:t xml:space="preserve"> of </w:t>
      </w:r>
      <w:r w:rsidR="009E1E36">
        <w:rPr>
          <w:sz w:val="24"/>
          <w:szCs w:val="24"/>
        </w:rPr>
        <w:t xml:space="preserve">EPA </w:t>
      </w:r>
      <w:r w:rsidR="00D0541F">
        <w:rPr>
          <w:sz w:val="24"/>
          <w:szCs w:val="24"/>
        </w:rPr>
        <w:t xml:space="preserve">gave a </w:t>
      </w:r>
      <w:r>
        <w:rPr>
          <w:sz w:val="24"/>
          <w:szCs w:val="24"/>
        </w:rPr>
        <w:t>summary</w:t>
      </w:r>
      <w:r w:rsidR="00D0541F">
        <w:rPr>
          <w:sz w:val="24"/>
          <w:szCs w:val="24"/>
        </w:rPr>
        <w:t xml:space="preserve"> presentation on </w:t>
      </w:r>
      <w:r w:rsidR="009C64A8">
        <w:rPr>
          <w:sz w:val="24"/>
          <w:szCs w:val="24"/>
        </w:rPr>
        <w:t>October 9</w:t>
      </w:r>
      <w:r w:rsidR="00D0541F">
        <w:rPr>
          <w:sz w:val="24"/>
          <w:szCs w:val="24"/>
        </w:rPr>
        <w:t>,</w:t>
      </w:r>
      <w:r w:rsidR="00CA3CD5">
        <w:rPr>
          <w:sz w:val="24"/>
          <w:szCs w:val="24"/>
        </w:rPr>
        <w:t xml:space="preserve"> 2014</w:t>
      </w:r>
      <w:r w:rsidR="00D0541F">
        <w:rPr>
          <w:sz w:val="24"/>
          <w:szCs w:val="24"/>
        </w:rPr>
        <w:t xml:space="preserve">, to the </w:t>
      </w:r>
      <w:r w:rsidR="00D14D87">
        <w:rPr>
          <w:sz w:val="24"/>
          <w:szCs w:val="24"/>
        </w:rPr>
        <w:t xml:space="preserve">members of the </w:t>
      </w:r>
      <w:r w:rsidR="009C64A8">
        <w:rPr>
          <w:sz w:val="24"/>
          <w:szCs w:val="24"/>
        </w:rPr>
        <w:t>Kansas City Chamber of Commerce</w:t>
      </w:r>
      <w:r w:rsidR="00D14D87">
        <w:rPr>
          <w:sz w:val="24"/>
          <w:szCs w:val="24"/>
        </w:rPr>
        <w:t xml:space="preserve">.  </w:t>
      </w:r>
      <w:r w:rsidR="00CA3CD5">
        <w:rPr>
          <w:sz w:val="24"/>
          <w:szCs w:val="24"/>
        </w:rPr>
        <w:t xml:space="preserve">The majority of the </w:t>
      </w:r>
      <w:r w:rsidR="00D0541F">
        <w:rPr>
          <w:sz w:val="24"/>
          <w:szCs w:val="24"/>
        </w:rPr>
        <w:t>presentation</w:t>
      </w:r>
      <w:r w:rsidR="00CA3CD5">
        <w:rPr>
          <w:sz w:val="24"/>
          <w:szCs w:val="24"/>
        </w:rPr>
        <w:t xml:space="preserve"> centered on </w:t>
      </w:r>
      <w:r w:rsidR="00D0541F">
        <w:rPr>
          <w:sz w:val="24"/>
          <w:szCs w:val="24"/>
        </w:rPr>
        <w:t>highlighting the four major building blocks in the Carbon Power Plan for Existing Power Plants</w:t>
      </w:r>
      <w:r w:rsidR="00CA3CD5">
        <w:rPr>
          <w:sz w:val="24"/>
          <w:szCs w:val="24"/>
        </w:rPr>
        <w:t xml:space="preserve">.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37318D" w:rsidRDefault="0037318D" w:rsidP="006F1432">
      <w:pPr>
        <w:rPr>
          <w:sz w:val="24"/>
          <w:szCs w:val="24"/>
          <w:u w:val="single"/>
        </w:rPr>
        <w:sectPr w:rsidR="0037318D" w:rsidSect="004A5A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97"/>
        <w:gridCol w:w="1923"/>
      </w:tblGrid>
      <w:tr w:rsidR="009E1E36" w:rsidRPr="00AA35C9" w:rsidTr="0037318D">
        <w:tc>
          <w:tcPr>
            <w:tcW w:w="4581" w:type="dxa"/>
          </w:tcPr>
          <w:p w:rsidR="00CA3CD5" w:rsidRPr="00C06C87" w:rsidRDefault="00CA3CD5" w:rsidP="006F1432">
            <w:pPr>
              <w:rPr>
                <w:sz w:val="24"/>
                <w:szCs w:val="24"/>
                <w:u w:val="single"/>
              </w:rPr>
            </w:pPr>
            <w:r w:rsidRPr="00C06C87">
              <w:rPr>
                <w:sz w:val="24"/>
                <w:szCs w:val="24"/>
                <w:u w:val="single"/>
              </w:rPr>
              <w:lastRenderedPageBreak/>
              <w:t>EPA Region 7:</w:t>
            </w:r>
          </w:p>
          <w:p w:rsidR="00A02207" w:rsidRDefault="00A02207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Brooks</w:t>
            </w:r>
          </w:p>
          <w:p w:rsidR="002A02E1" w:rsidRDefault="009C64A8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Weber</w:t>
            </w:r>
          </w:p>
          <w:p w:rsidR="009C64A8" w:rsidRDefault="009C64A8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Smith</w:t>
            </w:r>
          </w:p>
          <w:p w:rsidR="009C64A8" w:rsidRDefault="009C64A8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Tapp</w:t>
            </w:r>
          </w:p>
          <w:p w:rsidR="009C64A8" w:rsidRDefault="009C64A8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Bhesania</w:t>
            </w:r>
          </w:p>
          <w:p w:rsidR="009C64A8" w:rsidRDefault="009C64A8" w:rsidP="006F1432">
            <w:pPr>
              <w:rPr>
                <w:sz w:val="24"/>
                <w:szCs w:val="24"/>
              </w:rPr>
            </w:pPr>
          </w:p>
          <w:p w:rsidR="002A02E1" w:rsidRDefault="002A02E1" w:rsidP="006F1432">
            <w:pPr>
              <w:rPr>
                <w:sz w:val="24"/>
                <w:szCs w:val="24"/>
              </w:rPr>
            </w:pPr>
          </w:p>
          <w:p w:rsidR="00CA3CD5" w:rsidRDefault="00CA3CD5" w:rsidP="006F1432">
            <w:pPr>
              <w:rPr>
                <w:sz w:val="24"/>
                <w:szCs w:val="24"/>
              </w:rPr>
            </w:pPr>
          </w:p>
          <w:p w:rsidR="0037318D" w:rsidRPr="00AA35C9" w:rsidRDefault="0037318D" w:rsidP="00C623F9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37318D" w:rsidRPr="00AA35C9" w:rsidTr="0037318D">
        <w:tc>
          <w:tcPr>
            <w:tcW w:w="4581" w:type="dxa"/>
          </w:tcPr>
          <w:p w:rsidR="0037318D" w:rsidRDefault="0037318D" w:rsidP="006F1432">
            <w:pPr>
              <w:rPr>
                <w:sz w:val="24"/>
                <w:szCs w:val="24"/>
                <w:u w:val="single"/>
              </w:rPr>
            </w:pPr>
          </w:p>
          <w:p w:rsidR="0037318D" w:rsidRPr="00C06C87" w:rsidRDefault="0037318D" w:rsidP="006F143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79" w:type="dxa"/>
          </w:tcPr>
          <w:p w:rsidR="0037318D" w:rsidRPr="00AA35C9" w:rsidRDefault="0037318D" w:rsidP="00A8712E">
            <w:pPr>
              <w:rPr>
                <w:sz w:val="24"/>
                <w:szCs w:val="24"/>
              </w:rPr>
            </w:pPr>
          </w:p>
        </w:tc>
      </w:tr>
    </w:tbl>
    <w:p w:rsidR="0037318D" w:rsidRDefault="0037318D" w:rsidP="00A8712E">
      <w:pPr>
        <w:rPr>
          <w:sz w:val="24"/>
          <w:szCs w:val="24"/>
        </w:rPr>
        <w:sectPr w:rsidR="0037318D" w:rsidSect="003731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81"/>
        <w:gridCol w:w="4779"/>
      </w:tblGrid>
      <w:tr w:rsidR="009E1E36" w:rsidRPr="00AA35C9" w:rsidTr="0037318D">
        <w:tc>
          <w:tcPr>
            <w:tcW w:w="4581" w:type="dxa"/>
          </w:tcPr>
          <w:p w:rsidR="009E1E36" w:rsidRPr="00AA35C9" w:rsidRDefault="00D0541F" w:rsidP="009C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Othe</w:t>
            </w:r>
            <w:r w:rsidR="00682AC8">
              <w:rPr>
                <w:sz w:val="24"/>
                <w:szCs w:val="24"/>
              </w:rPr>
              <w:t xml:space="preserve">r Attendees included members of </w:t>
            </w:r>
            <w:r w:rsidR="009C64A8">
              <w:rPr>
                <w:sz w:val="24"/>
                <w:szCs w:val="24"/>
              </w:rPr>
              <w:t>Kansas City</w:t>
            </w:r>
            <w:r w:rsidR="00A02207">
              <w:rPr>
                <w:sz w:val="24"/>
                <w:szCs w:val="24"/>
              </w:rPr>
              <w:t xml:space="preserve"> Chamber of Commerce</w:t>
            </w:r>
            <w:r w:rsidR="002A02E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attendee list not available.</w:t>
            </w:r>
          </w:p>
        </w:tc>
        <w:tc>
          <w:tcPr>
            <w:tcW w:w="4779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37318D">
        <w:tc>
          <w:tcPr>
            <w:tcW w:w="4581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3731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2A02E1"/>
    <w:rsid w:val="002C773F"/>
    <w:rsid w:val="002E23B0"/>
    <w:rsid w:val="003154BA"/>
    <w:rsid w:val="0037318D"/>
    <w:rsid w:val="00484362"/>
    <w:rsid w:val="004A5A59"/>
    <w:rsid w:val="004E4A8D"/>
    <w:rsid w:val="00502205"/>
    <w:rsid w:val="00532A96"/>
    <w:rsid w:val="00560416"/>
    <w:rsid w:val="0057665A"/>
    <w:rsid w:val="00583D9D"/>
    <w:rsid w:val="00601BAB"/>
    <w:rsid w:val="00682AC8"/>
    <w:rsid w:val="0068327D"/>
    <w:rsid w:val="006C52E6"/>
    <w:rsid w:val="006F1432"/>
    <w:rsid w:val="00822B0C"/>
    <w:rsid w:val="0090449F"/>
    <w:rsid w:val="00951E12"/>
    <w:rsid w:val="009C64A8"/>
    <w:rsid w:val="009E1E36"/>
    <w:rsid w:val="00A02207"/>
    <w:rsid w:val="00A8712E"/>
    <w:rsid w:val="00AE3E92"/>
    <w:rsid w:val="00B14241"/>
    <w:rsid w:val="00B70257"/>
    <w:rsid w:val="00C06C87"/>
    <w:rsid w:val="00C23950"/>
    <w:rsid w:val="00C623F9"/>
    <w:rsid w:val="00CA3CD5"/>
    <w:rsid w:val="00D0541F"/>
    <w:rsid w:val="00D14D87"/>
    <w:rsid w:val="00D438BA"/>
    <w:rsid w:val="00EA503D"/>
    <w:rsid w:val="00EE4D28"/>
    <w:rsid w:val="00F00BE9"/>
    <w:rsid w:val="00F10629"/>
    <w:rsid w:val="00F3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2</cp:revision>
  <cp:lastPrinted>2014-07-09T20:03:00Z</cp:lastPrinted>
  <dcterms:created xsi:type="dcterms:W3CDTF">2014-11-25T22:00:00Z</dcterms:created>
  <dcterms:modified xsi:type="dcterms:W3CDTF">2014-11-25T22:00:00Z</dcterms:modified>
</cp:coreProperties>
</file>