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9E5186" w14:textId="77777777" w:rsidR="00045E5B" w:rsidRPr="006B52B6" w:rsidRDefault="00045E5B" w:rsidP="00045E5B">
      <w:pPr>
        <w:spacing w:after="0" w:line="240" w:lineRule="auto"/>
        <w:jc w:val="center"/>
        <w:rPr>
          <w:rFonts w:ascii="Times New Roman" w:hAnsi="Times New Roman" w:cs="Times New Roman"/>
          <w:b/>
          <w:sz w:val="24"/>
          <w:szCs w:val="24"/>
        </w:rPr>
      </w:pPr>
      <w:r w:rsidRPr="006B52B6">
        <w:rPr>
          <w:rFonts w:ascii="Times New Roman" w:hAnsi="Times New Roman" w:cs="Times New Roman"/>
          <w:b/>
          <w:sz w:val="24"/>
          <w:szCs w:val="24"/>
        </w:rPr>
        <w:t>Technical Support Document:</w:t>
      </w:r>
    </w:p>
    <w:p w14:paraId="7AAA5DC3" w14:textId="305CCEC9" w:rsidR="00045E5B" w:rsidRPr="006B52B6" w:rsidRDefault="00045E5B" w:rsidP="00045E5B">
      <w:pPr>
        <w:spacing w:after="0" w:line="240" w:lineRule="auto"/>
        <w:jc w:val="center"/>
        <w:rPr>
          <w:rFonts w:ascii="Times New Roman" w:hAnsi="Times New Roman" w:cs="Times New Roman"/>
          <w:b/>
          <w:sz w:val="24"/>
          <w:szCs w:val="24"/>
        </w:rPr>
      </w:pPr>
      <w:r w:rsidRPr="006B52B6">
        <w:rPr>
          <w:rFonts w:ascii="Times New Roman" w:hAnsi="Times New Roman" w:cs="Times New Roman"/>
          <w:b/>
          <w:sz w:val="24"/>
          <w:szCs w:val="24"/>
        </w:rPr>
        <w:t xml:space="preserve">Resource Adequacy and Reliability </w:t>
      </w:r>
      <w:r w:rsidR="00260D08" w:rsidRPr="006B52B6">
        <w:rPr>
          <w:rFonts w:ascii="Times New Roman" w:hAnsi="Times New Roman" w:cs="Times New Roman"/>
          <w:b/>
          <w:sz w:val="24"/>
          <w:szCs w:val="24"/>
        </w:rPr>
        <w:t>Analysis</w:t>
      </w:r>
      <w:r w:rsidR="00537086">
        <w:rPr>
          <w:rFonts w:ascii="Times New Roman" w:hAnsi="Times New Roman" w:cs="Times New Roman"/>
          <w:b/>
          <w:sz w:val="24"/>
          <w:szCs w:val="24"/>
        </w:rPr>
        <w:br/>
        <w:t>August 2015</w:t>
      </w:r>
      <w:r w:rsidR="00260D08" w:rsidRPr="006B52B6">
        <w:rPr>
          <w:rFonts w:ascii="Times New Roman" w:hAnsi="Times New Roman" w:cs="Times New Roman"/>
          <w:b/>
          <w:sz w:val="24"/>
          <w:szCs w:val="24"/>
        </w:rPr>
        <w:t xml:space="preserve"> </w:t>
      </w:r>
    </w:p>
    <w:p w14:paraId="74DC0B1B" w14:textId="121D87E7" w:rsidR="00045E5B" w:rsidRPr="006B52B6" w:rsidRDefault="00045E5B" w:rsidP="00045E5B">
      <w:pPr>
        <w:spacing w:after="0" w:line="240" w:lineRule="auto"/>
        <w:jc w:val="center"/>
        <w:rPr>
          <w:rFonts w:ascii="Times New Roman" w:hAnsi="Times New Roman" w:cs="Times New Roman"/>
          <w:b/>
          <w:sz w:val="24"/>
          <w:szCs w:val="24"/>
        </w:rPr>
      </w:pPr>
    </w:p>
    <w:p w14:paraId="38A30205" w14:textId="77777777" w:rsidR="00045E5B" w:rsidRPr="006B52B6" w:rsidRDefault="00045E5B" w:rsidP="00045E5B">
      <w:pPr>
        <w:spacing w:after="0" w:line="240" w:lineRule="auto"/>
        <w:jc w:val="center"/>
        <w:rPr>
          <w:rFonts w:ascii="Times New Roman" w:hAnsi="Times New Roman" w:cs="Times New Roman"/>
          <w:b/>
          <w:sz w:val="24"/>
          <w:szCs w:val="24"/>
        </w:rPr>
      </w:pPr>
    </w:p>
    <w:p w14:paraId="6091535B" w14:textId="1F29CC2A" w:rsidR="00045E5B" w:rsidRDefault="00622500"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 xml:space="preserve">This document describes resource adequacy and reliability </w:t>
      </w:r>
      <w:r w:rsidR="000F27AD" w:rsidRPr="006B52B6">
        <w:rPr>
          <w:rFonts w:ascii="Times New Roman" w:hAnsi="Times New Roman" w:cs="Times New Roman"/>
          <w:sz w:val="24"/>
          <w:szCs w:val="24"/>
        </w:rPr>
        <w:t xml:space="preserve">impacts </w:t>
      </w:r>
      <w:r w:rsidR="008C0978">
        <w:rPr>
          <w:rFonts w:ascii="Times New Roman" w:hAnsi="Times New Roman" w:cs="Times New Roman"/>
          <w:sz w:val="24"/>
          <w:szCs w:val="24"/>
        </w:rPr>
        <w:t xml:space="preserve">of the </w:t>
      </w:r>
      <w:r w:rsidR="001B139A">
        <w:rPr>
          <w:rFonts w:ascii="Times New Roman" w:hAnsi="Times New Roman" w:cs="Times New Roman"/>
          <w:sz w:val="24"/>
          <w:szCs w:val="24"/>
        </w:rPr>
        <w:t xml:space="preserve">final </w:t>
      </w:r>
      <w:r w:rsidR="008C0978">
        <w:rPr>
          <w:rFonts w:ascii="Times New Roman" w:hAnsi="Times New Roman" w:cs="Times New Roman"/>
          <w:sz w:val="24"/>
          <w:szCs w:val="24"/>
        </w:rPr>
        <w:t>rule emission guidelines issued under section 111(d) of the Clean Air Act, also known as the Clean Power Plan</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 xml:space="preserve">As used here, the term </w:t>
      </w:r>
      <w:r w:rsidR="00260D08" w:rsidRPr="006B52B6">
        <w:rPr>
          <w:rFonts w:ascii="Times New Roman" w:hAnsi="Times New Roman" w:cs="Times New Roman"/>
          <w:i/>
          <w:sz w:val="24"/>
          <w:szCs w:val="24"/>
        </w:rPr>
        <w:t>r</w:t>
      </w:r>
      <w:r w:rsidRPr="006B52B6">
        <w:rPr>
          <w:rFonts w:ascii="Times New Roman" w:hAnsi="Times New Roman" w:cs="Times New Roman"/>
          <w:i/>
          <w:sz w:val="24"/>
          <w:szCs w:val="24"/>
        </w:rPr>
        <w:t xml:space="preserve">esource </w:t>
      </w:r>
      <w:r w:rsidR="00260D08" w:rsidRPr="006B52B6">
        <w:rPr>
          <w:rFonts w:ascii="Times New Roman" w:hAnsi="Times New Roman" w:cs="Times New Roman"/>
          <w:i/>
          <w:sz w:val="24"/>
          <w:szCs w:val="24"/>
        </w:rPr>
        <w:t>a</w:t>
      </w:r>
      <w:r w:rsidRPr="006B52B6">
        <w:rPr>
          <w:rFonts w:ascii="Times New Roman" w:hAnsi="Times New Roman" w:cs="Times New Roman"/>
          <w:i/>
          <w:sz w:val="24"/>
          <w:szCs w:val="24"/>
        </w:rPr>
        <w:t>dequacy</w:t>
      </w:r>
      <w:r w:rsidRPr="006B52B6">
        <w:rPr>
          <w:rFonts w:ascii="Times New Roman" w:hAnsi="Times New Roman" w:cs="Times New Roman"/>
          <w:sz w:val="24"/>
          <w:szCs w:val="24"/>
        </w:rPr>
        <w:t xml:space="preserve"> </w:t>
      </w:r>
      <w:r w:rsidR="008C0978">
        <w:rPr>
          <w:rFonts w:ascii="Times New Roman" w:hAnsi="Times New Roman" w:cs="Times New Roman"/>
          <w:sz w:val="24"/>
          <w:szCs w:val="24"/>
        </w:rPr>
        <w:t>is defined as</w:t>
      </w:r>
      <w:r w:rsidRPr="006B52B6">
        <w:rPr>
          <w:rFonts w:ascii="Times New Roman" w:hAnsi="Times New Roman" w:cs="Times New Roman"/>
          <w:sz w:val="24"/>
          <w:szCs w:val="24"/>
        </w:rPr>
        <w:t xml:space="preserve"> the provision </w:t>
      </w:r>
      <w:r w:rsidR="008C0978">
        <w:rPr>
          <w:rFonts w:ascii="Times New Roman" w:hAnsi="Times New Roman" w:cs="Times New Roman"/>
          <w:sz w:val="24"/>
          <w:szCs w:val="24"/>
        </w:rPr>
        <w:t>for</w:t>
      </w:r>
      <w:r w:rsidRPr="006B52B6">
        <w:rPr>
          <w:rFonts w:ascii="Times New Roman" w:hAnsi="Times New Roman" w:cs="Times New Roman"/>
          <w:sz w:val="24"/>
          <w:szCs w:val="24"/>
        </w:rPr>
        <w:t xml:space="preserve"> adequate generating resources to meet projected load </w:t>
      </w:r>
      <w:r w:rsidR="00CC364B" w:rsidRPr="006B52B6">
        <w:rPr>
          <w:rFonts w:ascii="Times New Roman" w:hAnsi="Times New Roman" w:cs="Times New Roman"/>
          <w:sz w:val="24"/>
          <w:szCs w:val="24"/>
        </w:rPr>
        <w:t xml:space="preserve">and generating reserve requirements </w:t>
      </w:r>
      <w:r w:rsidRPr="006B52B6">
        <w:rPr>
          <w:rFonts w:ascii="Times New Roman" w:hAnsi="Times New Roman" w:cs="Times New Roman"/>
          <w:sz w:val="24"/>
          <w:szCs w:val="24"/>
        </w:rPr>
        <w:t xml:space="preserve">in each </w:t>
      </w:r>
      <w:r w:rsidR="008C0978">
        <w:rPr>
          <w:rFonts w:ascii="Times New Roman" w:hAnsi="Times New Roman" w:cs="Times New Roman"/>
          <w:sz w:val="24"/>
          <w:szCs w:val="24"/>
        </w:rPr>
        <w:t xml:space="preserve">power </w:t>
      </w:r>
      <w:r w:rsidRPr="006B52B6">
        <w:rPr>
          <w:rFonts w:ascii="Times New Roman" w:hAnsi="Times New Roman" w:cs="Times New Roman"/>
          <w:sz w:val="24"/>
          <w:szCs w:val="24"/>
        </w:rPr>
        <w:t>region</w:t>
      </w:r>
      <w:r w:rsidR="00754378">
        <w:rPr>
          <w:rStyle w:val="FootnoteReference"/>
          <w:rFonts w:ascii="Times New Roman" w:hAnsi="Times New Roman" w:cs="Times New Roman"/>
          <w:sz w:val="24"/>
          <w:szCs w:val="24"/>
        </w:rPr>
        <w:footnoteReference w:id="1"/>
      </w:r>
      <w:r w:rsidRPr="006B52B6">
        <w:rPr>
          <w:rFonts w:ascii="Times New Roman" w:hAnsi="Times New Roman" w:cs="Times New Roman"/>
          <w:sz w:val="24"/>
          <w:szCs w:val="24"/>
        </w:rPr>
        <w:t xml:space="preserve">, while </w:t>
      </w:r>
      <w:r w:rsidR="00260D08" w:rsidRPr="006B52B6">
        <w:rPr>
          <w:rFonts w:ascii="Times New Roman" w:hAnsi="Times New Roman" w:cs="Times New Roman"/>
          <w:i/>
          <w:sz w:val="24"/>
          <w:szCs w:val="24"/>
        </w:rPr>
        <w:t>r</w:t>
      </w:r>
      <w:r w:rsidRPr="006B52B6">
        <w:rPr>
          <w:rFonts w:ascii="Times New Roman" w:hAnsi="Times New Roman" w:cs="Times New Roman"/>
          <w:i/>
          <w:sz w:val="24"/>
          <w:szCs w:val="24"/>
        </w:rPr>
        <w:t>eliability</w:t>
      </w:r>
      <w:r w:rsidRPr="006B52B6">
        <w:rPr>
          <w:rFonts w:ascii="Times New Roman" w:hAnsi="Times New Roman" w:cs="Times New Roman"/>
          <w:sz w:val="24"/>
          <w:szCs w:val="24"/>
        </w:rPr>
        <w:t xml:space="preserve"> </w:t>
      </w:r>
      <w:r w:rsidR="002F252B" w:rsidRPr="006B52B6">
        <w:rPr>
          <w:rFonts w:ascii="Times New Roman" w:hAnsi="Times New Roman" w:cs="Times New Roman"/>
          <w:sz w:val="24"/>
          <w:szCs w:val="24"/>
        </w:rPr>
        <w:t>includes</w:t>
      </w:r>
      <w:r w:rsidRPr="006B52B6">
        <w:rPr>
          <w:rFonts w:ascii="Times New Roman" w:hAnsi="Times New Roman" w:cs="Times New Roman"/>
          <w:sz w:val="24"/>
          <w:szCs w:val="24"/>
        </w:rPr>
        <w:t xml:space="preserve"> the ability to deliver the resources to the l</w:t>
      </w:r>
      <w:bookmarkStart w:id="0" w:name="_GoBack"/>
      <w:bookmarkEnd w:id="0"/>
      <w:r w:rsidRPr="006B52B6">
        <w:rPr>
          <w:rFonts w:ascii="Times New Roman" w:hAnsi="Times New Roman" w:cs="Times New Roman"/>
          <w:sz w:val="24"/>
          <w:szCs w:val="24"/>
        </w:rPr>
        <w:t>oads</w:t>
      </w:r>
      <w:r w:rsidR="00260D08" w:rsidRPr="006B52B6">
        <w:rPr>
          <w:rFonts w:ascii="Times New Roman" w:hAnsi="Times New Roman" w:cs="Times New Roman"/>
          <w:sz w:val="24"/>
          <w:szCs w:val="24"/>
        </w:rPr>
        <w:t>, such that</w:t>
      </w:r>
      <w:r w:rsidR="0045196B" w:rsidRPr="006B52B6">
        <w:rPr>
          <w:rFonts w:ascii="Times New Roman" w:hAnsi="Times New Roman" w:cs="Times New Roman"/>
          <w:sz w:val="24"/>
          <w:szCs w:val="24"/>
        </w:rPr>
        <w:t xml:space="preserve"> the overall power grid remains stable</w:t>
      </w:r>
      <w:r w:rsidR="000277E0">
        <w:rPr>
          <w:rFonts w:ascii="Times New Roman" w:hAnsi="Times New Roman" w:cs="Times New Roman"/>
          <w:sz w:val="24"/>
          <w:szCs w:val="24"/>
        </w:rPr>
        <w:t>.</w:t>
      </w:r>
    </w:p>
    <w:p w14:paraId="78E9DB54" w14:textId="6D7D4583" w:rsidR="00096C0E" w:rsidRDefault="00F6084E" w:rsidP="006B52B6">
      <w:pPr>
        <w:spacing w:line="36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I</w:t>
      </w:r>
      <w:r w:rsidR="00096C0E">
        <w:rPr>
          <w:rFonts w:ascii="Times New Roman" w:hAnsi="Times New Roman" w:cs="Times New Roman"/>
          <w:sz w:val="24"/>
          <w:szCs w:val="24"/>
        </w:rPr>
        <w:t>t is important to recognize that th</w:t>
      </w:r>
      <w:r>
        <w:rPr>
          <w:rFonts w:ascii="Times New Roman" w:hAnsi="Times New Roman" w:cs="Times New Roman"/>
          <w:sz w:val="24"/>
          <w:szCs w:val="24"/>
        </w:rPr>
        <w:t>e final</w:t>
      </w:r>
      <w:r w:rsidR="00096C0E">
        <w:rPr>
          <w:rFonts w:ascii="Times New Roman" w:hAnsi="Times New Roman" w:cs="Times New Roman"/>
          <w:sz w:val="24"/>
          <w:szCs w:val="24"/>
        </w:rPr>
        <w:t xml:space="preserve"> </w:t>
      </w:r>
      <w:r w:rsidR="00847730">
        <w:rPr>
          <w:rFonts w:ascii="Times New Roman" w:hAnsi="Times New Roman" w:cs="Times New Roman"/>
          <w:sz w:val="24"/>
          <w:szCs w:val="24"/>
        </w:rPr>
        <w:t>rule</w:t>
      </w:r>
      <w:r w:rsidR="00096C0E">
        <w:rPr>
          <w:rFonts w:ascii="Times New Roman" w:hAnsi="Times New Roman" w:cs="Times New Roman"/>
          <w:sz w:val="24"/>
          <w:szCs w:val="24"/>
        </w:rPr>
        <w:t xml:space="preserve"> provides </w:t>
      </w:r>
      <w:r w:rsidR="00175CA5">
        <w:rPr>
          <w:rFonts w:ascii="Times New Roman" w:hAnsi="Times New Roman" w:cs="Times New Roman"/>
          <w:sz w:val="24"/>
          <w:szCs w:val="24"/>
        </w:rPr>
        <w:t>multiple flexibilities</w:t>
      </w:r>
      <w:r w:rsidR="00096C0E">
        <w:rPr>
          <w:rFonts w:ascii="Times New Roman" w:hAnsi="Times New Roman" w:cs="Times New Roman"/>
          <w:sz w:val="24"/>
          <w:szCs w:val="24"/>
        </w:rPr>
        <w:t xml:space="preserve"> </w:t>
      </w:r>
      <w:r w:rsidR="00096C0E" w:rsidRPr="00096C0E">
        <w:rPr>
          <w:rFonts w:ascii="Times New Roman" w:hAnsi="Times New Roman" w:cs="Times New Roman"/>
          <w:sz w:val="24"/>
          <w:szCs w:val="24"/>
        </w:rPr>
        <w:t xml:space="preserve">that </w:t>
      </w:r>
      <w:r w:rsidR="00096C0E">
        <w:rPr>
          <w:rFonts w:ascii="Times New Roman" w:hAnsi="Times New Roman" w:cs="Times New Roman"/>
          <w:sz w:val="24"/>
          <w:szCs w:val="24"/>
        </w:rPr>
        <w:t>preserve the ability of responsible authorities to maintain electric reliability</w:t>
      </w:r>
      <w:r>
        <w:rPr>
          <w:rFonts w:ascii="Times New Roman" w:hAnsi="Times New Roman" w:cs="Times New Roman"/>
          <w:sz w:val="24"/>
          <w:szCs w:val="24"/>
        </w:rPr>
        <w:t>, as well as a provision to ensure that electric reliability is adequately maintained in the case of extreme circumstances</w:t>
      </w:r>
      <w:r w:rsidR="0090490A">
        <w:rPr>
          <w:rFonts w:ascii="Times New Roman" w:hAnsi="Times New Roman" w:cs="Times New Roman"/>
          <w:sz w:val="24"/>
          <w:szCs w:val="24"/>
        </w:rPr>
        <w:t>, amongst other changes to the final rule that will assist states and other authorities with ensuring adequate supplies of electricity and maintain</w:t>
      </w:r>
      <w:r w:rsidR="00175CA5">
        <w:rPr>
          <w:rFonts w:ascii="Times New Roman" w:hAnsi="Times New Roman" w:cs="Times New Roman"/>
          <w:sz w:val="24"/>
          <w:szCs w:val="24"/>
        </w:rPr>
        <w:t>ing</w:t>
      </w:r>
      <w:r w:rsidR="0090490A">
        <w:rPr>
          <w:rFonts w:ascii="Times New Roman" w:hAnsi="Times New Roman" w:cs="Times New Roman"/>
          <w:sz w:val="24"/>
          <w:szCs w:val="24"/>
        </w:rPr>
        <w:t xml:space="preserve"> electric reliab</w:t>
      </w:r>
      <w:r w:rsidR="0009619E">
        <w:rPr>
          <w:rFonts w:ascii="Times New Roman" w:hAnsi="Times New Roman" w:cs="Times New Roman"/>
          <w:sz w:val="24"/>
          <w:szCs w:val="24"/>
        </w:rPr>
        <w:t>i</w:t>
      </w:r>
      <w:r w:rsidR="0090490A">
        <w:rPr>
          <w:rFonts w:ascii="Times New Roman" w:hAnsi="Times New Roman" w:cs="Times New Roman"/>
          <w:sz w:val="24"/>
          <w:szCs w:val="24"/>
        </w:rPr>
        <w:t>lity</w:t>
      </w:r>
      <w:r w:rsidR="00096C0E">
        <w:rPr>
          <w:rFonts w:ascii="Times New Roman" w:hAnsi="Times New Roman" w:cs="Times New Roman"/>
          <w:sz w:val="24"/>
          <w:szCs w:val="24"/>
        </w:rPr>
        <w:t>.</w:t>
      </w:r>
      <w:proofErr w:type="gramEnd"/>
      <w:r w:rsidR="00096C0E">
        <w:rPr>
          <w:rFonts w:ascii="Times New Roman" w:hAnsi="Times New Roman" w:cs="Times New Roman"/>
          <w:sz w:val="24"/>
          <w:szCs w:val="24"/>
        </w:rPr>
        <w:t xml:space="preserve">  </w:t>
      </w:r>
      <w:r w:rsidR="0090490A">
        <w:rPr>
          <w:rFonts w:ascii="Times New Roman" w:hAnsi="Times New Roman" w:cs="Times New Roman"/>
          <w:sz w:val="24"/>
          <w:szCs w:val="24"/>
        </w:rPr>
        <w:t xml:space="preserve"> For more detail on how the final CPP addresses reliability, see </w:t>
      </w:r>
      <w:r w:rsidR="002660AE">
        <w:rPr>
          <w:rFonts w:ascii="Times New Roman" w:hAnsi="Times New Roman" w:cs="Times New Roman"/>
          <w:sz w:val="24"/>
          <w:szCs w:val="24"/>
        </w:rPr>
        <w:t>Section VIII</w:t>
      </w:r>
      <w:r w:rsidR="0090490A">
        <w:rPr>
          <w:rFonts w:ascii="Times New Roman" w:hAnsi="Times New Roman" w:cs="Times New Roman"/>
          <w:sz w:val="24"/>
          <w:szCs w:val="24"/>
        </w:rPr>
        <w:t xml:space="preserve"> of the final rule preamble. T</w:t>
      </w:r>
      <w:r w:rsidR="00F33F62">
        <w:rPr>
          <w:rFonts w:ascii="Times New Roman" w:hAnsi="Times New Roman" w:cs="Times New Roman"/>
          <w:sz w:val="24"/>
          <w:szCs w:val="24"/>
        </w:rPr>
        <w:t>he results presented in this document show that power system impacts of the final rule on system operations</w:t>
      </w:r>
      <w:r w:rsidR="0066061A">
        <w:rPr>
          <w:rFonts w:ascii="Times New Roman" w:hAnsi="Times New Roman" w:cs="Times New Roman"/>
          <w:sz w:val="24"/>
          <w:szCs w:val="24"/>
        </w:rPr>
        <w:t>,</w:t>
      </w:r>
      <w:r w:rsidR="00F33F62">
        <w:rPr>
          <w:rFonts w:ascii="Times New Roman" w:hAnsi="Times New Roman" w:cs="Times New Roman"/>
          <w:sz w:val="24"/>
          <w:szCs w:val="24"/>
        </w:rPr>
        <w:t xml:space="preserve"> under conditions preserving resource adequacy</w:t>
      </w:r>
      <w:r w:rsidR="0066061A">
        <w:rPr>
          <w:rFonts w:ascii="Times New Roman" w:hAnsi="Times New Roman" w:cs="Times New Roman"/>
          <w:sz w:val="24"/>
          <w:szCs w:val="24"/>
        </w:rPr>
        <w:t>,</w:t>
      </w:r>
      <w:r w:rsidR="00F33F62">
        <w:rPr>
          <w:rFonts w:ascii="Times New Roman" w:hAnsi="Times New Roman" w:cs="Times New Roman"/>
          <w:sz w:val="24"/>
          <w:szCs w:val="24"/>
        </w:rPr>
        <w:t xml:space="preserve"> </w:t>
      </w:r>
      <w:r w:rsidR="0066061A">
        <w:rPr>
          <w:rFonts w:ascii="Times New Roman" w:hAnsi="Times New Roman" w:cs="Times New Roman"/>
          <w:sz w:val="24"/>
          <w:szCs w:val="24"/>
        </w:rPr>
        <w:t>are</w:t>
      </w:r>
      <w:r w:rsidR="00F33F62">
        <w:rPr>
          <w:rFonts w:ascii="Times New Roman" w:hAnsi="Times New Roman" w:cs="Times New Roman"/>
          <w:sz w:val="24"/>
          <w:szCs w:val="24"/>
        </w:rPr>
        <w:t xml:space="preserve"> modest and manageable</w:t>
      </w:r>
      <w:r w:rsidR="00532E01">
        <w:rPr>
          <w:rFonts w:ascii="Times New Roman" w:hAnsi="Times New Roman" w:cs="Times New Roman"/>
          <w:sz w:val="24"/>
          <w:szCs w:val="24"/>
        </w:rPr>
        <w:t>.</w:t>
      </w:r>
    </w:p>
    <w:p w14:paraId="0EE31B8F" w14:textId="77777777" w:rsidR="00175CA5" w:rsidRPr="00175CA5" w:rsidRDefault="00175CA5" w:rsidP="00175CA5">
      <w:pPr>
        <w:spacing w:line="360" w:lineRule="auto"/>
        <w:ind w:firstLine="720"/>
        <w:rPr>
          <w:rFonts w:ascii="Times New Roman" w:hAnsi="Times New Roman" w:cs="Times New Roman"/>
          <w:sz w:val="24"/>
          <w:szCs w:val="24"/>
        </w:rPr>
      </w:pPr>
      <w:r w:rsidRPr="00175CA5">
        <w:rPr>
          <w:rFonts w:ascii="Times New Roman" w:hAnsi="Times New Roman" w:cs="Times New Roman"/>
          <w:sz w:val="24"/>
          <w:szCs w:val="24"/>
        </w:rPr>
        <w:t xml:space="preserve">First, the final rule includes critical timing adjustments in response to comment about resource adequacy and reliability.  In particular, the start date for the first compliance period </w:t>
      </w:r>
      <w:proofErr w:type="gramStart"/>
      <w:r w:rsidRPr="00175CA5">
        <w:rPr>
          <w:rFonts w:ascii="Times New Roman" w:hAnsi="Times New Roman" w:cs="Times New Roman"/>
          <w:sz w:val="24"/>
          <w:szCs w:val="24"/>
        </w:rPr>
        <w:t>was moved</w:t>
      </w:r>
      <w:proofErr w:type="gramEnd"/>
      <w:r w:rsidRPr="00175CA5">
        <w:rPr>
          <w:rFonts w:ascii="Times New Roman" w:hAnsi="Times New Roman" w:cs="Times New Roman"/>
          <w:sz w:val="24"/>
          <w:szCs w:val="24"/>
        </w:rPr>
        <w:t xml:space="preserve"> from 2020 to 2022.  In addition, building block 2 and building block 3 are both gradually phased in starting in 2022 to give EGUs additional time to make adjustments, including any investments needed </w:t>
      </w:r>
      <w:proofErr w:type="gramStart"/>
      <w:r w:rsidRPr="00175CA5">
        <w:rPr>
          <w:rFonts w:ascii="Times New Roman" w:hAnsi="Times New Roman" w:cs="Times New Roman"/>
          <w:sz w:val="24"/>
          <w:szCs w:val="24"/>
        </w:rPr>
        <w:t>for the purpose of</w:t>
      </w:r>
      <w:proofErr w:type="gramEnd"/>
      <w:r w:rsidRPr="00175CA5">
        <w:rPr>
          <w:rFonts w:ascii="Times New Roman" w:hAnsi="Times New Roman" w:cs="Times New Roman"/>
          <w:sz w:val="24"/>
          <w:szCs w:val="24"/>
        </w:rPr>
        <w:t xml:space="preserve"> ensuring resource adequacy and reliability.  </w:t>
      </w:r>
    </w:p>
    <w:p w14:paraId="0B5A0CBA" w14:textId="1409363C" w:rsidR="00175CA5" w:rsidRPr="00175CA5" w:rsidRDefault="00175CA5" w:rsidP="00175CA5">
      <w:pPr>
        <w:spacing w:line="360" w:lineRule="auto"/>
        <w:ind w:firstLine="720"/>
        <w:rPr>
          <w:rFonts w:ascii="Times New Roman" w:hAnsi="Times New Roman" w:cs="Times New Roman"/>
          <w:sz w:val="24"/>
          <w:szCs w:val="24"/>
        </w:rPr>
      </w:pPr>
      <w:r>
        <w:rPr>
          <w:rFonts w:ascii="Times New Roman" w:hAnsi="Times New Roman" w:cs="Times New Roman"/>
          <w:sz w:val="24"/>
          <w:szCs w:val="24"/>
        </w:rPr>
        <w:t>Second</w:t>
      </w:r>
      <w:r w:rsidRPr="00175CA5">
        <w:rPr>
          <w:rFonts w:ascii="Times New Roman" w:hAnsi="Times New Roman" w:cs="Times New Roman"/>
          <w:sz w:val="24"/>
          <w:szCs w:val="24"/>
        </w:rPr>
        <w:t xml:space="preserve">, as with the proposal, the final rule offers considerable flexibility to both states and EGUs.  States </w:t>
      </w:r>
      <w:proofErr w:type="gramStart"/>
      <w:r w:rsidRPr="00175CA5">
        <w:rPr>
          <w:rFonts w:ascii="Times New Roman" w:hAnsi="Times New Roman" w:cs="Times New Roman"/>
          <w:sz w:val="24"/>
          <w:szCs w:val="24"/>
        </w:rPr>
        <w:t>are given</w:t>
      </w:r>
      <w:proofErr w:type="gramEnd"/>
      <w:r w:rsidRPr="00175CA5">
        <w:rPr>
          <w:rFonts w:ascii="Times New Roman" w:hAnsi="Times New Roman" w:cs="Times New Roman"/>
          <w:sz w:val="24"/>
          <w:szCs w:val="24"/>
        </w:rPr>
        <w:t xml:space="preserve"> broad latitude to design plans that fit their unique circumstances, including taking into account any resource adequacy or reliability constraints they may face.  One particularly important example of this latitude is that states are encouraged to implement mass-based or rate-based plans that allow EGUs to take advantage of trading both within each </w:t>
      </w:r>
      <w:r w:rsidRPr="00175CA5">
        <w:rPr>
          <w:rFonts w:ascii="Times New Roman" w:hAnsi="Times New Roman" w:cs="Times New Roman"/>
          <w:sz w:val="24"/>
          <w:szCs w:val="24"/>
        </w:rPr>
        <w:lastRenderedPageBreak/>
        <w:t xml:space="preserve">state and across states.  Moreover, states are given additional flexibility to manage any near-term resource adequacy constraints by taking advantage of averaging provisions during the interim multi-year compliance period from 2022-2029.  </w:t>
      </w:r>
    </w:p>
    <w:p w14:paraId="18A6E17D" w14:textId="77777777" w:rsidR="00175CA5" w:rsidRPr="00175CA5" w:rsidRDefault="00175CA5" w:rsidP="00175CA5">
      <w:pPr>
        <w:spacing w:line="360" w:lineRule="auto"/>
        <w:ind w:firstLine="720"/>
        <w:rPr>
          <w:rFonts w:ascii="Times New Roman" w:hAnsi="Times New Roman" w:cs="Times New Roman"/>
          <w:sz w:val="24"/>
          <w:szCs w:val="24"/>
        </w:rPr>
      </w:pPr>
      <w:r w:rsidRPr="00175CA5">
        <w:rPr>
          <w:rFonts w:ascii="Times New Roman" w:hAnsi="Times New Roman" w:cs="Times New Roman"/>
          <w:sz w:val="24"/>
          <w:szCs w:val="24"/>
        </w:rPr>
        <w:t xml:space="preserve">Finally, the Reliability Safety Valve (RSV) provisions in the final rule provide additional flexibilities and provisions that assure states can adequately manage any specific reliability challenges that may arise.  </w:t>
      </w:r>
    </w:p>
    <w:p w14:paraId="558D394C" w14:textId="407250D9" w:rsidR="00175CA5" w:rsidRPr="006B52B6" w:rsidRDefault="00175CA5" w:rsidP="00175CA5">
      <w:pPr>
        <w:spacing w:line="360" w:lineRule="auto"/>
        <w:ind w:firstLine="720"/>
        <w:rPr>
          <w:rFonts w:ascii="Times New Roman" w:hAnsi="Times New Roman" w:cs="Times New Roman"/>
          <w:sz w:val="24"/>
          <w:szCs w:val="24"/>
        </w:rPr>
      </w:pPr>
      <w:r w:rsidRPr="00175CA5">
        <w:rPr>
          <w:rFonts w:ascii="Times New Roman" w:hAnsi="Times New Roman" w:cs="Times New Roman"/>
          <w:sz w:val="24"/>
          <w:szCs w:val="24"/>
        </w:rPr>
        <w:t>In sum, states can choose different ways of implementing the rule</w:t>
      </w:r>
      <w:r>
        <w:rPr>
          <w:rFonts w:ascii="Times New Roman" w:hAnsi="Times New Roman" w:cs="Times New Roman"/>
          <w:sz w:val="24"/>
          <w:szCs w:val="24"/>
        </w:rPr>
        <w:t xml:space="preserve"> </w:t>
      </w:r>
      <w:r w:rsidRPr="00175CA5">
        <w:rPr>
          <w:rFonts w:ascii="Times New Roman" w:hAnsi="Times New Roman" w:cs="Times New Roman"/>
          <w:sz w:val="24"/>
          <w:szCs w:val="24"/>
        </w:rPr>
        <w:t xml:space="preserve">guidelines to meet their targets while </w:t>
      </w:r>
      <w:r w:rsidR="00E064EA">
        <w:rPr>
          <w:rFonts w:ascii="Times New Roman" w:hAnsi="Times New Roman" w:cs="Times New Roman"/>
          <w:sz w:val="24"/>
          <w:szCs w:val="24"/>
        </w:rPr>
        <w:t>meeting</w:t>
      </w:r>
      <w:r w:rsidRPr="00175CA5">
        <w:rPr>
          <w:rFonts w:ascii="Times New Roman" w:hAnsi="Times New Roman" w:cs="Times New Roman"/>
          <w:sz w:val="24"/>
          <w:szCs w:val="24"/>
        </w:rPr>
        <w:t xml:space="preserve"> their specific needs and maintaining electric reliability.  For more detail on the RSV and other ways in which the how the final CPP addresses reliability, see Section VIII of the final rule preamble.</w:t>
      </w:r>
    </w:p>
    <w:p w14:paraId="55FF1F28" w14:textId="53268C38" w:rsidR="009B53F5" w:rsidRDefault="009B53F5" w:rsidP="009B53F5">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results presented in this document further demonstrate, for the specific cases illustrated in the Regulatory Impact Analysis (RIA), that the implementation of this rule </w:t>
      </w:r>
      <w:proofErr w:type="gramStart"/>
      <w:r>
        <w:rPr>
          <w:rFonts w:ascii="Times New Roman" w:hAnsi="Times New Roman" w:cs="Times New Roman"/>
          <w:sz w:val="24"/>
          <w:szCs w:val="24"/>
        </w:rPr>
        <w:t>can be achieved</w:t>
      </w:r>
      <w:proofErr w:type="gramEnd"/>
      <w:r>
        <w:rPr>
          <w:rFonts w:ascii="Times New Roman" w:hAnsi="Times New Roman" w:cs="Times New Roman"/>
          <w:sz w:val="24"/>
          <w:szCs w:val="24"/>
        </w:rPr>
        <w:t xml:space="preserve"> without undermining resource adequacy or reliability.  The focus of the analysis is on </w:t>
      </w:r>
      <w:r w:rsidR="007B0055">
        <w:rPr>
          <w:rFonts w:ascii="Times New Roman" w:hAnsi="Times New Roman" w:cs="Times New Roman"/>
          <w:sz w:val="24"/>
          <w:szCs w:val="24"/>
        </w:rPr>
        <w:t>comparing two illustrative state plan scenarios from the RIA to</w:t>
      </w:r>
      <w:r>
        <w:rPr>
          <w:rFonts w:ascii="Times New Roman" w:hAnsi="Times New Roman" w:cs="Times New Roman"/>
          <w:sz w:val="24"/>
          <w:szCs w:val="24"/>
        </w:rPr>
        <w:t xml:space="preserve"> a base case (absent the rule requirements) that is assumed </w:t>
      </w:r>
      <w:proofErr w:type="gramStart"/>
      <w:r>
        <w:rPr>
          <w:rFonts w:ascii="Times New Roman" w:hAnsi="Times New Roman" w:cs="Times New Roman"/>
          <w:sz w:val="24"/>
          <w:szCs w:val="24"/>
        </w:rPr>
        <w:t>to be adequate</w:t>
      </w:r>
      <w:proofErr w:type="gramEnd"/>
      <w:r>
        <w:rPr>
          <w:rFonts w:ascii="Times New Roman" w:hAnsi="Times New Roman" w:cs="Times New Roman"/>
          <w:sz w:val="24"/>
          <w:szCs w:val="24"/>
        </w:rPr>
        <w:t xml:space="preserve"> and reliable.  In this framework, the emphasis is on the incremental changes in the power system that </w:t>
      </w:r>
      <w:proofErr w:type="gramStart"/>
      <w:r>
        <w:rPr>
          <w:rFonts w:ascii="Times New Roman" w:hAnsi="Times New Roman" w:cs="Times New Roman"/>
          <w:sz w:val="24"/>
          <w:szCs w:val="24"/>
        </w:rPr>
        <w:t>are projected</w:t>
      </w:r>
      <w:proofErr w:type="gramEnd"/>
      <w:r>
        <w:rPr>
          <w:rFonts w:ascii="Times New Roman" w:hAnsi="Times New Roman" w:cs="Times New Roman"/>
          <w:sz w:val="24"/>
          <w:szCs w:val="24"/>
        </w:rPr>
        <w:t xml:space="preserve"> to occur under the presence of the rule.</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w:t>
      </w:r>
      <w:r w:rsidRPr="006B52B6">
        <w:rPr>
          <w:rFonts w:ascii="Times New Roman" w:hAnsi="Times New Roman" w:cs="Times New Roman"/>
          <w:sz w:val="24"/>
          <w:szCs w:val="24"/>
        </w:rPr>
        <w:t xml:space="preserve">The EPA uses the Integrated Planning Model (IPM) to project likely </w:t>
      </w:r>
      <w:proofErr w:type="gramStart"/>
      <w:r w:rsidRPr="006B52B6">
        <w:rPr>
          <w:rFonts w:ascii="Times New Roman" w:hAnsi="Times New Roman" w:cs="Times New Roman"/>
          <w:sz w:val="24"/>
          <w:szCs w:val="24"/>
        </w:rPr>
        <w:t>future electricity market conditions</w:t>
      </w:r>
      <w:proofErr w:type="gramEnd"/>
      <w:r w:rsidRPr="006B52B6">
        <w:rPr>
          <w:rFonts w:ascii="Times New Roman" w:hAnsi="Times New Roman" w:cs="Times New Roman"/>
          <w:sz w:val="24"/>
          <w:szCs w:val="24"/>
        </w:rPr>
        <w:t xml:space="preserve"> with and without the proposed rule.</w:t>
      </w:r>
      <w:r>
        <w:rPr>
          <w:rStyle w:val="FootnoteReference"/>
          <w:rFonts w:ascii="Times New Roman" w:hAnsi="Times New Roman" w:cs="Times New Roman"/>
          <w:sz w:val="24"/>
          <w:szCs w:val="24"/>
        </w:rPr>
        <w:footnoteReference w:id="3"/>
      </w:r>
    </w:p>
    <w:p w14:paraId="4237A638" w14:textId="31A543FD" w:rsidR="001B03F6" w:rsidRPr="006B52B6" w:rsidRDefault="00045E5B"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IPM is a multi-regional, dynamic, deterministic linear programming model of the U.S. electric power sector</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It provides forecasts of least cost capacity expansion, electricity dispatch,</w:t>
      </w:r>
      <w:r w:rsidR="002660AE">
        <w:rPr>
          <w:rFonts w:ascii="Times New Roman" w:hAnsi="Times New Roman" w:cs="Times New Roman"/>
          <w:sz w:val="24"/>
          <w:szCs w:val="24"/>
        </w:rPr>
        <w:t xml:space="preserve"> </w:t>
      </w:r>
      <w:r w:rsidRPr="006B52B6">
        <w:rPr>
          <w:rFonts w:ascii="Times New Roman" w:hAnsi="Times New Roman" w:cs="Times New Roman"/>
          <w:sz w:val="24"/>
          <w:szCs w:val="24"/>
        </w:rPr>
        <w:t>and emission control strategies while meeting energy demand and environmental, transmission, dispatch, and reliability constraints</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 xml:space="preserve">The model </w:t>
      </w:r>
      <w:proofErr w:type="gramStart"/>
      <w:r w:rsidRPr="006B52B6">
        <w:rPr>
          <w:rFonts w:ascii="Times New Roman" w:hAnsi="Times New Roman" w:cs="Times New Roman"/>
          <w:sz w:val="24"/>
          <w:szCs w:val="24"/>
        </w:rPr>
        <w:t>is designed</w:t>
      </w:r>
      <w:proofErr w:type="gramEnd"/>
      <w:r w:rsidRPr="006B52B6">
        <w:rPr>
          <w:rFonts w:ascii="Times New Roman" w:hAnsi="Times New Roman" w:cs="Times New Roman"/>
          <w:sz w:val="24"/>
          <w:szCs w:val="24"/>
        </w:rPr>
        <w:t xml:space="preserve"> to reflect electricity markets as accurately as possible</w:t>
      </w:r>
      <w:r w:rsidR="000277E0">
        <w:rPr>
          <w:rFonts w:ascii="Times New Roman" w:hAnsi="Times New Roman" w:cs="Times New Roman"/>
          <w:sz w:val="24"/>
          <w:szCs w:val="24"/>
        </w:rPr>
        <w:t xml:space="preserve">. The </w:t>
      </w:r>
      <w:r w:rsidRPr="006B52B6">
        <w:rPr>
          <w:rFonts w:ascii="Times New Roman" w:hAnsi="Times New Roman" w:cs="Times New Roman"/>
          <w:sz w:val="24"/>
          <w:szCs w:val="24"/>
        </w:rPr>
        <w:t>EPA uses the best available information from utilities, industry experts, gas and coal market experts, financial institutions, and government statistics as the basis for the detailed power sector modeling in IPM</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 xml:space="preserve"> The model documentation provides additional </w:t>
      </w:r>
      <w:r w:rsidRPr="006B52B6">
        <w:rPr>
          <w:rFonts w:ascii="Times New Roman" w:hAnsi="Times New Roman" w:cs="Times New Roman"/>
          <w:sz w:val="24"/>
          <w:szCs w:val="24"/>
        </w:rPr>
        <w:lastRenderedPageBreak/>
        <w:t>information on the assumptions discussed here as well as all other model assumptions and inputs.</w:t>
      </w:r>
      <w:r w:rsidR="0066061A">
        <w:rPr>
          <w:rStyle w:val="FootnoteReference"/>
          <w:rFonts w:ascii="Times New Roman" w:hAnsi="Times New Roman" w:cs="Times New Roman"/>
          <w:sz w:val="24"/>
          <w:szCs w:val="24"/>
        </w:rPr>
        <w:footnoteReference w:id="4"/>
      </w:r>
    </w:p>
    <w:p w14:paraId="6BF09C37" w14:textId="0F82F8A8" w:rsidR="00045E5B" w:rsidRPr="006B52B6" w:rsidRDefault="00622500"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IPM</w:t>
      </w:r>
      <w:r w:rsidR="0066061A">
        <w:rPr>
          <w:rFonts w:ascii="Times New Roman" w:hAnsi="Times New Roman" w:cs="Times New Roman"/>
          <w:sz w:val="24"/>
          <w:szCs w:val="24"/>
        </w:rPr>
        <w:t>’s least-cost dispatch solution</w:t>
      </w:r>
      <w:r w:rsidR="00B83750">
        <w:rPr>
          <w:rFonts w:ascii="Times New Roman" w:hAnsi="Times New Roman" w:cs="Times New Roman"/>
          <w:sz w:val="24"/>
          <w:szCs w:val="24"/>
        </w:rPr>
        <w:t xml:space="preserve"> </w:t>
      </w:r>
      <w:proofErr w:type="gramStart"/>
      <w:r w:rsidR="00B83750">
        <w:rPr>
          <w:rFonts w:ascii="Times New Roman" w:hAnsi="Times New Roman" w:cs="Times New Roman"/>
          <w:sz w:val="24"/>
          <w:szCs w:val="24"/>
        </w:rPr>
        <w:t>is designed</w:t>
      </w:r>
      <w:proofErr w:type="gramEnd"/>
      <w:r w:rsidR="00B83750">
        <w:rPr>
          <w:rFonts w:ascii="Times New Roman" w:hAnsi="Times New Roman" w:cs="Times New Roman"/>
          <w:sz w:val="24"/>
          <w:szCs w:val="24"/>
        </w:rPr>
        <w:t xml:space="preserve"> to</w:t>
      </w:r>
      <w:r w:rsidRPr="006B52B6">
        <w:rPr>
          <w:rFonts w:ascii="Times New Roman" w:hAnsi="Times New Roman" w:cs="Times New Roman"/>
          <w:sz w:val="24"/>
          <w:szCs w:val="24"/>
        </w:rPr>
        <w:t xml:space="preserve"> ensure </w:t>
      </w:r>
      <w:r w:rsidR="00AD38ED" w:rsidRPr="006B52B6">
        <w:rPr>
          <w:rFonts w:ascii="Times New Roman" w:hAnsi="Times New Roman" w:cs="Times New Roman"/>
          <w:sz w:val="24"/>
          <w:szCs w:val="24"/>
        </w:rPr>
        <w:t xml:space="preserve">generation </w:t>
      </w:r>
      <w:r w:rsidRPr="006B52B6">
        <w:rPr>
          <w:rFonts w:ascii="Times New Roman" w:hAnsi="Times New Roman" w:cs="Times New Roman"/>
          <w:sz w:val="24"/>
          <w:szCs w:val="24"/>
        </w:rPr>
        <w:t xml:space="preserve">resource adequacy, either </w:t>
      </w:r>
      <w:r w:rsidR="00AD38ED" w:rsidRPr="006B52B6">
        <w:rPr>
          <w:rFonts w:ascii="Times New Roman" w:hAnsi="Times New Roman" w:cs="Times New Roman"/>
          <w:sz w:val="24"/>
          <w:szCs w:val="24"/>
        </w:rPr>
        <w:t>by using</w:t>
      </w:r>
      <w:r w:rsidRPr="006B52B6">
        <w:rPr>
          <w:rFonts w:ascii="Times New Roman" w:hAnsi="Times New Roman" w:cs="Times New Roman"/>
          <w:sz w:val="24"/>
          <w:szCs w:val="24"/>
        </w:rPr>
        <w:t xml:space="preserve"> existing resources or through the construction of new resources</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 xml:space="preserve">IPM addresses </w:t>
      </w:r>
      <w:r w:rsidR="00AD38ED" w:rsidRPr="006B52B6">
        <w:rPr>
          <w:rFonts w:ascii="Times New Roman" w:hAnsi="Times New Roman" w:cs="Times New Roman"/>
          <w:sz w:val="24"/>
          <w:szCs w:val="24"/>
        </w:rPr>
        <w:t>reliable delivery of generation resources</w:t>
      </w:r>
      <w:r w:rsidRPr="006B52B6">
        <w:rPr>
          <w:rFonts w:ascii="Times New Roman" w:hAnsi="Times New Roman" w:cs="Times New Roman"/>
          <w:sz w:val="24"/>
          <w:szCs w:val="24"/>
        </w:rPr>
        <w:t xml:space="preserve"> for the delivery of electricity between </w:t>
      </w:r>
      <w:r w:rsidR="00260D08" w:rsidRPr="006B52B6">
        <w:rPr>
          <w:rFonts w:ascii="Times New Roman" w:hAnsi="Times New Roman" w:cs="Times New Roman"/>
          <w:sz w:val="24"/>
          <w:szCs w:val="24"/>
        </w:rPr>
        <w:t xml:space="preserve">the </w:t>
      </w:r>
      <w:r w:rsidR="00EC65CF" w:rsidRPr="006B52B6">
        <w:rPr>
          <w:rFonts w:ascii="Times New Roman" w:hAnsi="Times New Roman" w:cs="Times New Roman"/>
          <w:sz w:val="24"/>
          <w:szCs w:val="24"/>
        </w:rPr>
        <w:t>64</w:t>
      </w:r>
      <w:r w:rsidR="00260D08" w:rsidRPr="006B52B6">
        <w:rPr>
          <w:rFonts w:ascii="Times New Roman" w:hAnsi="Times New Roman" w:cs="Times New Roman"/>
          <w:sz w:val="24"/>
          <w:szCs w:val="24"/>
        </w:rPr>
        <w:t xml:space="preserve"> IPM </w:t>
      </w:r>
      <w:r w:rsidRPr="006B52B6">
        <w:rPr>
          <w:rFonts w:ascii="Times New Roman" w:hAnsi="Times New Roman" w:cs="Times New Roman"/>
          <w:sz w:val="24"/>
          <w:szCs w:val="24"/>
        </w:rPr>
        <w:t xml:space="preserve">regions, </w:t>
      </w:r>
      <w:r w:rsidR="0009619E">
        <w:rPr>
          <w:rFonts w:ascii="Times New Roman" w:hAnsi="Times New Roman" w:cs="Times New Roman"/>
          <w:sz w:val="24"/>
          <w:szCs w:val="24"/>
        </w:rPr>
        <w:t xml:space="preserve">based on current and planned transmission capacity, </w:t>
      </w:r>
      <w:r w:rsidRPr="006B52B6">
        <w:rPr>
          <w:rFonts w:ascii="Times New Roman" w:hAnsi="Times New Roman" w:cs="Times New Roman"/>
          <w:sz w:val="24"/>
          <w:szCs w:val="24"/>
        </w:rPr>
        <w:t xml:space="preserve">by setting limits to the ability to transfer power between regions using the </w:t>
      </w:r>
      <w:proofErr w:type="gramStart"/>
      <w:r w:rsidRPr="006B52B6">
        <w:rPr>
          <w:rFonts w:ascii="Times New Roman" w:hAnsi="Times New Roman" w:cs="Times New Roman"/>
          <w:sz w:val="24"/>
          <w:szCs w:val="24"/>
        </w:rPr>
        <w:t>bulk power transmission system</w:t>
      </w:r>
      <w:proofErr w:type="gramEnd"/>
      <w:r w:rsidR="000277E0">
        <w:rPr>
          <w:rFonts w:ascii="Times New Roman" w:hAnsi="Times New Roman" w:cs="Times New Roman"/>
          <w:sz w:val="24"/>
          <w:szCs w:val="24"/>
        </w:rPr>
        <w:t xml:space="preserve">. </w:t>
      </w:r>
      <w:r w:rsidRPr="006B52B6">
        <w:rPr>
          <w:rFonts w:ascii="Times New Roman" w:hAnsi="Times New Roman" w:cs="Times New Roman"/>
          <w:sz w:val="24"/>
          <w:szCs w:val="24"/>
        </w:rPr>
        <w:t xml:space="preserve">Within each model region, IPM assumes that adequate transmission capacity exists to deliver any resources located </w:t>
      </w:r>
      <w:r w:rsidR="00AD38ED" w:rsidRPr="006B52B6">
        <w:rPr>
          <w:rFonts w:ascii="Times New Roman" w:hAnsi="Times New Roman" w:cs="Times New Roman"/>
          <w:sz w:val="24"/>
          <w:szCs w:val="24"/>
        </w:rPr>
        <w:t xml:space="preserve">in, </w:t>
      </w:r>
      <w:r w:rsidRPr="006B52B6">
        <w:rPr>
          <w:rFonts w:ascii="Times New Roman" w:hAnsi="Times New Roman" w:cs="Times New Roman"/>
          <w:sz w:val="24"/>
          <w:szCs w:val="24"/>
        </w:rPr>
        <w:t>or transferred to</w:t>
      </w:r>
      <w:r w:rsidR="00AD38ED" w:rsidRPr="006B52B6">
        <w:rPr>
          <w:rFonts w:ascii="Times New Roman" w:hAnsi="Times New Roman" w:cs="Times New Roman"/>
          <w:sz w:val="24"/>
          <w:szCs w:val="24"/>
        </w:rPr>
        <w:t>,</w:t>
      </w:r>
      <w:r w:rsidRPr="006B52B6">
        <w:rPr>
          <w:rFonts w:ascii="Times New Roman" w:hAnsi="Times New Roman" w:cs="Times New Roman"/>
          <w:sz w:val="24"/>
          <w:szCs w:val="24"/>
        </w:rPr>
        <w:t xml:space="preserve"> the region</w:t>
      </w:r>
      <w:r w:rsidR="000277E0">
        <w:rPr>
          <w:rFonts w:ascii="Times New Roman" w:hAnsi="Times New Roman" w:cs="Times New Roman"/>
          <w:sz w:val="24"/>
          <w:szCs w:val="24"/>
        </w:rPr>
        <w:t xml:space="preserve">. </w:t>
      </w:r>
      <w:r w:rsidR="00F33F62">
        <w:rPr>
          <w:rFonts w:ascii="Times New Roman" w:hAnsi="Times New Roman" w:cs="Times New Roman"/>
          <w:sz w:val="24"/>
          <w:szCs w:val="24"/>
        </w:rPr>
        <w:t xml:space="preserve">This document focusses on key regional results important to management of the power system.  </w:t>
      </w:r>
      <w:r w:rsidR="005B3A1A" w:rsidRPr="006B52B6">
        <w:rPr>
          <w:rFonts w:ascii="Times New Roman" w:hAnsi="Times New Roman" w:cs="Times New Roman"/>
          <w:sz w:val="24"/>
          <w:szCs w:val="24"/>
        </w:rPr>
        <w:t xml:space="preserve">For a more complete presentation of the </w:t>
      </w:r>
      <w:r w:rsidR="00F33F62">
        <w:rPr>
          <w:rFonts w:ascii="Times New Roman" w:hAnsi="Times New Roman" w:cs="Times New Roman"/>
          <w:sz w:val="24"/>
          <w:szCs w:val="24"/>
        </w:rPr>
        <w:t xml:space="preserve">broad </w:t>
      </w:r>
      <w:r w:rsidR="005B3A1A" w:rsidRPr="006B52B6">
        <w:rPr>
          <w:rFonts w:ascii="Times New Roman" w:hAnsi="Times New Roman" w:cs="Times New Roman"/>
          <w:sz w:val="24"/>
          <w:szCs w:val="24"/>
        </w:rPr>
        <w:t xml:space="preserve">power sector impacts of the proposed rule, see the Regulatory Impact Analysis. </w:t>
      </w:r>
    </w:p>
    <w:p w14:paraId="08A5DD13" w14:textId="77777777" w:rsidR="00D7584C" w:rsidRPr="006B52B6" w:rsidRDefault="00045E5B" w:rsidP="006B52B6">
      <w:pPr>
        <w:spacing w:line="360" w:lineRule="auto"/>
        <w:rPr>
          <w:rFonts w:ascii="Times New Roman" w:hAnsi="Times New Roman" w:cs="Times New Roman"/>
          <w:b/>
          <w:sz w:val="24"/>
          <w:szCs w:val="24"/>
        </w:rPr>
      </w:pPr>
      <w:r w:rsidRPr="006B52B6">
        <w:rPr>
          <w:rFonts w:ascii="Times New Roman" w:hAnsi="Times New Roman" w:cs="Times New Roman"/>
          <w:b/>
          <w:sz w:val="24"/>
          <w:szCs w:val="24"/>
        </w:rPr>
        <w:t>Overview</w:t>
      </w:r>
    </w:p>
    <w:p w14:paraId="5E1ED560" w14:textId="4D90C0A9" w:rsidR="00510570" w:rsidRPr="006B52B6" w:rsidRDefault="00F33F62" w:rsidP="006B52B6">
      <w:pPr>
        <w:spacing w:line="360" w:lineRule="auto"/>
        <w:ind w:firstLine="720"/>
        <w:rPr>
          <w:rFonts w:ascii="Times New Roman" w:hAnsi="Times New Roman" w:cs="Times New Roman"/>
          <w:sz w:val="24"/>
          <w:szCs w:val="24"/>
        </w:rPr>
      </w:pPr>
      <w:r>
        <w:rPr>
          <w:rFonts w:ascii="Times New Roman" w:hAnsi="Times New Roman" w:cs="Times New Roman"/>
          <w:sz w:val="24"/>
          <w:szCs w:val="24"/>
        </w:rPr>
        <w:t>In th</w:t>
      </w:r>
      <w:r w:rsidR="0009619E">
        <w:rPr>
          <w:rFonts w:ascii="Times New Roman" w:hAnsi="Times New Roman" w:cs="Times New Roman"/>
          <w:sz w:val="24"/>
          <w:szCs w:val="24"/>
        </w:rPr>
        <w:t>e</w:t>
      </w:r>
      <w:r>
        <w:rPr>
          <w:rFonts w:ascii="Times New Roman" w:hAnsi="Times New Roman" w:cs="Times New Roman"/>
          <w:sz w:val="24"/>
          <w:szCs w:val="24"/>
        </w:rPr>
        <w:t xml:space="preserve"> final rule, t</w:t>
      </w:r>
      <w:r w:rsidR="000277E0">
        <w:rPr>
          <w:rFonts w:ascii="Times New Roman" w:hAnsi="Times New Roman" w:cs="Times New Roman"/>
          <w:sz w:val="24"/>
          <w:szCs w:val="24"/>
        </w:rPr>
        <w:t xml:space="preserve">he </w:t>
      </w:r>
      <w:r w:rsidR="00D7584C" w:rsidRPr="006B52B6">
        <w:rPr>
          <w:rFonts w:ascii="Times New Roman" w:hAnsi="Times New Roman" w:cs="Times New Roman"/>
          <w:sz w:val="24"/>
          <w:szCs w:val="24"/>
        </w:rPr>
        <w:t xml:space="preserve">EPA is </w:t>
      </w:r>
      <w:r>
        <w:rPr>
          <w:rFonts w:ascii="Times New Roman" w:hAnsi="Times New Roman" w:cs="Times New Roman"/>
          <w:sz w:val="24"/>
          <w:szCs w:val="24"/>
        </w:rPr>
        <w:t>establishing</w:t>
      </w:r>
      <w:r w:rsidR="00D7584C" w:rsidRPr="006B52B6">
        <w:rPr>
          <w:rFonts w:ascii="Times New Roman" w:hAnsi="Times New Roman" w:cs="Times New Roman"/>
          <w:sz w:val="24"/>
          <w:szCs w:val="24"/>
        </w:rPr>
        <w:t xml:space="preserve"> emission </w:t>
      </w:r>
      <w:r w:rsidR="00A06EDA">
        <w:rPr>
          <w:rFonts w:ascii="Times New Roman" w:hAnsi="Times New Roman" w:cs="Times New Roman"/>
          <w:sz w:val="24"/>
          <w:szCs w:val="24"/>
        </w:rPr>
        <w:t xml:space="preserve">guidelines </w:t>
      </w:r>
      <w:r w:rsidR="00D7584C" w:rsidRPr="006B52B6">
        <w:rPr>
          <w:rFonts w:ascii="Times New Roman" w:hAnsi="Times New Roman" w:cs="Times New Roman"/>
          <w:sz w:val="24"/>
          <w:szCs w:val="24"/>
        </w:rPr>
        <w:t xml:space="preserve">for states </w:t>
      </w:r>
      <w:r w:rsidR="00B83750">
        <w:rPr>
          <w:rFonts w:ascii="Times New Roman" w:hAnsi="Times New Roman" w:cs="Times New Roman"/>
          <w:sz w:val="24"/>
          <w:szCs w:val="24"/>
        </w:rPr>
        <w:t xml:space="preserve">to use </w:t>
      </w:r>
      <w:r w:rsidR="00D7584C" w:rsidRPr="006B52B6">
        <w:rPr>
          <w:rFonts w:ascii="Times New Roman" w:hAnsi="Times New Roman" w:cs="Times New Roman"/>
          <w:sz w:val="24"/>
          <w:szCs w:val="24"/>
        </w:rPr>
        <w:t>in developing plans to address greenhouse gas emissions from existing fossil fuel-fired electric generating units</w:t>
      </w:r>
      <w:r w:rsidR="000277E0">
        <w:rPr>
          <w:rFonts w:ascii="Times New Roman" w:hAnsi="Times New Roman" w:cs="Times New Roman"/>
          <w:sz w:val="24"/>
          <w:szCs w:val="24"/>
        </w:rPr>
        <w:t xml:space="preserve">. </w:t>
      </w:r>
      <w:r w:rsidR="00D7584C" w:rsidRPr="006B52B6">
        <w:rPr>
          <w:rFonts w:ascii="Times New Roman" w:hAnsi="Times New Roman" w:cs="Times New Roman"/>
          <w:sz w:val="24"/>
          <w:szCs w:val="24"/>
        </w:rPr>
        <w:t xml:space="preserve">Specifically, the EPA is proposing </w:t>
      </w:r>
      <w:r w:rsidR="00A06EDA">
        <w:rPr>
          <w:rFonts w:ascii="Times New Roman" w:hAnsi="Times New Roman" w:cs="Times New Roman"/>
          <w:sz w:val="24"/>
          <w:szCs w:val="24"/>
        </w:rPr>
        <w:t>category</w:t>
      </w:r>
      <w:r w:rsidR="00D7584C" w:rsidRPr="006B52B6">
        <w:rPr>
          <w:rFonts w:ascii="Times New Roman" w:hAnsi="Times New Roman" w:cs="Times New Roman"/>
          <w:sz w:val="24"/>
          <w:szCs w:val="24"/>
        </w:rPr>
        <w:t xml:space="preserve">-specific </w:t>
      </w:r>
      <w:r w:rsidR="00A06EDA">
        <w:rPr>
          <w:rFonts w:ascii="Times New Roman" w:hAnsi="Times New Roman" w:cs="Times New Roman"/>
          <w:sz w:val="24"/>
          <w:szCs w:val="24"/>
        </w:rPr>
        <w:t xml:space="preserve">performance </w:t>
      </w:r>
      <w:r w:rsidR="00D7584C" w:rsidRPr="006B52B6">
        <w:rPr>
          <w:rFonts w:ascii="Times New Roman" w:hAnsi="Times New Roman" w:cs="Times New Roman"/>
          <w:sz w:val="24"/>
          <w:szCs w:val="24"/>
        </w:rPr>
        <w:t>rate</w:t>
      </w:r>
      <w:r w:rsidR="00A06EDA">
        <w:rPr>
          <w:rFonts w:ascii="Times New Roman" w:hAnsi="Times New Roman" w:cs="Times New Roman"/>
          <w:sz w:val="24"/>
          <w:szCs w:val="24"/>
        </w:rPr>
        <w:t>s</w:t>
      </w:r>
      <w:r w:rsidR="00D7584C" w:rsidRPr="006B52B6">
        <w:rPr>
          <w:rFonts w:ascii="Times New Roman" w:hAnsi="Times New Roman" w:cs="Times New Roman"/>
          <w:sz w:val="24"/>
          <w:szCs w:val="24"/>
        </w:rPr>
        <w:t xml:space="preserve"> for </w:t>
      </w:r>
      <w:r w:rsidR="00A06EDA">
        <w:rPr>
          <w:rFonts w:ascii="Times New Roman" w:hAnsi="Times New Roman" w:cs="Times New Roman"/>
          <w:sz w:val="24"/>
          <w:szCs w:val="24"/>
        </w:rPr>
        <w:t>CO</w:t>
      </w:r>
      <w:r w:rsidR="00A06EDA" w:rsidRPr="00754378">
        <w:rPr>
          <w:rFonts w:ascii="Times New Roman" w:hAnsi="Times New Roman" w:cs="Times New Roman"/>
          <w:sz w:val="24"/>
          <w:szCs w:val="24"/>
          <w:vertAlign w:val="subscript"/>
        </w:rPr>
        <w:t>2</w:t>
      </w:r>
      <w:r w:rsidR="00D7584C" w:rsidRPr="006B52B6">
        <w:rPr>
          <w:rFonts w:ascii="Times New Roman" w:hAnsi="Times New Roman" w:cs="Times New Roman"/>
          <w:sz w:val="24"/>
          <w:szCs w:val="24"/>
        </w:rPr>
        <w:t xml:space="preserve"> emissions from power </w:t>
      </w:r>
      <w:r w:rsidR="00A06EDA">
        <w:rPr>
          <w:rFonts w:ascii="Times New Roman" w:hAnsi="Times New Roman" w:cs="Times New Roman"/>
          <w:sz w:val="24"/>
          <w:szCs w:val="24"/>
        </w:rPr>
        <w:t>plants</w:t>
      </w:r>
      <w:r w:rsidR="00D7584C" w:rsidRPr="006B52B6">
        <w:rPr>
          <w:rFonts w:ascii="Times New Roman" w:hAnsi="Times New Roman" w:cs="Times New Roman"/>
          <w:sz w:val="24"/>
          <w:szCs w:val="24"/>
        </w:rPr>
        <w:t xml:space="preserve">, as well </w:t>
      </w:r>
      <w:r w:rsidR="00A06EDA">
        <w:rPr>
          <w:rFonts w:ascii="Times New Roman" w:hAnsi="Times New Roman" w:cs="Times New Roman"/>
          <w:sz w:val="24"/>
          <w:szCs w:val="24"/>
        </w:rPr>
        <w:t>goals</w:t>
      </w:r>
      <w:r w:rsidR="00D7584C" w:rsidRPr="006B52B6">
        <w:rPr>
          <w:rFonts w:ascii="Times New Roman" w:hAnsi="Times New Roman" w:cs="Times New Roman"/>
          <w:sz w:val="24"/>
          <w:szCs w:val="24"/>
        </w:rPr>
        <w:t xml:space="preserve"> for states to use in developing plans to </w:t>
      </w:r>
      <w:r w:rsidR="00A06EDA">
        <w:rPr>
          <w:rFonts w:ascii="Times New Roman" w:hAnsi="Times New Roman" w:cs="Times New Roman"/>
          <w:sz w:val="24"/>
          <w:szCs w:val="24"/>
        </w:rPr>
        <w:t>meet the guidelines</w:t>
      </w:r>
      <w:r w:rsidR="00B83750">
        <w:rPr>
          <w:rFonts w:ascii="Times New Roman" w:hAnsi="Times New Roman" w:cs="Times New Roman"/>
          <w:sz w:val="24"/>
          <w:szCs w:val="24"/>
        </w:rPr>
        <w:t>.</w:t>
      </w:r>
      <w:r w:rsidR="00A06EDA" w:rsidRPr="006B52B6" w:rsidDel="00A06EDA">
        <w:rPr>
          <w:rFonts w:ascii="Times New Roman" w:hAnsi="Times New Roman" w:cs="Times New Roman"/>
          <w:sz w:val="24"/>
          <w:szCs w:val="24"/>
        </w:rPr>
        <w:t xml:space="preserve"> </w:t>
      </w:r>
      <w:r w:rsidR="000277E0">
        <w:rPr>
          <w:rFonts w:ascii="Times New Roman" w:hAnsi="Times New Roman" w:cs="Times New Roman"/>
          <w:sz w:val="24"/>
          <w:szCs w:val="24"/>
        </w:rPr>
        <w:t xml:space="preserve"> </w:t>
      </w:r>
      <w:r w:rsidR="00A06EDA">
        <w:rPr>
          <w:rFonts w:ascii="Times New Roman" w:hAnsi="Times New Roman" w:cs="Times New Roman"/>
          <w:sz w:val="24"/>
          <w:szCs w:val="24"/>
        </w:rPr>
        <w:t>See final rule preamble for more detail on the final CPP structure and rule requirements.   T</w:t>
      </w:r>
      <w:r w:rsidR="00BC65B1">
        <w:rPr>
          <w:rFonts w:ascii="Times New Roman" w:hAnsi="Times New Roman" w:cs="Times New Roman"/>
          <w:sz w:val="24"/>
          <w:szCs w:val="24"/>
        </w:rPr>
        <w:t xml:space="preserve">his </w:t>
      </w:r>
      <w:r w:rsidR="00A06EDA">
        <w:rPr>
          <w:rFonts w:ascii="Times New Roman" w:hAnsi="Times New Roman" w:cs="Times New Roman"/>
          <w:sz w:val="24"/>
          <w:szCs w:val="24"/>
        </w:rPr>
        <w:t xml:space="preserve">TSD uses the same </w:t>
      </w:r>
      <w:r w:rsidR="00BC65B1">
        <w:rPr>
          <w:rFonts w:ascii="Times New Roman" w:hAnsi="Times New Roman" w:cs="Times New Roman"/>
          <w:sz w:val="24"/>
          <w:szCs w:val="24"/>
        </w:rPr>
        <w:t>scenario</w:t>
      </w:r>
      <w:r w:rsidR="00A06EDA">
        <w:rPr>
          <w:rFonts w:ascii="Times New Roman" w:hAnsi="Times New Roman" w:cs="Times New Roman"/>
          <w:sz w:val="24"/>
          <w:szCs w:val="24"/>
        </w:rPr>
        <w:t>s</w:t>
      </w:r>
      <w:r w:rsidR="00BC65B1">
        <w:rPr>
          <w:rFonts w:ascii="Times New Roman" w:hAnsi="Times New Roman" w:cs="Times New Roman"/>
          <w:sz w:val="24"/>
          <w:szCs w:val="24"/>
        </w:rPr>
        <w:t xml:space="preserve"> </w:t>
      </w:r>
      <w:r w:rsidR="00A06EDA">
        <w:rPr>
          <w:rFonts w:ascii="Times New Roman" w:hAnsi="Times New Roman" w:cs="Times New Roman"/>
          <w:sz w:val="24"/>
          <w:szCs w:val="24"/>
        </w:rPr>
        <w:t>and years of analysis contained in the RIA</w:t>
      </w:r>
      <w:r w:rsidR="000277E0">
        <w:rPr>
          <w:rFonts w:ascii="Times New Roman" w:hAnsi="Times New Roman" w:cs="Times New Roman"/>
          <w:sz w:val="24"/>
          <w:szCs w:val="24"/>
        </w:rPr>
        <w:t>.</w:t>
      </w:r>
      <w:r w:rsidR="00491961">
        <w:rPr>
          <w:rStyle w:val="FootnoteReference"/>
          <w:rFonts w:ascii="Times New Roman" w:hAnsi="Times New Roman" w:cs="Times New Roman"/>
          <w:sz w:val="24"/>
          <w:szCs w:val="24"/>
        </w:rPr>
        <w:footnoteReference w:id="5"/>
      </w:r>
      <w:r w:rsidR="000277E0">
        <w:rPr>
          <w:rFonts w:ascii="Times New Roman" w:hAnsi="Times New Roman" w:cs="Times New Roman"/>
          <w:sz w:val="24"/>
          <w:szCs w:val="24"/>
        </w:rPr>
        <w:t xml:space="preserve"> </w:t>
      </w:r>
      <w:r w:rsidR="00A06EDA">
        <w:rPr>
          <w:rFonts w:ascii="Times New Roman" w:hAnsi="Times New Roman" w:cs="Times New Roman"/>
          <w:sz w:val="24"/>
          <w:szCs w:val="24"/>
        </w:rPr>
        <w:t xml:space="preserve">The scenarios include a base case (no CPP), a rate-based state </w:t>
      </w:r>
      <w:r w:rsidR="000E5B95">
        <w:rPr>
          <w:rFonts w:ascii="Times New Roman" w:hAnsi="Times New Roman" w:cs="Times New Roman"/>
          <w:sz w:val="24"/>
          <w:szCs w:val="24"/>
        </w:rPr>
        <w:t>plan</w:t>
      </w:r>
      <w:r w:rsidR="00A06EDA">
        <w:rPr>
          <w:rFonts w:ascii="Times New Roman" w:hAnsi="Times New Roman" w:cs="Times New Roman"/>
          <w:sz w:val="24"/>
          <w:szCs w:val="24"/>
        </w:rPr>
        <w:t xml:space="preserve"> scenario and a mass-based state plan scenario</w:t>
      </w:r>
      <w:r w:rsidR="000E5B95">
        <w:rPr>
          <w:rFonts w:ascii="Times New Roman" w:hAnsi="Times New Roman" w:cs="Times New Roman"/>
          <w:sz w:val="24"/>
          <w:szCs w:val="24"/>
        </w:rPr>
        <w:t xml:space="preserve">. </w:t>
      </w:r>
      <w:r w:rsidR="00A06EDA">
        <w:rPr>
          <w:rFonts w:ascii="Times New Roman" w:hAnsi="Times New Roman" w:cs="Times New Roman"/>
          <w:sz w:val="24"/>
          <w:szCs w:val="24"/>
        </w:rPr>
        <w:t xml:space="preserve"> </w:t>
      </w:r>
      <w:r w:rsidR="00D7584C" w:rsidRPr="006B52B6">
        <w:rPr>
          <w:rFonts w:ascii="Times New Roman" w:hAnsi="Times New Roman" w:cs="Times New Roman"/>
          <w:sz w:val="24"/>
          <w:szCs w:val="24"/>
        </w:rPr>
        <w:t>For purposes of th</w:t>
      </w:r>
      <w:r w:rsidR="00B83750">
        <w:rPr>
          <w:rFonts w:ascii="Times New Roman" w:hAnsi="Times New Roman" w:cs="Times New Roman"/>
          <w:sz w:val="24"/>
          <w:szCs w:val="24"/>
        </w:rPr>
        <w:t>is</w:t>
      </w:r>
      <w:r w:rsidR="00D7584C" w:rsidRPr="006B52B6">
        <w:rPr>
          <w:rFonts w:ascii="Times New Roman" w:hAnsi="Times New Roman" w:cs="Times New Roman"/>
          <w:sz w:val="24"/>
          <w:szCs w:val="24"/>
        </w:rPr>
        <w:t xml:space="preserve"> resource adequacy and reliability assessment, </w:t>
      </w:r>
      <w:r w:rsidR="00864536" w:rsidRPr="006B52B6">
        <w:rPr>
          <w:rFonts w:ascii="Times New Roman" w:hAnsi="Times New Roman" w:cs="Times New Roman"/>
          <w:sz w:val="24"/>
          <w:szCs w:val="24"/>
        </w:rPr>
        <w:t xml:space="preserve">estimates and projections </w:t>
      </w:r>
      <w:proofErr w:type="gramStart"/>
      <w:r w:rsidR="00864536" w:rsidRPr="006B52B6">
        <w:rPr>
          <w:rFonts w:ascii="Times New Roman" w:hAnsi="Times New Roman" w:cs="Times New Roman"/>
          <w:sz w:val="24"/>
          <w:szCs w:val="24"/>
        </w:rPr>
        <w:t>are taken</w:t>
      </w:r>
      <w:proofErr w:type="gramEnd"/>
      <w:r w:rsidR="00864536" w:rsidRPr="006B52B6">
        <w:rPr>
          <w:rFonts w:ascii="Times New Roman" w:hAnsi="Times New Roman" w:cs="Times New Roman"/>
          <w:sz w:val="24"/>
          <w:szCs w:val="24"/>
        </w:rPr>
        <w:t xml:space="preserve"> from </w:t>
      </w:r>
      <w:r w:rsidR="00A06EDA">
        <w:rPr>
          <w:rFonts w:ascii="Times New Roman" w:hAnsi="Times New Roman" w:cs="Times New Roman"/>
          <w:sz w:val="24"/>
          <w:szCs w:val="24"/>
        </w:rPr>
        <w:t>th</w:t>
      </w:r>
      <w:r w:rsidR="00B83750">
        <w:rPr>
          <w:rFonts w:ascii="Times New Roman" w:hAnsi="Times New Roman" w:cs="Times New Roman"/>
          <w:sz w:val="24"/>
          <w:szCs w:val="24"/>
        </w:rPr>
        <w:t>os</w:t>
      </w:r>
      <w:r w:rsidR="00A06EDA">
        <w:rPr>
          <w:rFonts w:ascii="Times New Roman" w:hAnsi="Times New Roman" w:cs="Times New Roman"/>
          <w:sz w:val="24"/>
          <w:szCs w:val="24"/>
        </w:rPr>
        <w:t>e same scenarios and years</w:t>
      </w:r>
      <w:r w:rsidR="000E5B95">
        <w:rPr>
          <w:rFonts w:ascii="Times New Roman" w:hAnsi="Times New Roman" w:cs="Times New Roman"/>
          <w:sz w:val="24"/>
          <w:szCs w:val="24"/>
        </w:rPr>
        <w:t xml:space="preserve"> as shown in the RIA (2020, 2025, and 2030).</w:t>
      </w:r>
    </w:p>
    <w:p w14:paraId="1ACE9031" w14:textId="77777777" w:rsidR="00537086" w:rsidRDefault="00537086" w:rsidP="006B52B6">
      <w:pPr>
        <w:spacing w:line="360" w:lineRule="auto"/>
        <w:jc w:val="center"/>
        <w:rPr>
          <w:rFonts w:ascii="Times New Roman" w:hAnsi="Times New Roman" w:cs="Times New Roman"/>
          <w:b/>
          <w:sz w:val="28"/>
          <w:szCs w:val="28"/>
        </w:rPr>
      </w:pPr>
    </w:p>
    <w:p w14:paraId="017E6B9D" w14:textId="77777777" w:rsidR="00537086" w:rsidRDefault="00537086" w:rsidP="006B52B6">
      <w:pPr>
        <w:spacing w:line="360" w:lineRule="auto"/>
        <w:jc w:val="center"/>
        <w:rPr>
          <w:rFonts w:ascii="Times New Roman" w:hAnsi="Times New Roman" w:cs="Times New Roman"/>
          <w:b/>
          <w:sz w:val="28"/>
          <w:szCs w:val="28"/>
        </w:rPr>
      </w:pPr>
    </w:p>
    <w:p w14:paraId="5FECBBE9" w14:textId="1C8B9347" w:rsidR="006A791F" w:rsidRPr="00754378" w:rsidRDefault="00FB13CA" w:rsidP="006B52B6">
      <w:pPr>
        <w:spacing w:line="360" w:lineRule="auto"/>
        <w:jc w:val="center"/>
        <w:rPr>
          <w:rFonts w:ascii="Times New Roman" w:hAnsi="Times New Roman" w:cs="Times New Roman"/>
          <w:b/>
          <w:sz w:val="28"/>
          <w:szCs w:val="28"/>
        </w:rPr>
      </w:pPr>
      <w:r w:rsidRPr="00754378">
        <w:rPr>
          <w:rFonts w:ascii="Times New Roman" w:hAnsi="Times New Roman" w:cs="Times New Roman"/>
          <w:b/>
          <w:sz w:val="28"/>
          <w:szCs w:val="28"/>
        </w:rPr>
        <w:lastRenderedPageBreak/>
        <w:t xml:space="preserve">CPP </w:t>
      </w:r>
      <w:r w:rsidR="006C09C7" w:rsidRPr="00754378">
        <w:rPr>
          <w:rFonts w:ascii="Times New Roman" w:hAnsi="Times New Roman" w:cs="Times New Roman"/>
          <w:b/>
          <w:sz w:val="28"/>
          <w:szCs w:val="28"/>
        </w:rPr>
        <w:t>Rate</w:t>
      </w:r>
      <w:r w:rsidR="002660AE" w:rsidRPr="00754378">
        <w:rPr>
          <w:rFonts w:ascii="Times New Roman" w:hAnsi="Times New Roman" w:cs="Times New Roman"/>
          <w:b/>
          <w:sz w:val="28"/>
          <w:szCs w:val="28"/>
        </w:rPr>
        <w:t>-Based</w:t>
      </w:r>
      <w:r w:rsidR="008E7B69" w:rsidRPr="00754378">
        <w:rPr>
          <w:rFonts w:ascii="Times New Roman" w:hAnsi="Times New Roman" w:cs="Times New Roman"/>
          <w:b/>
          <w:sz w:val="28"/>
          <w:szCs w:val="28"/>
        </w:rPr>
        <w:t xml:space="preserve"> Scenario</w:t>
      </w:r>
      <w:r w:rsidR="00BE26A5">
        <w:rPr>
          <w:rFonts w:ascii="Times New Roman" w:hAnsi="Times New Roman" w:cs="Times New Roman"/>
          <w:b/>
          <w:sz w:val="28"/>
          <w:szCs w:val="28"/>
        </w:rPr>
        <w:t>s</w:t>
      </w:r>
    </w:p>
    <w:p w14:paraId="17F1B309" w14:textId="77777777" w:rsidR="00FD1DF1" w:rsidRPr="006B52B6" w:rsidRDefault="00FD1DF1" w:rsidP="006B52B6">
      <w:pPr>
        <w:spacing w:line="360" w:lineRule="auto"/>
        <w:rPr>
          <w:rFonts w:ascii="Times New Roman" w:hAnsi="Times New Roman" w:cs="Times New Roman"/>
          <w:b/>
          <w:sz w:val="24"/>
          <w:szCs w:val="24"/>
        </w:rPr>
      </w:pPr>
      <w:r w:rsidRPr="006B52B6">
        <w:rPr>
          <w:rFonts w:ascii="Times New Roman" w:hAnsi="Times New Roman" w:cs="Times New Roman"/>
          <w:b/>
          <w:sz w:val="24"/>
          <w:szCs w:val="24"/>
        </w:rPr>
        <w:t>Summary of Changes in Operational Capacity</w:t>
      </w:r>
      <w:r w:rsidR="005E3F1F" w:rsidRPr="006B52B6">
        <w:rPr>
          <w:rFonts w:ascii="Times New Roman" w:hAnsi="Times New Roman" w:cs="Times New Roman"/>
          <w:b/>
          <w:sz w:val="24"/>
          <w:szCs w:val="24"/>
        </w:rPr>
        <w:t xml:space="preserve"> </w:t>
      </w:r>
    </w:p>
    <w:p w14:paraId="2E6E2E7F" w14:textId="4DBDED88" w:rsidR="006B52B6" w:rsidRDefault="005A328D"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 xml:space="preserve">Total operational capacity is lower in the </w:t>
      </w:r>
      <w:r w:rsidR="00C51AD9">
        <w:rPr>
          <w:rFonts w:ascii="Times New Roman" w:hAnsi="Times New Roman" w:cs="Times New Roman"/>
          <w:sz w:val="24"/>
          <w:szCs w:val="24"/>
        </w:rPr>
        <w:t>CPP</w:t>
      </w:r>
      <w:r w:rsidRPr="006B52B6">
        <w:rPr>
          <w:rFonts w:ascii="Times New Roman" w:hAnsi="Times New Roman" w:cs="Times New Roman"/>
          <w:sz w:val="24"/>
          <w:szCs w:val="24"/>
        </w:rPr>
        <w:t xml:space="preserve"> scenario, primarily </w:t>
      </w:r>
      <w:r w:rsidR="006A791F" w:rsidRPr="006B52B6">
        <w:rPr>
          <w:rFonts w:ascii="Times New Roman" w:hAnsi="Times New Roman" w:cs="Times New Roman"/>
          <w:sz w:val="24"/>
          <w:szCs w:val="24"/>
        </w:rPr>
        <w:t xml:space="preserve">from </w:t>
      </w:r>
      <w:r w:rsidR="00B83750">
        <w:rPr>
          <w:rFonts w:ascii="Times New Roman" w:hAnsi="Times New Roman" w:cs="Times New Roman"/>
          <w:sz w:val="24"/>
          <w:szCs w:val="24"/>
        </w:rPr>
        <w:t xml:space="preserve">the </w:t>
      </w:r>
      <w:r w:rsidR="003A076B" w:rsidRPr="006B52B6">
        <w:rPr>
          <w:rFonts w:ascii="Times New Roman" w:hAnsi="Times New Roman" w:cs="Times New Roman"/>
          <w:sz w:val="24"/>
          <w:szCs w:val="24"/>
        </w:rPr>
        <w:t xml:space="preserve">reduced need for existing and new capacity </w:t>
      </w:r>
      <w:proofErr w:type="gramStart"/>
      <w:r w:rsidR="003A076B" w:rsidRPr="006B52B6">
        <w:rPr>
          <w:rFonts w:ascii="Times New Roman" w:hAnsi="Times New Roman" w:cs="Times New Roman"/>
          <w:sz w:val="24"/>
          <w:szCs w:val="24"/>
        </w:rPr>
        <w:t>as a result</w:t>
      </w:r>
      <w:proofErr w:type="gramEnd"/>
      <w:r w:rsidRPr="006B52B6">
        <w:rPr>
          <w:rFonts w:ascii="Times New Roman" w:hAnsi="Times New Roman" w:cs="Times New Roman"/>
          <w:sz w:val="24"/>
          <w:szCs w:val="24"/>
        </w:rPr>
        <w:t xml:space="preserve"> of increases in </w:t>
      </w:r>
      <w:r w:rsidR="003A076B" w:rsidRPr="006B52B6">
        <w:rPr>
          <w:rFonts w:ascii="Times New Roman" w:hAnsi="Times New Roman" w:cs="Times New Roman"/>
          <w:sz w:val="24"/>
          <w:szCs w:val="24"/>
        </w:rPr>
        <w:t>energy efficiency</w:t>
      </w:r>
      <w:r w:rsidR="000277E0">
        <w:rPr>
          <w:rFonts w:ascii="Times New Roman" w:hAnsi="Times New Roman" w:cs="Times New Roman"/>
          <w:sz w:val="24"/>
          <w:szCs w:val="24"/>
        </w:rPr>
        <w:t xml:space="preserve">. </w:t>
      </w:r>
      <w:r w:rsidR="003A076B" w:rsidRPr="006B52B6">
        <w:rPr>
          <w:rFonts w:ascii="Times New Roman" w:hAnsi="Times New Roman" w:cs="Times New Roman"/>
          <w:sz w:val="24"/>
          <w:szCs w:val="24"/>
        </w:rPr>
        <w:t>These increases in energy efficiency make possible increases in retirements compared to the base case</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 xml:space="preserve"> Since most regions </w:t>
      </w:r>
      <w:r w:rsidR="003A076B" w:rsidRPr="006B52B6">
        <w:rPr>
          <w:rFonts w:ascii="Times New Roman" w:hAnsi="Times New Roman" w:cs="Times New Roman"/>
          <w:sz w:val="24"/>
          <w:szCs w:val="24"/>
        </w:rPr>
        <w:t>currently have</w:t>
      </w:r>
      <w:r w:rsidRPr="006B52B6">
        <w:rPr>
          <w:rFonts w:ascii="Times New Roman" w:hAnsi="Times New Roman" w:cs="Times New Roman"/>
          <w:sz w:val="24"/>
          <w:szCs w:val="24"/>
        </w:rPr>
        <w:t xml:space="preserve"> capacity above their target reserve margins, most of these retirements </w:t>
      </w:r>
      <w:proofErr w:type="gramStart"/>
      <w:r w:rsidRPr="006B52B6">
        <w:rPr>
          <w:rFonts w:ascii="Times New Roman" w:hAnsi="Times New Roman" w:cs="Times New Roman"/>
          <w:sz w:val="24"/>
          <w:szCs w:val="24"/>
        </w:rPr>
        <w:t>are absorbed</w:t>
      </w:r>
      <w:proofErr w:type="gramEnd"/>
      <w:r w:rsidRPr="006B52B6">
        <w:rPr>
          <w:rFonts w:ascii="Times New Roman" w:hAnsi="Times New Roman" w:cs="Times New Roman"/>
          <w:sz w:val="24"/>
          <w:szCs w:val="24"/>
        </w:rPr>
        <w:t xml:space="preserve"> by a reduction in excess reserves</w:t>
      </w:r>
      <w:r w:rsidR="003A076B" w:rsidRPr="006B52B6">
        <w:rPr>
          <w:rFonts w:ascii="Times New Roman" w:hAnsi="Times New Roman" w:cs="Times New Roman"/>
          <w:sz w:val="24"/>
          <w:szCs w:val="24"/>
        </w:rPr>
        <w:t xml:space="preserve"> </w:t>
      </w:r>
      <w:r w:rsidR="0036279B">
        <w:rPr>
          <w:rFonts w:ascii="Times New Roman" w:hAnsi="Times New Roman" w:cs="Times New Roman"/>
          <w:sz w:val="24"/>
          <w:szCs w:val="24"/>
        </w:rPr>
        <w:t>in the early years</w:t>
      </w:r>
      <w:r w:rsidR="000277E0">
        <w:rPr>
          <w:rFonts w:ascii="Times New Roman" w:hAnsi="Times New Roman" w:cs="Times New Roman"/>
          <w:sz w:val="24"/>
          <w:szCs w:val="24"/>
        </w:rPr>
        <w:t xml:space="preserve">. </w:t>
      </w:r>
      <w:r w:rsidR="002660AE">
        <w:rPr>
          <w:rFonts w:ascii="Times New Roman" w:hAnsi="Times New Roman" w:cs="Times New Roman"/>
          <w:sz w:val="24"/>
          <w:szCs w:val="24"/>
        </w:rPr>
        <w:t xml:space="preserve">For illustrative purposes, the 2025 projection period, the first period to fall entirely within the compliance period, </w:t>
      </w:r>
      <w:proofErr w:type="gramStart"/>
      <w:r w:rsidR="002660AE">
        <w:rPr>
          <w:rFonts w:ascii="Times New Roman" w:hAnsi="Times New Roman" w:cs="Times New Roman"/>
          <w:sz w:val="24"/>
          <w:szCs w:val="24"/>
        </w:rPr>
        <w:t>is discussed</w:t>
      </w:r>
      <w:proofErr w:type="gramEnd"/>
      <w:r w:rsidR="002660AE">
        <w:rPr>
          <w:rFonts w:ascii="Times New Roman" w:hAnsi="Times New Roman" w:cs="Times New Roman"/>
          <w:sz w:val="24"/>
          <w:szCs w:val="24"/>
        </w:rPr>
        <w:t xml:space="preserve"> first, followed by discussion of 2020 and 2030.  </w:t>
      </w:r>
      <w:r w:rsidR="00FD1DF1" w:rsidRPr="006B52B6">
        <w:rPr>
          <w:rFonts w:ascii="Times New Roman" w:hAnsi="Times New Roman" w:cs="Times New Roman"/>
          <w:sz w:val="24"/>
          <w:szCs w:val="24"/>
        </w:rPr>
        <w:t xml:space="preserve">Operational </w:t>
      </w:r>
      <w:r w:rsidR="0075086C">
        <w:rPr>
          <w:rFonts w:ascii="Times New Roman" w:hAnsi="Times New Roman" w:cs="Times New Roman"/>
          <w:sz w:val="24"/>
          <w:szCs w:val="24"/>
        </w:rPr>
        <w:t xml:space="preserve">generating </w:t>
      </w:r>
      <w:r w:rsidR="00FD1DF1" w:rsidRPr="006B52B6">
        <w:rPr>
          <w:rFonts w:ascii="Times New Roman" w:hAnsi="Times New Roman" w:cs="Times New Roman"/>
          <w:sz w:val="24"/>
          <w:szCs w:val="24"/>
        </w:rPr>
        <w:t>capacity</w:t>
      </w:r>
      <w:r w:rsidR="001A5ACE" w:rsidRPr="006B52B6">
        <w:rPr>
          <w:rStyle w:val="FootnoteReference"/>
          <w:rFonts w:ascii="Times New Roman" w:hAnsi="Times New Roman" w:cs="Times New Roman"/>
          <w:sz w:val="24"/>
          <w:szCs w:val="24"/>
        </w:rPr>
        <w:footnoteReference w:id="6"/>
      </w:r>
      <w:r w:rsidR="00FD1DF1" w:rsidRPr="006B52B6">
        <w:rPr>
          <w:rFonts w:ascii="Times New Roman" w:hAnsi="Times New Roman" w:cs="Times New Roman"/>
          <w:sz w:val="24"/>
          <w:szCs w:val="24"/>
        </w:rPr>
        <w:t xml:space="preserve"> changes from the base case </w:t>
      </w:r>
      <w:r w:rsidR="00FB56F8" w:rsidRPr="006B52B6">
        <w:rPr>
          <w:rFonts w:ascii="Times New Roman" w:hAnsi="Times New Roman" w:cs="Times New Roman"/>
          <w:sz w:val="24"/>
          <w:szCs w:val="24"/>
        </w:rPr>
        <w:t>in 202</w:t>
      </w:r>
      <w:r w:rsidR="0075086C">
        <w:rPr>
          <w:rFonts w:ascii="Times New Roman" w:hAnsi="Times New Roman" w:cs="Times New Roman"/>
          <w:sz w:val="24"/>
          <w:szCs w:val="24"/>
        </w:rPr>
        <w:t>5</w:t>
      </w:r>
      <w:r w:rsidRPr="006B52B6">
        <w:rPr>
          <w:rFonts w:ascii="Times New Roman" w:hAnsi="Times New Roman" w:cs="Times New Roman"/>
          <w:sz w:val="24"/>
          <w:szCs w:val="24"/>
        </w:rPr>
        <w:t xml:space="preserve"> </w:t>
      </w:r>
      <w:proofErr w:type="gramStart"/>
      <w:r w:rsidR="00FD1DF1" w:rsidRPr="006B52B6">
        <w:rPr>
          <w:rFonts w:ascii="Times New Roman" w:hAnsi="Times New Roman" w:cs="Times New Roman"/>
          <w:sz w:val="24"/>
          <w:szCs w:val="24"/>
        </w:rPr>
        <w:t>are summarized</w:t>
      </w:r>
      <w:proofErr w:type="gramEnd"/>
      <w:r w:rsidR="00FD1DF1" w:rsidRPr="006B52B6">
        <w:rPr>
          <w:rFonts w:ascii="Times New Roman" w:hAnsi="Times New Roman" w:cs="Times New Roman"/>
          <w:sz w:val="24"/>
          <w:szCs w:val="24"/>
        </w:rPr>
        <w:t xml:space="preserve"> below:</w:t>
      </w:r>
      <w:r w:rsidRPr="006B52B6">
        <w:rPr>
          <w:rFonts w:ascii="Times New Roman" w:hAnsi="Times New Roman" w:cs="Times New Roman"/>
          <w:sz w:val="24"/>
          <w:szCs w:val="24"/>
        </w:rPr>
        <w:t xml:space="preserve"> </w:t>
      </w:r>
    </w:p>
    <w:p w14:paraId="4D88BBCE" w14:textId="437B8812" w:rsidR="00BF6ACE" w:rsidRPr="006B52B6" w:rsidRDefault="00BF6ACE" w:rsidP="00AE0D2E">
      <w:pPr>
        <w:rPr>
          <w:rFonts w:ascii="Times New Roman" w:hAnsi="Times New Roman" w:cs="Times New Roman"/>
          <w:sz w:val="24"/>
          <w:szCs w:val="24"/>
        </w:rPr>
      </w:pPr>
    </w:p>
    <w:tbl>
      <w:tblPr>
        <w:tblW w:w="7944" w:type="dxa"/>
        <w:tblInd w:w="1188" w:type="dxa"/>
        <w:tblLook w:val="04A0" w:firstRow="1" w:lastRow="0" w:firstColumn="1" w:lastColumn="0" w:noHBand="0" w:noVBand="1"/>
      </w:tblPr>
      <w:tblGrid>
        <w:gridCol w:w="5097"/>
        <w:gridCol w:w="976"/>
        <w:gridCol w:w="1871"/>
      </w:tblGrid>
      <w:tr w:rsidR="001A5ACE" w:rsidRPr="006B52B6" w14:paraId="4FD09D5D" w14:textId="77777777" w:rsidTr="000C1FA3">
        <w:trPr>
          <w:trHeight w:val="310"/>
        </w:trPr>
        <w:tc>
          <w:tcPr>
            <w:tcW w:w="7944" w:type="dxa"/>
            <w:gridSpan w:val="3"/>
            <w:tcBorders>
              <w:top w:val="nil"/>
              <w:left w:val="nil"/>
              <w:bottom w:val="nil"/>
              <w:right w:val="nil"/>
            </w:tcBorders>
            <w:shd w:val="clear" w:color="auto" w:fill="auto"/>
            <w:noWrap/>
            <w:hideMark/>
          </w:tcPr>
          <w:p w14:paraId="1199AEB9" w14:textId="7C32154C" w:rsidR="001A5ACE" w:rsidRPr="006B52B6" w:rsidRDefault="001A5ACE" w:rsidP="009258A8">
            <w:pPr>
              <w:spacing w:after="0" w:line="240" w:lineRule="auto"/>
              <w:jc w:val="center"/>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Table 1</w:t>
            </w:r>
            <w:r w:rsidR="000277E0">
              <w:rPr>
                <w:rFonts w:ascii="Times New Roman" w:eastAsia="Times New Roman" w:hAnsi="Times New Roman" w:cs="Times New Roman"/>
                <w:color w:val="000000"/>
                <w:sz w:val="24"/>
                <w:szCs w:val="24"/>
              </w:rPr>
              <w:t xml:space="preserve">. </w:t>
            </w:r>
            <w:r w:rsidRPr="006B52B6">
              <w:rPr>
                <w:rFonts w:ascii="Times New Roman" w:eastAsia="Times New Roman" w:hAnsi="Times New Roman" w:cs="Times New Roman"/>
                <w:color w:val="000000"/>
                <w:sz w:val="24"/>
                <w:szCs w:val="24"/>
              </w:rPr>
              <w:t>Oper</w:t>
            </w:r>
            <w:r w:rsidR="00FB56F8" w:rsidRPr="006B52B6">
              <w:rPr>
                <w:rFonts w:ascii="Times New Roman" w:eastAsia="Times New Roman" w:hAnsi="Times New Roman" w:cs="Times New Roman"/>
                <w:color w:val="000000"/>
                <w:sz w:val="24"/>
                <w:szCs w:val="24"/>
              </w:rPr>
              <w:t>ational Capacity Summary in 202</w:t>
            </w:r>
            <w:r w:rsidR="009258A8">
              <w:rPr>
                <w:rFonts w:ascii="Times New Roman" w:eastAsia="Times New Roman" w:hAnsi="Times New Roman" w:cs="Times New Roman"/>
                <w:color w:val="000000"/>
                <w:sz w:val="24"/>
                <w:szCs w:val="24"/>
              </w:rPr>
              <w:t>5</w:t>
            </w:r>
          </w:p>
        </w:tc>
      </w:tr>
      <w:tr w:rsidR="00140FF2" w:rsidRPr="006B52B6" w14:paraId="79E1CD5E" w14:textId="77777777" w:rsidTr="000C1FA3">
        <w:trPr>
          <w:trHeight w:val="310"/>
        </w:trPr>
        <w:tc>
          <w:tcPr>
            <w:tcW w:w="5097" w:type="dxa"/>
            <w:tcBorders>
              <w:top w:val="nil"/>
              <w:left w:val="nil"/>
              <w:bottom w:val="nil"/>
              <w:right w:val="nil"/>
            </w:tcBorders>
            <w:shd w:val="clear" w:color="auto" w:fill="auto"/>
            <w:noWrap/>
            <w:vAlign w:val="bottom"/>
            <w:hideMark/>
          </w:tcPr>
          <w:p w14:paraId="1131CE6E" w14:textId="77777777" w:rsidR="00140FF2" w:rsidRPr="006B52B6" w:rsidRDefault="00140FF2" w:rsidP="00AD38ED">
            <w:pPr>
              <w:spacing w:after="0" w:line="240" w:lineRule="auto"/>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Base case operational</w:t>
            </w:r>
            <w:r w:rsidR="005A328D" w:rsidRPr="006B52B6">
              <w:rPr>
                <w:rFonts w:ascii="Times New Roman" w:eastAsia="Times New Roman" w:hAnsi="Times New Roman" w:cs="Times New Roman"/>
                <w:color w:val="000000"/>
                <w:sz w:val="24"/>
                <w:szCs w:val="24"/>
              </w:rPr>
              <w:t xml:space="preserve"> capacity </w:t>
            </w:r>
            <w:r w:rsidR="00AD38ED" w:rsidRPr="006B52B6">
              <w:rPr>
                <w:rFonts w:ascii="Times New Roman" w:eastAsia="Times New Roman" w:hAnsi="Times New Roman" w:cs="Times New Roman"/>
                <w:color w:val="000000"/>
                <w:sz w:val="24"/>
                <w:szCs w:val="24"/>
              </w:rPr>
              <w:t>(MW)</w:t>
            </w:r>
          </w:p>
        </w:tc>
        <w:tc>
          <w:tcPr>
            <w:tcW w:w="976" w:type="dxa"/>
            <w:tcBorders>
              <w:top w:val="nil"/>
              <w:left w:val="nil"/>
              <w:bottom w:val="nil"/>
              <w:right w:val="nil"/>
            </w:tcBorders>
            <w:shd w:val="clear" w:color="auto" w:fill="auto"/>
            <w:noWrap/>
            <w:vAlign w:val="bottom"/>
            <w:hideMark/>
          </w:tcPr>
          <w:p w14:paraId="3EC91D0A" w14:textId="77777777" w:rsidR="00140FF2" w:rsidRPr="006B52B6" w:rsidRDefault="00140FF2" w:rsidP="00140FF2">
            <w:pPr>
              <w:spacing w:after="0" w:line="240" w:lineRule="auto"/>
              <w:rPr>
                <w:rFonts w:ascii="Times New Roman" w:eastAsia="Times New Roman" w:hAnsi="Times New Roman" w:cs="Times New Roman"/>
                <w:color w:val="000000"/>
                <w:sz w:val="24"/>
                <w:szCs w:val="24"/>
              </w:rPr>
            </w:pPr>
          </w:p>
        </w:tc>
        <w:tc>
          <w:tcPr>
            <w:tcW w:w="1871" w:type="dxa"/>
            <w:tcBorders>
              <w:top w:val="nil"/>
              <w:left w:val="nil"/>
              <w:bottom w:val="nil"/>
              <w:right w:val="nil"/>
            </w:tcBorders>
            <w:shd w:val="clear" w:color="auto" w:fill="auto"/>
            <w:noWrap/>
            <w:vAlign w:val="bottom"/>
            <w:hideMark/>
          </w:tcPr>
          <w:p w14:paraId="446BE29F" w14:textId="359BBD31" w:rsidR="00140FF2" w:rsidRPr="006B52B6" w:rsidRDefault="00FB56F8" w:rsidP="0075086C">
            <w:pPr>
              <w:spacing w:after="0" w:line="240" w:lineRule="auto"/>
              <w:jc w:val="right"/>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1,0</w:t>
            </w:r>
            <w:r w:rsidR="0075086C">
              <w:rPr>
                <w:rFonts w:ascii="Times New Roman" w:eastAsia="Times New Roman" w:hAnsi="Times New Roman" w:cs="Times New Roman"/>
                <w:color w:val="000000"/>
                <w:sz w:val="24"/>
                <w:szCs w:val="24"/>
              </w:rPr>
              <w:t>37,223</w:t>
            </w:r>
          </w:p>
        </w:tc>
      </w:tr>
      <w:tr w:rsidR="00D85232" w:rsidRPr="006B52B6" w14:paraId="15DE6ABB" w14:textId="77777777" w:rsidTr="000C1FA3">
        <w:trPr>
          <w:trHeight w:val="310"/>
        </w:trPr>
        <w:tc>
          <w:tcPr>
            <w:tcW w:w="5097" w:type="dxa"/>
            <w:tcBorders>
              <w:top w:val="nil"/>
              <w:left w:val="nil"/>
              <w:bottom w:val="nil"/>
              <w:right w:val="nil"/>
            </w:tcBorders>
            <w:shd w:val="clear" w:color="auto" w:fill="auto"/>
            <w:noWrap/>
            <w:vAlign w:val="bottom"/>
            <w:hideMark/>
          </w:tcPr>
          <w:p w14:paraId="669086A8" w14:textId="77777777" w:rsidR="00D85232" w:rsidRPr="006B52B6" w:rsidRDefault="00D85232" w:rsidP="00AD38ED">
            <w:pPr>
              <w:spacing w:after="0" w:line="240" w:lineRule="auto"/>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14:paraId="518AD071" w14:textId="77777777" w:rsidR="00D85232" w:rsidRPr="006B52B6" w:rsidRDefault="00D85232" w:rsidP="00140FF2">
            <w:pPr>
              <w:spacing w:after="0" w:line="240" w:lineRule="auto"/>
              <w:rPr>
                <w:rFonts w:ascii="Times New Roman" w:eastAsia="Times New Roman" w:hAnsi="Times New Roman" w:cs="Times New Roman"/>
                <w:color w:val="000000"/>
                <w:sz w:val="24"/>
                <w:szCs w:val="24"/>
              </w:rPr>
            </w:pPr>
          </w:p>
        </w:tc>
        <w:tc>
          <w:tcPr>
            <w:tcW w:w="1871" w:type="dxa"/>
            <w:tcBorders>
              <w:top w:val="nil"/>
              <w:left w:val="nil"/>
              <w:bottom w:val="nil"/>
              <w:right w:val="nil"/>
            </w:tcBorders>
            <w:shd w:val="clear" w:color="auto" w:fill="auto"/>
            <w:noWrap/>
            <w:vAlign w:val="bottom"/>
            <w:hideMark/>
          </w:tcPr>
          <w:p w14:paraId="556B7117" w14:textId="77777777" w:rsidR="00D85232" w:rsidRPr="006B52B6" w:rsidRDefault="00D85232" w:rsidP="00140FF2">
            <w:pPr>
              <w:spacing w:after="0" w:line="240" w:lineRule="auto"/>
              <w:jc w:val="right"/>
              <w:rPr>
                <w:rFonts w:ascii="Times New Roman" w:eastAsia="Times New Roman" w:hAnsi="Times New Roman" w:cs="Times New Roman"/>
                <w:color w:val="000000"/>
                <w:sz w:val="24"/>
                <w:szCs w:val="24"/>
              </w:rPr>
            </w:pPr>
          </w:p>
        </w:tc>
      </w:tr>
      <w:tr w:rsidR="005A328D" w:rsidRPr="006B52B6" w14:paraId="6F031B03" w14:textId="77777777" w:rsidTr="000C1FA3">
        <w:trPr>
          <w:trHeight w:val="310"/>
        </w:trPr>
        <w:tc>
          <w:tcPr>
            <w:tcW w:w="5097" w:type="dxa"/>
            <w:tcBorders>
              <w:top w:val="nil"/>
              <w:left w:val="nil"/>
              <w:bottom w:val="nil"/>
              <w:right w:val="nil"/>
            </w:tcBorders>
            <w:shd w:val="clear" w:color="auto" w:fill="auto"/>
            <w:noWrap/>
            <w:vAlign w:val="bottom"/>
            <w:hideMark/>
          </w:tcPr>
          <w:p w14:paraId="10B14694" w14:textId="319DDAAB" w:rsidR="005A328D" w:rsidRPr="006B52B6" w:rsidRDefault="00EA3011" w:rsidP="00754378">
            <w:pPr>
              <w:spacing w:after="0" w:line="240" w:lineRule="auto"/>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 xml:space="preserve">    </w:t>
            </w:r>
            <w:r w:rsidR="00206D46" w:rsidRPr="006B52B6">
              <w:rPr>
                <w:rFonts w:ascii="Times New Roman" w:eastAsia="Times New Roman" w:hAnsi="Times New Roman" w:cs="Times New Roman"/>
                <w:i/>
                <w:color w:val="000000"/>
                <w:sz w:val="24"/>
                <w:szCs w:val="24"/>
              </w:rPr>
              <w:t>Minus</w:t>
            </w:r>
            <w:r w:rsidR="00206D46" w:rsidRPr="006B52B6">
              <w:rPr>
                <w:rFonts w:ascii="Times New Roman" w:eastAsia="Times New Roman" w:hAnsi="Times New Roman" w:cs="Times New Roman"/>
                <w:color w:val="000000"/>
                <w:sz w:val="24"/>
                <w:szCs w:val="24"/>
              </w:rPr>
              <w:t xml:space="preserve"> </w:t>
            </w:r>
            <w:r w:rsidR="009D30D3" w:rsidRPr="006B52B6">
              <w:rPr>
                <w:rFonts w:ascii="Times New Roman" w:eastAsia="Times New Roman" w:hAnsi="Times New Roman" w:cs="Times New Roman"/>
                <w:color w:val="000000"/>
                <w:sz w:val="24"/>
                <w:szCs w:val="24"/>
              </w:rPr>
              <w:t xml:space="preserve">Retirements  </w:t>
            </w:r>
            <w:r w:rsidRPr="006B52B6">
              <w:rPr>
                <w:rFonts w:ascii="Times New Roman" w:eastAsia="Times New Roman" w:hAnsi="Times New Roman" w:cs="Times New Roman"/>
                <w:color w:val="000000"/>
                <w:sz w:val="24"/>
                <w:szCs w:val="24"/>
              </w:rPr>
              <w:t xml:space="preserve">in </w:t>
            </w:r>
            <w:r w:rsidR="00ED5BBA">
              <w:rPr>
                <w:rFonts w:ascii="Times New Roman" w:eastAsia="Times New Roman" w:hAnsi="Times New Roman" w:cs="Times New Roman"/>
                <w:color w:val="000000"/>
                <w:sz w:val="24"/>
                <w:szCs w:val="24"/>
              </w:rPr>
              <w:t>CPP Rate</w:t>
            </w:r>
            <w:r w:rsidR="00ED5BBA" w:rsidRPr="006B52B6">
              <w:rPr>
                <w:rFonts w:ascii="Times New Roman" w:eastAsia="Times New Roman" w:hAnsi="Times New Roman" w:cs="Times New Roman"/>
                <w:color w:val="000000"/>
                <w:sz w:val="24"/>
                <w:szCs w:val="24"/>
              </w:rPr>
              <w:t xml:space="preserve"> </w:t>
            </w:r>
            <w:r w:rsidRPr="006B52B6">
              <w:rPr>
                <w:rFonts w:ascii="Times New Roman" w:eastAsia="Times New Roman" w:hAnsi="Times New Roman" w:cs="Times New Roman"/>
                <w:color w:val="000000"/>
                <w:sz w:val="24"/>
                <w:szCs w:val="24"/>
              </w:rPr>
              <w:t>Case:</w:t>
            </w:r>
          </w:p>
        </w:tc>
        <w:tc>
          <w:tcPr>
            <w:tcW w:w="976" w:type="dxa"/>
            <w:tcBorders>
              <w:top w:val="nil"/>
              <w:left w:val="nil"/>
              <w:bottom w:val="nil"/>
              <w:right w:val="nil"/>
            </w:tcBorders>
            <w:shd w:val="clear" w:color="auto" w:fill="auto"/>
            <w:noWrap/>
            <w:vAlign w:val="bottom"/>
            <w:hideMark/>
          </w:tcPr>
          <w:p w14:paraId="7BED498B" w14:textId="77777777" w:rsidR="005A328D" w:rsidRPr="006B52B6" w:rsidRDefault="005A328D" w:rsidP="00140FF2">
            <w:pPr>
              <w:spacing w:after="0" w:line="240" w:lineRule="auto"/>
              <w:rPr>
                <w:rFonts w:ascii="Times New Roman" w:eastAsia="Times New Roman" w:hAnsi="Times New Roman" w:cs="Times New Roman"/>
                <w:color w:val="000000"/>
                <w:sz w:val="24"/>
                <w:szCs w:val="24"/>
              </w:rPr>
            </w:pPr>
          </w:p>
        </w:tc>
        <w:tc>
          <w:tcPr>
            <w:tcW w:w="1871" w:type="dxa"/>
            <w:tcBorders>
              <w:top w:val="nil"/>
              <w:left w:val="nil"/>
              <w:bottom w:val="nil"/>
              <w:right w:val="nil"/>
            </w:tcBorders>
            <w:shd w:val="clear" w:color="auto" w:fill="auto"/>
            <w:noWrap/>
            <w:vAlign w:val="bottom"/>
            <w:hideMark/>
          </w:tcPr>
          <w:p w14:paraId="592B5906" w14:textId="77777777" w:rsidR="005A328D" w:rsidRPr="006B52B6" w:rsidRDefault="005A328D" w:rsidP="00140FF2">
            <w:pPr>
              <w:spacing w:after="0" w:line="240" w:lineRule="auto"/>
              <w:jc w:val="right"/>
              <w:rPr>
                <w:rFonts w:ascii="Times New Roman" w:eastAsia="Times New Roman" w:hAnsi="Times New Roman" w:cs="Times New Roman"/>
                <w:color w:val="000000"/>
                <w:sz w:val="24"/>
                <w:szCs w:val="24"/>
              </w:rPr>
            </w:pPr>
          </w:p>
        </w:tc>
      </w:tr>
      <w:tr w:rsidR="00140FF2" w:rsidRPr="006B52B6" w14:paraId="093D9C16" w14:textId="77777777" w:rsidTr="000C1FA3">
        <w:trPr>
          <w:trHeight w:val="310"/>
        </w:trPr>
        <w:tc>
          <w:tcPr>
            <w:tcW w:w="5097" w:type="dxa"/>
            <w:tcBorders>
              <w:top w:val="nil"/>
              <w:left w:val="nil"/>
              <w:bottom w:val="nil"/>
              <w:right w:val="nil"/>
            </w:tcBorders>
            <w:shd w:val="clear" w:color="auto" w:fill="auto"/>
            <w:noWrap/>
            <w:vAlign w:val="bottom"/>
            <w:hideMark/>
          </w:tcPr>
          <w:p w14:paraId="65302824" w14:textId="77777777" w:rsidR="00140FF2" w:rsidRPr="006B52B6" w:rsidRDefault="005A328D" w:rsidP="00140FF2">
            <w:pPr>
              <w:spacing w:after="0" w:line="240" w:lineRule="auto"/>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 xml:space="preserve">   </w:t>
            </w:r>
            <w:r w:rsidR="00EA3011" w:rsidRPr="006B52B6">
              <w:rPr>
                <w:rFonts w:ascii="Times New Roman" w:eastAsia="Times New Roman" w:hAnsi="Times New Roman" w:cs="Times New Roman"/>
                <w:color w:val="000000"/>
                <w:sz w:val="24"/>
                <w:szCs w:val="24"/>
              </w:rPr>
              <w:t xml:space="preserve">    </w:t>
            </w:r>
            <w:r w:rsidRPr="006B52B6">
              <w:rPr>
                <w:rFonts w:ascii="Times New Roman" w:eastAsia="Times New Roman" w:hAnsi="Times New Roman" w:cs="Times New Roman"/>
                <w:color w:val="000000"/>
                <w:sz w:val="24"/>
                <w:szCs w:val="24"/>
              </w:rPr>
              <w:t xml:space="preserve">(-)  </w:t>
            </w:r>
            <w:r w:rsidR="00140FF2" w:rsidRPr="006B52B6">
              <w:rPr>
                <w:rFonts w:ascii="Times New Roman" w:eastAsia="Times New Roman" w:hAnsi="Times New Roman" w:cs="Times New Roman"/>
                <w:color w:val="000000"/>
                <w:sz w:val="24"/>
                <w:szCs w:val="24"/>
              </w:rPr>
              <w:t xml:space="preserve">Coal </w:t>
            </w:r>
          </w:p>
        </w:tc>
        <w:tc>
          <w:tcPr>
            <w:tcW w:w="976" w:type="dxa"/>
            <w:tcBorders>
              <w:top w:val="nil"/>
              <w:left w:val="nil"/>
              <w:bottom w:val="nil"/>
              <w:right w:val="nil"/>
            </w:tcBorders>
            <w:shd w:val="clear" w:color="auto" w:fill="auto"/>
            <w:noWrap/>
            <w:vAlign w:val="bottom"/>
            <w:hideMark/>
          </w:tcPr>
          <w:p w14:paraId="0380D635" w14:textId="77777777" w:rsidR="00140FF2" w:rsidRPr="006B52B6" w:rsidRDefault="00140FF2" w:rsidP="00140FF2">
            <w:pPr>
              <w:spacing w:after="0" w:line="240" w:lineRule="auto"/>
              <w:rPr>
                <w:rFonts w:ascii="Times New Roman" w:eastAsia="Times New Roman" w:hAnsi="Times New Roman" w:cs="Times New Roman"/>
                <w:color w:val="000000"/>
                <w:sz w:val="24"/>
                <w:szCs w:val="24"/>
              </w:rPr>
            </w:pPr>
          </w:p>
        </w:tc>
        <w:tc>
          <w:tcPr>
            <w:tcW w:w="1871" w:type="dxa"/>
            <w:tcBorders>
              <w:top w:val="nil"/>
              <w:left w:val="nil"/>
              <w:bottom w:val="nil"/>
              <w:right w:val="nil"/>
            </w:tcBorders>
            <w:shd w:val="clear" w:color="auto" w:fill="auto"/>
            <w:noWrap/>
            <w:vAlign w:val="bottom"/>
            <w:hideMark/>
          </w:tcPr>
          <w:p w14:paraId="00A65CAA" w14:textId="65956E81" w:rsidR="00140FF2" w:rsidRPr="006B52B6" w:rsidRDefault="00D85232" w:rsidP="0075086C">
            <w:pPr>
              <w:spacing w:after="0" w:line="240" w:lineRule="auto"/>
              <w:jc w:val="right"/>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w:t>
            </w:r>
            <w:r w:rsidR="0075086C">
              <w:rPr>
                <w:rFonts w:ascii="Times New Roman" w:eastAsia="Times New Roman" w:hAnsi="Times New Roman" w:cs="Times New Roman"/>
                <w:color w:val="000000"/>
                <w:sz w:val="24"/>
                <w:szCs w:val="24"/>
              </w:rPr>
              <w:t>22,984</w:t>
            </w:r>
          </w:p>
        </w:tc>
      </w:tr>
      <w:tr w:rsidR="00140FF2" w:rsidRPr="006B52B6" w14:paraId="74DE02F5" w14:textId="77777777" w:rsidTr="000C1FA3">
        <w:trPr>
          <w:trHeight w:val="310"/>
        </w:trPr>
        <w:tc>
          <w:tcPr>
            <w:tcW w:w="5097" w:type="dxa"/>
            <w:tcBorders>
              <w:top w:val="nil"/>
              <w:left w:val="nil"/>
              <w:bottom w:val="nil"/>
              <w:right w:val="nil"/>
            </w:tcBorders>
            <w:shd w:val="clear" w:color="auto" w:fill="auto"/>
            <w:noWrap/>
            <w:vAlign w:val="bottom"/>
            <w:hideMark/>
          </w:tcPr>
          <w:p w14:paraId="1B999F8F" w14:textId="77777777" w:rsidR="00140FF2" w:rsidRPr="006B52B6" w:rsidRDefault="005A328D" w:rsidP="009D30D3">
            <w:pPr>
              <w:spacing w:after="0" w:line="240" w:lineRule="auto"/>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 xml:space="preserve">   </w:t>
            </w:r>
            <w:r w:rsidR="00EA3011" w:rsidRPr="006B52B6">
              <w:rPr>
                <w:rFonts w:ascii="Times New Roman" w:eastAsia="Times New Roman" w:hAnsi="Times New Roman" w:cs="Times New Roman"/>
                <w:color w:val="000000"/>
                <w:sz w:val="24"/>
                <w:szCs w:val="24"/>
              </w:rPr>
              <w:t xml:space="preserve">    </w:t>
            </w:r>
            <w:r w:rsidRPr="006B52B6">
              <w:rPr>
                <w:rFonts w:ascii="Times New Roman" w:eastAsia="Times New Roman" w:hAnsi="Times New Roman" w:cs="Times New Roman"/>
                <w:color w:val="000000"/>
                <w:sz w:val="24"/>
                <w:szCs w:val="24"/>
              </w:rPr>
              <w:t xml:space="preserve">(-) </w:t>
            </w:r>
            <w:r w:rsidR="003A076B" w:rsidRPr="006B52B6">
              <w:rPr>
                <w:rFonts w:ascii="Times New Roman" w:eastAsia="Times New Roman" w:hAnsi="Times New Roman" w:cs="Times New Roman"/>
                <w:color w:val="000000"/>
                <w:sz w:val="24"/>
                <w:szCs w:val="24"/>
              </w:rPr>
              <w:t xml:space="preserve"> </w:t>
            </w:r>
            <w:r w:rsidR="009D30D3" w:rsidRPr="006B52B6">
              <w:rPr>
                <w:rFonts w:ascii="Times New Roman" w:eastAsia="Times New Roman" w:hAnsi="Times New Roman" w:cs="Times New Roman"/>
                <w:color w:val="000000"/>
                <w:sz w:val="24"/>
                <w:szCs w:val="24"/>
              </w:rPr>
              <w:t>Oil-Gas Steam</w:t>
            </w:r>
          </w:p>
        </w:tc>
        <w:tc>
          <w:tcPr>
            <w:tcW w:w="976" w:type="dxa"/>
            <w:tcBorders>
              <w:top w:val="nil"/>
              <w:left w:val="nil"/>
              <w:bottom w:val="nil"/>
              <w:right w:val="nil"/>
            </w:tcBorders>
            <w:shd w:val="clear" w:color="auto" w:fill="auto"/>
            <w:noWrap/>
            <w:vAlign w:val="bottom"/>
            <w:hideMark/>
          </w:tcPr>
          <w:p w14:paraId="6F8AEC54" w14:textId="77777777" w:rsidR="00140FF2" w:rsidRPr="006B52B6" w:rsidRDefault="00140FF2" w:rsidP="00140FF2">
            <w:pPr>
              <w:spacing w:after="0" w:line="240" w:lineRule="auto"/>
              <w:rPr>
                <w:rFonts w:ascii="Times New Roman" w:eastAsia="Times New Roman" w:hAnsi="Times New Roman" w:cs="Times New Roman"/>
                <w:color w:val="000000"/>
                <w:sz w:val="24"/>
                <w:szCs w:val="24"/>
              </w:rPr>
            </w:pPr>
          </w:p>
        </w:tc>
        <w:tc>
          <w:tcPr>
            <w:tcW w:w="1871" w:type="dxa"/>
            <w:tcBorders>
              <w:top w:val="nil"/>
              <w:left w:val="nil"/>
              <w:bottom w:val="nil"/>
              <w:right w:val="nil"/>
            </w:tcBorders>
            <w:shd w:val="clear" w:color="auto" w:fill="auto"/>
            <w:noWrap/>
            <w:vAlign w:val="bottom"/>
            <w:hideMark/>
          </w:tcPr>
          <w:p w14:paraId="3F993DA0" w14:textId="0039E2C5" w:rsidR="00140FF2" w:rsidRPr="006B52B6" w:rsidRDefault="00D85232" w:rsidP="0075086C">
            <w:pPr>
              <w:spacing w:after="0" w:line="240" w:lineRule="auto"/>
              <w:jc w:val="right"/>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w:t>
            </w:r>
            <w:r w:rsidR="0075086C">
              <w:rPr>
                <w:rFonts w:ascii="Times New Roman" w:eastAsia="Times New Roman" w:hAnsi="Times New Roman" w:cs="Times New Roman"/>
                <w:color w:val="000000"/>
                <w:sz w:val="24"/>
                <w:szCs w:val="24"/>
              </w:rPr>
              <w:t>9,264</w:t>
            </w:r>
          </w:p>
        </w:tc>
      </w:tr>
      <w:tr w:rsidR="00BF6ACE" w:rsidRPr="006B52B6" w14:paraId="0B8756A8" w14:textId="77777777" w:rsidTr="009D30D3">
        <w:trPr>
          <w:trHeight w:val="310"/>
        </w:trPr>
        <w:tc>
          <w:tcPr>
            <w:tcW w:w="5097" w:type="dxa"/>
            <w:tcBorders>
              <w:top w:val="nil"/>
              <w:left w:val="nil"/>
              <w:bottom w:val="nil"/>
              <w:right w:val="nil"/>
            </w:tcBorders>
            <w:shd w:val="clear" w:color="auto" w:fill="auto"/>
            <w:noWrap/>
            <w:vAlign w:val="bottom"/>
          </w:tcPr>
          <w:p w14:paraId="0424570F" w14:textId="77777777" w:rsidR="00BF6ACE" w:rsidRPr="006B52B6" w:rsidRDefault="00BF6ACE" w:rsidP="009D30D3">
            <w:pPr>
              <w:spacing w:after="0" w:line="240" w:lineRule="auto"/>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 xml:space="preserve">       (-)  Combustion Turbine</w:t>
            </w:r>
            <w:r w:rsidR="00751934" w:rsidRPr="006B52B6">
              <w:rPr>
                <w:rFonts w:ascii="Times New Roman" w:eastAsia="Times New Roman" w:hAnsi="Times New Roman" w:cs="Times New Roman"/>
                <w:color w:val="000000"/>
                <w:sz w:val="24"/>
                <w:szCs w:val="24"/>
              </w:rPr>
              <w:t xml:space="preserve">  </w:t>
            </w:r>
          </w:p>
        </w:tc>
        <w:tc>
          <w:tcPr>
            <w:tcW w:w="976" w:type="dxa"/>
            <w:tcBorders>
              <w:top w:val="nil"/>
              <w:left w:val="nil"/>
              <w:bottom w:val="nil"/>
              <w:right w:val="nil"/>
            </w:tcBorders>
            <w:shd w:val="clear" w:color="auto" w:fill="auto"/>
            <w:noWrap/>
            <w:vAlign w:val="bottom"/>
          </w:tcPr>
          <w:p w14:paraId="012C9D37" w14:textId="77777777" w:rsidR="00BF6ACE" w:rsidRPr="006B52B6" w:rsidRDefault="00BF6ACE" w:rsidP="00140FF2">
            <w:pPr>
              <w:spacing w:after="0" w:line="240" w:lineRule="auto"/>
              <w:rPr>
                <w:rFonts w:ascii="Times New Roman" w:eastAsia="Times New Roman" w:hAnsi="Times New Roman" w:cs="Times New Roman"/>
                <w:color w:val="000000"/>
                <w:sz w:val="24"/>
                <w:szCs w:val="24"/>
              </w:rPr>
            </w:pPr>
          </w:p>
        </w:tc>
        <w:tc>
          <w:tcPr>
            <w:tcW w:w="1871" w:type="dxa"/>
            <w:tcBorders>
              <w:top w:val="nil"/>
              <w:left w:val="nil"/>
              <w:bottom w:val="nil"/>
              <w:right w:val="nil"/>
            </w:tcBorders>
            <w:shd w:val="clear" w:color="auto" w:fill="auto"/>
            <w:noWrap/>
            <w:vAlign w:val="bottom"/>
          </w:tcPr>
          <w:p w14:paraId="2797F464" w14:textId="31E433AA" w:rsidR="00BF6ACE" w:rsidRPr="006B52B6" w:rsidRDefault="00751934" w:rsidP="0075086C">
            <w:pPr>
              <w:spacing w:after="0" w:line="240" w:lineRule="auto"/>
              <w:jc w:val="right"/>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w:t>
            </w:r>
            <w:r w:rsidR="0075086C">
              <w:rPr>
                <w:rFonts w:ascii="Times New Roman" w:eastAsia="Times New Roman" w:hAnsi="Times New Roman" w:cs="Times New Roman"/>
                <w:color w:val="000000"/>
                <w:sz w:val="24"/>
                <w:szCs w:val="24"/>
              </w:rPr>
              <w:t>1,942</w:t>
            </w:r>
          </w:p>
        </w:tc>
      </w:tr>
      <w:tr w:rsidR="005A328D" w:rsidRPr="006B52B6" w14:paraId="636B1AF5" w14:textId="77777777" w:rsidTr="000C1FA3">
        <w:trPr>
          <w:trHeight w:val="158"/>
        </w:trPr>
        <w:tc>
          <w:tcPr>
            <w:tcW w:w="5097" w:type="dxa"/>
            <w:tcBorders>
              <w:top w:val="nil"/>
              <w:left w:val="nil"/>
              <w:bottom w:val="nil"/>
              <w:right w:val="nil"/>
            </w:tcBorders>
            <w:shd w:val="clear" w:color="auto" w:fill="auto"/>
            <w:noWrap/>
            <w:vAlign w:val="bottom"/>
            <w:hideMark/>
          </w:tcPr>
          <w:p w14:paraId="62141E18" w14:textId="77777777" w:rsidR="005A328D" w:rsidRPr="006B52B6" w:rsidRDefault="00D85232" w:rsidP="00140FF2">
            <w:pPr>
              <w:spacing w:after="0" w:line="240" w:lineRule="auto"/>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 xml:space="preserve">       </w:t>
            </w:r>
            <w:r w:rsidR="00751934" w:rsidRPr="006B52B6">
              <w:rPr>
                <w:rFonts w:ascii="Times New Roman" w:eastAsia="Times New Roman" w:hAnsi="Times New Roman" w:cs="Times New Roman"/>
                <w:color w:val="000000"/>
                <w:sz w:val="24"/>
                <w:szCs w:val="24"/>
              </w:rPr>
              <w:t xml:space="preserve">(-) </w:t>
            </w:r>
            <w:r w:rsidRPr="006B52B6">
              <w:rPr>
                <w:rFonts w:ascii="Times New Roman" w:eastAsia="Times New Roman" w:hAnsi="Times New Roman" w:cs="Times New Roman"/>
                <w:color w:val="000000"/>
                <w:sz w:val="24"/>
                <w:szCs w:val="24"/>
              </w:rPr>
              <w:t xml:space="preserve"> </w:t>
            </w:r>
            <w:r w:rsidR="00751934" w:rsidRPr="006B52B6">
              <w:rPr>
                <w:rFonts w:ascii="Times New Roman" w:eastAsia="Times New Roman" w:hAnsi="Times New Roman" w:cs="Times New Roman"/>
                <w:color w:val="000000"/>
                <w:sz w:val="24"/>
                <w:szCs w:val="24"/>
              </w:rPr>
              <w:t>Combined Cy</w:t>
            </w:r>
            <w:r w:rsidR="0092625C" w:rsidRPr="006B52B6">
              <w:rPr>
                <w:rFonts w:ascii="Times New Roman" w:eastAsia="Times New Roman" w:hAnsi="Times New Roman" w:cs="Times New Roman"/>
                <w:color w:val="000000"/>
                <w:sz w:val="24"/>
                <w:szCs w:val="24"/>
              </w:rPr>
              <w:t>c</w:t>
            </w:r>
            <w:r w:rsidR="00751934" w:rsidRPr="006B52B6">
              <w:rPr>
                <w:rFonts w:ascii="Times New Roman" w:eastAsia="Times New Roman" w:hAnsi="Times New Roman" w:cs="Times New Roman"/>
                <w:color w:val="000000"/>
                <w:sz w:val="24"/>
                <w:szCs w:val="24"/>
              </w:rPr>
              <w:t>le</w:t>
            </w:r>
          </w:p>
        </w:tc>
        <w:tc>
          <w:tcPr>
            <w:tcW w:w="976" w:type="dxa"/>
            <w:tcBorders>
              <w:top w:val="nil"/>
              <w:left w:val="nil"/>
              <w:bottom w:val="nil"/>
              <w:right w:val="nil"/>
            </w:tcBorders>
            <w:shd w:val="clear" w:color="auto" w:fill="auto"/>
            <w:noWrap/>
            <w:vAlign w:val="bottom"/>
            <w:hideMark/>
          </w:tcPr>
          <w:p w14:paraId="38D3639C" w14:textId="77777777" w:rsidR="005A328D" w:rsidRPr="006B52B6" w:rsidRDefault="005A328D" w:rsidP="00140FF2">
            <w:pPr>
              <w:spacing w:after="0" w:line="240" w:lineRule="auto"/>
              <w:rPr>
                <w:rFonts w:ascii="Times New Roman" w:eastAsia="Times New Roman" w:hAnsi="Times New Roman" w:cs="Times New Roman"/>
                <w:color w:val="000000"/>
                <w:sz w:val="24"/>
                <w:szCs w:val="24"/>
              </w:rPr>
            </w:pPr>
          </w:p>
        </w:tc>
        <w:tc>
          <w:tcPr>
            <w:tcW w:w="1871" w:type="dxa"/>
            <w:tcBorders>
              <w:top w:val="nil"/>
              <w:left w:val="nil"/>
              <w:bottom w:val="nil"/>
              <w:right w:val="nil"/>
            </w:tcBorders>
            <w:shd w:val="clear" w:color="auto" w:fill="auto"/>
            <w:noWrap/>
            <w:vAlign w:val="bottom"/>
            <w:hideMark/>
          </w:tcPr>
          <w:p w14:paraId="20A13496" w14:textId="2E678275" w:rsidR="005A328D" w:rsidRPr="006B52B6" w:rsidRDefault="003A076B" w:rsidP="0075086C">
            <w:pPr>
              <w:spacing w:after="0" w:line="240" w:lineRule="auto"/>
              <w:jc w:val="right"/>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w:t>
            </w:r>
            <w:r w:rsidR="0075086C">
              <w:rPr>
                <w:rFonts w:ascii="Times New Roman" w:eastAsia="Times New Roman" w:hAnsi="Times New Roman" w:cs="Times New Roman"/>
                <w:color w:val="000000"/>
                <w:sz w:val="24"/>
                <w:szCs w:val="24"/>
              </w:rPr>
              <w:t>1,643</w:t>
            </w:r>
          </w:p>
        </w:tc>
      </w:tr>
      <w:tr w:rsidR="002B059C" w:rsidRPr="006B52B6" w14:paraId="3BEF0E77" w14:textId="77777777" w:rsidTr="000C1FA3">
        <w:trPr>
          <w:trHeight w:val="158"/>
        </w:trPr>
        <w:tc>
          <w:tcPr>
            <w:tcW w:w="5097" w:type="dxa"/>
            <w:tcBorders>
              <w:top w:val="nil"/>
              <w:left w:val="nil"/>
              <w:bottom w:val="nil"/>
              <w:right w:val="nil"/>
            </w:tcBorders>
            <w:shd w:val="clear" w:color="auto" w:fill="auto"/>
            <w:noWrap/>
            <w:vAlign w:val="bottom"/>
          </w:tcPr>
          <w:p w14:paraId="4D6AB365" w14:textId="7F290CE0" w:rsidR="002B059C" w:rsidRPr="006B52B6" w:rsidRDefault="002B059C" w:rsidP="00140F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Nuclear                                                                                 </w:t>
            </w:r>
          </w:p>
        </w:tc>
        <w:tc>
          <w:tcPr>
            <w:tcW w:w="976" w:type="dxa"/>
            <w:tcBorders>
              <w:top w:val="nil"/>
              <w:left w:val="nil"/>
              <w:bottom w:val="nil"/>
              <w:right w:val="nil"/>
            </w:tcBorders>
            <w:shd w:val="clear" w:color="auto" w:fill="auto"/>
            <w:noWrap/>
            <w:vAlign w:val="bottom"/>
          </w:tcPr>
          <w:p w14:paraId="1170FB71" w14:textId="77777777" w:rsidR="002B059C" w:rsidRPr="006B52B6" w:rsidRDefault="002B059C" w:rsidP="00140FF2">
            <w:pPr>
              <w:spacing w:after="0" w:line="240" w:lineRule="auto"/>
              <w:rPr>
                <w:rFonts w:ascii="Times New Roman" w:eastAsia="Times New Roman" w:hAnsi="Times New Roman" w:cs="Times New Roman"/>
                <w:color w:val="000000"/>
                <w:sz w:val="24"/>
                <w:szCs w:val="24"/>
              </w:rPr>
            </w:pPr>
          </w:p>
        </w:tc>
        <w:tc>
          <w:tcPr>
            <w:tcW w:w="1871" w:type="dxa"/>
            <w:tcBorders>
              <w:top w:val="nil"/>
              <w:left w:val="nil"/>
              <w:bottom w:val="nil"/>
              <w:right w:val="nil"/>
            </w:tcBorders>
            <w:shd w:val="clear" w:color="auto" w:fill="auto"/>
            <w:noWrap/>
            <w:vAlign w:val="bottom"/>
          </w:tcPr>
          <w:p w14:paraId="366AD80C" w14:textId="64DFE003" w:rsidR="002B059C" w:rsidRPr="006B52B6" w:rsidRDefault="002B059C" w:rsidP="0075086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-1,128</w:t>
            </w:r>
          </w:p>
        </w:tc>
      </w:tr>
      <w:tr w:rsidR="00751934" w:rsidRPr="006B52B6" w14:paraId="755DB671" w14:textId="77777777" w:rsidTr="009D30D3">
        <w:trPr>
          <w:trHeight w:val="158"/>
        </w:trPr>
        <w:tc>
          <w:tcPr>
            <w:tcW w:w="5097" w:type="dxa"/>
            <w:tcBorders>
              <w:top w:val="nil"/>
              <w:left w:val="nil"/>
              <w:bottom w:val="nil"/>
              <w:right w:val="nil"/>
            </w:tcBorders>
            <w:shd w:val="clear" w:color="auto" w:fill="auto"/>
            <w:noWrap/>
            <w:vAlign w:val="bottom"/>
          </w:tcPr>
          <w:p w14:paraId="1EF61940" w14:textId="3C8BF173" w:rsidR="00751934" w:rsidRPr="006B52B6" w:rsidRDefault="00751934" w:rsidP="00B2104B">
            <w:pPr>
              <w:spacing w:after="0" w:line="240" w:lineRule="auto"/>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 xml:space="preserve">    </w:t>
            </w:r>
            <w:r w:rsidR="002D15C7">
              <w:rPr>
                <w:rFonts w:ascii="Times New Roman" w:eastAsia="Times New Roman" w:hAnsi="Times New Roman" w:cs="Times New Roman"/>
                <w:i/>
                <w:color w:val="000000"/>
                <w:sz w:val="24"/>
                <w:szCs w:val="24"/>
              </w:rPr>
              <w:t xml:space="preserve">   </w:t>
            </w:r>
            <w:r w:rsidR="002D15C7">
              <w:rPr>
                <w:rFonts w:ascii="Times New Roman" w:eastAsia="Times New Roman" w:hAnsi="Times New Roman" w:cs="Times New Roman"/>
                <w:color w:val="000000"/>
                <w:sz w:val="24"/>
                <w:szCs w:val="24"/>
              </w:rPr>
              <w:t>(-)</w:t>
            </w:r>
            <w:r w:rsidR="00B2104B">
              <w:rPr>
                <w:rFonts w:ascii="Times New Roman" w:eastAsia="Times New Roman" w:hAnsi="Times New Roman" w:cs="Times New Roman"/>
                <w:color w:val="000000"/>
                <w:sz w:val="24"/>
                <w:szCs w:val="24"/>
              </w:rPr>
              <w:t xml:space="preserve">  Less New Capacity due to </w:t>
            </w:r>
            <w:r w:rsidR="002B059C">
              <w:rPr>
                <w:rFonts w:ascii="Times New Roman" w:eastAsia="Times New Roman" w:hAnsi="Times New Roman" w:cs="Times New Roman"/>
                <w:color w:val="000000"/>
                <w:sz w:val="24"/>
                <w:szCs w:val="24"/>
              </w:rPr>
              <w:t>EE Reduction</w:t>
            </w:r>
          </w:p>
        </w:tc>
        <w:tc>
          <w:tcPr>
            <w:tcW w:w="976" w:type="dxa"/>
            <w:tcBorders>
              <w:top w:val="nil"/>
              <w:left w:val="nil"/>
              <w:bottom w:val="nil"/>
              <w:right w:val="nil"/>
            </w:tcBorders>
            <w:shd w:val="clear" w:color="auto" w:fill="auto"/>
            <w:noWrap/>
            <w:vAlign w:val="bottom"/>
          </w:tcPr>
          <w:p w14:paraId="62336378" w14:textId="77777777" w:rsidR="00751934" w:rsidRPr="006B52B6" w:rsidRDefault="00751934" w:rsidP="00140FF2">
            <w:pPr>
              <w:spacing w:after="0" w:line="240" w:lineRule="auto"/>
              <w:rPr>
                <w:rFonts w:ascii="Times New Roman" w:eastAsia="Times New Roman" w:hAnsi="Times New Roman" w:cs="Times New Roman"/>
                <w:color w:val="000000"/>
                <w:sz w:val="24"/>
                <w:szCs w:val="24"/>
              </w:rPr>
            </w:pPr>
          </w:p>
        </w:tc>
        <w:tc>
          <w:tcPr>
            <w:tcW w:w="1871" w:type="dxa"/>
            <w:tcBorders>
              <w:top w:val="nil"/>
              <w:left w:val="nil"/>
              <w:bottom w:val="nil"/>
              <w:right w:val="nil"/>
            </w:tcBorders>
            <w:shd w:val="clear" w:color="auto" w:fill="auto"/>
            <w:noWrap/>
            <w:vAlign w:val="bottom"/>
          </w:tcPr>
          <w:p w14:paraId="687BEDC6" w14:textId="793F75BA" w:rsidR="00751934" w:rsidRPr="006B52B6" w:rsidRDefault="0075086C" w:rsidP="0075086C">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-12,626</w:t>
            </w:r>
          </w:p>
        </w:tc>
      </w:tr>
      <w:tr w:rsidR="00D85232" w:rsidRPr="006B52B6" w14:paraId="5ADADCEA" w14:textId="77777777" w:rsidTr="000C1FA3">
        <w:trPr>
          <w:trHeight w:val="158"/>
        </w:trPr>
        <w:tc>
          <w:tcPr>
            <w:tcW w:w="5097" w:type="dxa"/>
            <w:tcBorders>
              <w:top w:val="nil"/>
              <w:left w:val="nil"/>
              <w:bottom w:val="nil"/>
              <w:right w:val="nil"/>
            </w:tcBorders>
            <w:shd w:val="clear" w:color="auto" w:fill="auto"/>
            <w:noWrap/>
            <w:vAlign w:val="bottom"/>
            <w:hideMark/>
          </w:tcPr>
          <w:p w14:paraId="272D1460" w14:textId="77777777" w:rsidR="00D85232" w:rsidRPr="006B52B6" w:rsidRDefault="00D85232" w:rsidP="00140FF2">
            <w:pPr>
              <w:spacing w:after="0" w:line="240" w:lineRule="auto"/>
              <w:rPr>
                <w:rFonts w:ascii="Times New Roman" w:eastAsia="Times New Roman" w:hAnsi="Times New Roman" w:cs="Times New Roman"/>
                <w:color w:val="000000"/>
                <w:sz w:val="24"/>
                <w:szCs w:val="24"/>
              </w:rPr>
            </w:pPr>
          </w:p>
        </w:tc>
        <w:tc>
          <w:tcPr>
            <w:tcW w:w="976" w:type="dxa"/>
            <w:tcBorders>
              <w:top w:val="nil"/>
              <w:left w:val="nil"/>
              <w:bottom w:val="nil"/>
              <w:right w:val="nil"/>
            </w:tcBorders>
            <w:shd w:val="clear" w:color="auto" w:fill="auto"/>
            <w:noWrap/>
            <w:vAlign w:val="bottom"/>
            <w:hideMark/>
          </w:tcPr>
          <w:p w14:paraId="07735C27" w14:textId="77777777" w:rsidR="00D85232" w:rsidRPr="006B52B6" w:rsidRDefault="00D85232" w:rsidP="00140FF2">
            <w:pPr>
              <w:spacing w:after="0" w:line="240" w:lineRule="auto"/>
              <w:rPr>
                <w:rFonts w:ascii="Times New Roman" w:eastAsia="Times New Roman" w:hAnsi="Times New Roman" w:cs="Times New Roman"/>
                <w:color w:val="000000"/>
                <w:sz w:val="24"/>
                <w:szCs w:val="24"/>
              </w:rPr>
            </w:pPr>
          </w:p>
        </w:tc>
        <w:tc>
          <w:tcPr>
            <w:tcW w:w="1871" w:type="dxa"/>
            <w:tcBorders>
              <w:top w:val="nil"/>
              <w:left w:val="nil"/>
              <w:bottom w:val="nil"/>
              <w:right w:val="nil"/>
            </w:tcBorders>
            <w:shd w:val="clear" w:color="auto" w:fill="auto"/>
            <w:noWrap/>
            <w:vAlign w:val="bottom"/>
            <w:hideMark/>
          </w:tcPr>
          <w:p w14:paraId="6FA2FD43" w14:textId="77777777" w:rsidR="00D85232" w:rsidRPr="006B52B6" w:rsidRDefault="00D85232" w:rsidP="00140FF2">
            <w:pPr>
              <w:spacing w:after="0" w:line="240" w:lineRule="auto"/>
              <w:jc w:val="right"/>
              <w:rPr>
                <w:rFonts w:ascii="Times New Roman" w:eastAsia="Times New Roman" w:hAnsi="Times New Roman" w:cs="Times New Roman"/>
                <w:color w:val="000000"/>
                <w:sz w:val="24"/>
                <w:szCs w:val="24"/>
              </w:rPr>
            </w:pPr>
          </w:p>
        </w:tc>
      </w:tr>
      <w:tr w:rsidR="00140FF2" w:rsidRPr="006B52B6" w14:paraId="55804EF2" w14:textId="77777777" w:rsidTr="000C1FA3">
        <w:trPr>
          <w:trHeight w:val="310"/>
        </w:trPr>
        <w:tc>
          <w:tcPr>
            <w:tcW w:w="5097" w:type="dxa"/>
            <w:tcBorders>
              <w:top w:val="nil"/>
              <w:left w:val="nil"/>
              <w:bottom w:val="nil"/>
              <w:right w:val="nil"/>
            </w:tcBorders>
            <w:shd w:val="clear" w:color="auto" w:fill="auto"/>
            <w:noWrap/>
            <w:vAlign w:val="bottom"/>
            <w:hideMark/>
          </w:tcPr>
          <w:p w14:paraId="1959D44D" w14:textId="77777777" w:rsidR="00140FF2" w:rsidRPr="006B52B6" w:rsidRDefault="00206D46" w:rsidP="00140FF2">
            <w:pPr>
              <w:spacing w:after="0" w:line="240" w:lineRule="auto"/>
              <w:rPr>
                <w:rFonts w:ascii="Times New Roman" w:eastAsia="Times New Roman" w:hAnsi="Times New Roman" w:cs="Times New Roman"/>
                <w:color w:val="000000"/>
                <w:sz w:val="24"/>
                <w:szCs w:val="24"/>
              </w:rPr>
            </w:pPr>
            <w:r w:rsidRPr="006B52B6">
              <w:rPr>
                <w:rFonts w:ascii="Times New Roman" w:eastAsia="Times New Roman" w:hAnsi="Times New Roman" w:cs="Times New Roman"/>
                <w:i/>
                <w:color w:val="000000"/>
                <w:sz w:val="24"/>
                <w:szCs w:val="24"/>
              </w:rPr>
              <w:t>Equals</w:t>
            </w:r>
            <w:r w:rsidRPr="006B52B6">
              <w:rPr>
                <w:rFonts w:ascii="Times New Roman" w:eastAsia="Times New Roman" w:hAnsi="Times New Roman" w:cs="Times New Roman"/>
                <w:color w:val="000000"/>
                <w:sz w:val="24"/>
                <w:szCs w:val="24"/>
              </w:rPr>
              <w:t xml:space="preserve"> </w:t>
            </w:r>
            <w:r w:rsidR="005A328D" w:rsidRPr="006B52B6">
              <w:rPr>
                <w:rFonts w:ascii="Times New Roman" w:eastAsia="Times New Roman" w:hAnsi="Times New Roman" w:cs="Times New Roman"/>
                <w:color w:val="000000"/>
                <w:sz w:val="24"/>
                <w:szCs w:val="24"/>
              </w:rPr>
              <w:t>Policy Case Operational Capacity</w:t>
            </w:r>
          </w:p>
        </w:tc>
        <w:tc>
          <w:tcPr>
            <w:tcW w:w="976" w:type="dxa"/>
            <w:tcBorders>
              <w:top w:val="nil"/>
              <w:left w:val="nil"/>
              <w:bottom w:val="nil"/>
              <w:right w:val="nil"/>
            </w:tcBorders>
            <w:shd w:val="clear" w:color="auto" w:fill="auto"/>
            <w:noWrap/>
            <w:vAlign w:val="bottom"/>
            <w:hideMark/>
          </w:tcPr>
          <w:p w14:paraId="263258E7" w14:textId="77777777" w:rsidR="00140FF2" w:rsidRPr="006B52B6" w:rsidRDefault="00140FF2" w:rsidP="00140FF2">
            <w:pPr>
              <w:spacing w:after="0" w:line="240" w:lineRule="auto"/>
              <w:rPr>
                <w:rFonts w:ascii="Times New Roman" w:eastAsia="Times New Roman" w:hAnsi="Times New Roman" w:cs="Times New Roman"/>
                <w:color w:val="000000"/>
                <w:sz w:val="24"/>
                <w:szCs w:val="24"/>
              </w:rPr>
            </w:pPr>
          </w:p>
        </w:tc>
        <w:tc>
          <w:tcPr>
            <w:tcW w:w="1871" w:type="dxa"/>
            <w:tcBorders>
              <w:top w:val="nil"/>
              <w:left w:val="nil"/>
              <w:bottom w:val="nil"/>
              <w:right w:val="nil"/>
            </w:tcBorders>
            <w:shd w:val="clear" w:color="auto" w:fill="auto"/>
            <w:noWrap/>
            <w:vAlign w:val="bottom"/>
            <w:hideMark/>
          </w:tcPr>
          <w:p w14:paraId="748961F8" w14:textId="57C5D158" w:rsidR="00140FF2" w:rsidRPr="006B52B6" w:rsidRDefault="003A076B" w:rsidP="0075086C">
            <w:pPr>
              <w:spacing w:after="0" w:line="240" w:lineRule="auto"/>
              <w:jc w:val="right"/>
              <w:rPr>
                <w:rFonts w:ascii="Times New Roman" w:eastAsia="Times New Roman" w:hAnsi="Times New Roman" w:cs="Times New Roman"/>
                <w:color w:val="000000"/>
                <w:sz w:val="24"/>
                <w:szCs w:val="24"/>
              </w:rPr>
            </w:pPr>
            <w:r w:rsidRPr="006B52B6">
              <w:rPr>
                <w:rFonts w:ascii="Times New Roman" w:eastAsia="Times New Roman" w:hAnsi="Times New Roman" w:cs="Times New Roman"/>
                <w:color w:val="000000"/>
                <w:sz w:val="24"/>
                <w:szCs w:val="24"/>
              </w:rPr>
              <w:t>9</w:t>
            </w:r>
            <w:r w:rsidR="0075086C">
              <w:rPr>
                <w:rFonts w:ascii="Times New Roman" w:eastAsia="Times New Roman" w:hAnsi="Times New Roman" w:cs="Times New Roman"/>
                <w:color w:val="000000"/>
                <w:sz w:val="24"/>
                <w:szCs w:val="24"/>
              </w:rPr>
              <w:t>88,764</w:t>
            </w:r>
            <w:r w:rsidR="00A56021" w:rsidRPr="006B52B6">
              <w:rPr>
                <w:rStyle w:val="FootnoteReference"/>
                <w:rFonts w:ascii="Times New Roman" w:eastAsia="Times New Roman" w:hAnsi="Times New Roman" w:cs="Times New Roman"/>
                <w:color w:val="000000"/>
                <w:sz w:val="24"/>
                <w:szCs w:val="24"/>
              </w:rPr>
              <w:footnoteReference w:id="7"/>
            </w:r>
          </w:p>
        </w:tc>
      </w:tr>
    </w:tbl>
    <w:p w14:paraId="36616A76" w14:textId="77777777" w:rsidR="00140FF2" w:rsidRPr="006B52B6" w:rsidRDefault="00140FF2">
      <w:pPr>
        <w:rPr>
          <w:rFonts w:ascii="Times New Roman" w:hAnsi="Times New Roman" w:cs="Times New Roman"/>
          <w:sz w:val="24"/>
          <w:szCs w:val="24"/>
        </w:rPr>
      </w:pPr>
    </w:p>
    <w:p w14:paraId="523E14D2" w14:textId="3DB69A8C" w:rsidR="00045E5B" w:rsidRPr="006B52B6" w:rsidRDefault="00D85232"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 xml:space="preserve">Since the model must maintain adequate reserves in each region, </w:t>
      </w:r>
      <w:r w:rsidR="006A791F" w:rsidRPr="006B52B6">
        <w:rPr>
          <w:rFonts w:ascii="Times New Roman" w:hAnsi="Times New Roman" w:cs="Times New Roman"/>
          <w:sz w:val="24"/>
          <w:szCs w:val="24"/>
        </w:rPr>
        <w:t xml:space="preserve">a portion of </w:t>
      </w:r>
      <w:r w:rsidRPr="006B52B6">
        <w:rPr>
          <w:rFonts w:ascii="Times New Roman" w:hAnsi="Times New Roman" w:cs="Times New Roman"/>
          <w:sz w:val="24"/>
          <w:szCs w:val="24"/>
        </w:rPr>
        <w:t>the reduc</w:t>
      </w:r>
      <w:r w:rsidR="006D716E" w:rsidRPr="006B52B6">
        <w:rPr>
          <w:rFonts w:ascii="Times New Roman" w:hAnsi="Times New Roman" w:cs="Times New Roman"/>
          <w:sz w:val="24"/>
          <w:szCs w:val="24"/>
        </w:rPr>
        <w:t xml:space="preserve">ed operational capacity </w:t>
      </w:r>
      <w:r w:rsidRPr="006B52B6">
        <w:rPr>
          <w:rFonts w:ascii="Times New Roman" w:hAnsi="Times New Roman" w:cs="Times New Roman"/>
          <w:sz w:val="24"/>
          <w:szCs w:val="24"/>
        </w:rPr>
        <w:t xml:space="preserve">in the </w:t>
      </w:r>
      <w:r w:rsidR="00C51AD9">
        <w:rPr>
          <w:rFonts w:ascii="Times New Roman" w:hAnsi="Times New Roman" w:cs="Times New Roman"/>
          <w:sz w:val="24"/>
          <w:szCs w:val="24"/>
        </w:rPr>
        <w:t>CPP</w:t>
      </w:r>
      <w:r w:rsidRPr="006B52B6">
        <w:rPr>
          <w:rFonts w:ascii="Times New Roman" w:hAnsi="Times New Roman" w:cs="Times New Roman"/>
          <w:sz w:val="24"/>
          <w:szCs w:val="24"/>
        </w:rPr>
        <w:t xml:space="preserve"> </w:t>
      </w:r>
      <w:r w:rsidR="00B83750">
        <w:rPr>
          <w:rFonts w:ascii="Times New Roman" w:hAnsi="Times New Roman" w:cs="Times New Roman"/>
          <w:sz w:val="24"/>
          <w:szCs w:val="24"/>
        </w:rPr>
        <w:t xml:space="preserve">rate based policy </w:t>
      </w:r>
      <w:r w:rsidRPr="006B52B6">
        <w:rPr>
          <w:rFonts w:ascii="Times New Roman" w:hAnsi="Times New Roman" w:cs="Times New Roman"/>
          <w:sz w:val="24"/>
          <w:szCs w:val="24"/>
        </w:rPr>
        <w:t xml:space="preserve">case </w:t>
      </w:r>
      <w:proofErr w:type="gramStart"/>
      <w:r w:rsidR="00125DA9" w:rsidRPr="006B52B6">
        <w:rPr>
          <w:rFonts w:ascii="Times New Roman" w:hAnsi="Times New Roman" w:cs="Times New Roman"/>
          <w:sz w:val="24"/>
          <w:szCs w:val="24"/>
        </w:rPr>
        <w:t>is taken</w:t>
      </w:r>
      <w:proofErr w:type="gramEnd"/>
      <w:r w:rsidR="00206D46" w:rsidRPr="006B52B6">
        <w:rPr>
          <w:rFonts w:ascii="Times New Roman" w:hAnsi="Times New Roman" w:cs="Times New Roman"/>
          <w:sz w:val="24"/>
          <w:szCs w:val="24"/>
        </w:rPr>
        <w:t xml:space="preserve"> from</w:t>
      </w:r>
      <w:r w:rsidRPr="006B52B6">
        <w:rPr>
          <w:rFonts w:ascii="Times New Roman" w:hAnsi="Times New Roman" w:cs="Times New Roman"/>
          <w:sz w:val="24"/>
          <w:szCs w:val="24"/>
        </w:rPr>
        <w:t xml:space="preserve"> </w:t>
      </w:r>
      <w:r w:rsidR="00E22A6A">
        <w:rPr>
          <w:rFonts w:ascii="Times New Roman" w:hAnsi="Times New Roman" w:cs="Times New Roman"/>
          <w:sz w:val="24"/>
          <w:szCs w:val="24"/>
        </w:rPr>
        <w:t>reduced need for reserves compared to the base case</w:t>
      </w:r>
      <w:r w:rsidR="000277E0">
        <w:rPr>
          <w:rFonts w:ascii="Times New Roman" w:hAnsi="Times New Roman" w:cs="Times New Roman"/>
          <w:sz w:val="24"/>
          <w:szCs w:val="24"/>
        </w:rPr>
        <w:t xml:space="preserve">. </w:t>
      </w:r>
      <w:r w:rsidR="00432F98" w:rsidRPr="006B52B6">
        <w:rPr>
          <w:rFonts w:ascii="Times New Roman" w:hAnsi="Times New Roman" w:cs="Times New Roman"/>
          <w:sz w:val="24"/>
          <w:szCs w:val="24"/>
        </w:rPr>
        <w:t xml:space="preserve">In order to maintain resource adequacy in each region where </w:t>
      </w:r>
      <w:r w:rsidR="00CF73D8" w:rsidRPr="006B52B6">
        <w:rPr>
          <w:rFonts w:ascii="Times New Roman" w:hAnsi="Times New Roman" w:cs="Times New Roman"/>
          <w:sz w:val="24"/>
          <w:szCs w:val="24"/>
        </w:rPr>
        <w:t>existing resources</w:t>
      </w:r>
      <w:r w:rsidR="00432F98" w:rsidRPr="006B52B6">
        <w:rPr>
          <w:rFonts w:ascii="Times New Roman" w:hAnsi="Times New Roman" w:cs="Times New Roman"/>
          <w:sz w:val="24"/>
          <w:szCs w:val="24"/>
        </w:rPr>
        <w:t xml:space="preserve"> retire, the model relies on </w:t>
      </w:r>
      <w:r w:rsidR="00E22A6A">
        <w:rPr>
          <w:rFonts w:ascii="Times New Roman" w:hAnsi="Times New Roman" w:cs="Times New Roman"/>
          <w:sz w:val="24"/>
          <w:szCs w:val="24"/>
        </w:rPr>
        <w:t xml:space="preserve">any excess reserve that are available from </w:t>
      </w:r>
      <w:r w:rsidR="003F6C7A">
        <w:rPr>
          <w:rFonts w:ascii="Times New Roman" w:hAnsi="Times New Roman" w:cs="Times New Roman"/>
          <w:sz w:val="24"/>
          <w:szCs w:val="24"/>
        </w:rPr>
        <w:t xml:space="preserve">continuing to operate </w:t>
      </w:r>
      <w:r w:rsidR="00E22A6A">
        <w:rPr>
          <w:rFonts w:ascii="Times New Roman" w:hAnsi="Times New Roman" w:cs="Times New Roman"/>
          <w:sz w:val="24"/>
          <w:szCs w:val="24"/>
        </w:rPr>
        <w:t>existing capacity</w:t>
      </w:r>
      <w:r w:rsidR="00432F98" w:rsidRPr="006B52B6">
        <w:rPr>
          <w:rFonts w:ascii="Times New Roman" w:hAnsi="Times New Roman" w:cs="Times New Roman"/>
          <w:sz w:val="24"/>
          <w:szCs w:val="24"/>
        </w:rPr>
        <w:t xml:space="preserve">, </w:t>
      </w:r>
      <w:r w:rsidR="00E36305" w:rsidRPr="006B52B6">
        <w:rPr>
          <w:rFonts w:ascii="Times New Roman" w:hAnsi="Times New Roman" w:cs="Times New Roman"/>
          <w:sz w:val="24"/>
          <w:szCs w:val="24"/>
        </w:rPr>
        <w:t xml:space="preserve">additions of new capacity, </w:t>
      </w:r>
      <w:r w:rsidR="00C66128" w:rsidRPr="006B52B6">
        <w:rPr>
          <w:rFonts w:ascii="Times New Roman" w:hAnsi="Times New Roman" w:cs="Times New Roman"/>
          <w:sz w:val="24"/>
          <w:szCs w:val="24"/>
        </w:rPr>
        <w:t>reduced total resource requirements from increases in energy efficiency</w:t>
      </w:r>
      <w:r w:rsidR="00E22A6A">
        <w:rPr>
          <w:rFonts w:ascii="Times New Roman" w:hAnsi="Times New Roman" w:cs="Times New Roman"/>
          <w:sz w:val="24"/>
          <w:szCs w:val="24"/>
        </w:rPr>
        <w:t>, and the ability to shift transmission among regions</w:t>
      </w:r>
      <w:r w:rsidR="003F6C7A">
        <w:rPr>
          <w:rFonts w:ascii="Times New Roman" w:hAnsi="Times New Roman" w:cs="Times New Roman"/>
          <w:sz w:val="24"/>
          <w:szCs w:val="24"/>
        </w:rPr>
        <w:t xml:space="preserve"> as the </w:t>
      </w:r>
      <w:r w:rsidR="003F6C7A">
        <w:rPr>
          <w:rFonts w:ascii="Times New Roman" w:hAnsi="Times New Roman" w:cs="Times New Roman"/>
          <w:sz w:val="24"/>
          <w:szCs w:val="24"/>
        </w:rPr>
        <w:lastRenderedPageBreak/>
        <w:t>generating capacity mix changes</w:t>
      </w:r>
      <w:r w:rsidR="000277E0">
        <w:rPr>
          <w:rFonts w:ascii="Times New Roman" w:hAnsi="Times New Roman" w:cs="Times New Roman"/>
          <w:sz w:val="24"/>
          <w:szCs w:val="24"/>
        </w:rPr>
        <w:t xml:space="preserve">. </w:t>
      </w:r>
      <w:r w:rsidR="00EA3011" w:rsidRPr="006B52B6">
        <w:rPr>
          <w:rFonts w:ascii="Times New Roman" w:hAnsi="Times New Roman" w:cs="Times New Roman"/>
          <w:sz w:val="24"/>
          <w:szCs w:val="24"/>
        </w:rPr>
        <w:t xml:space="preserve">As the table shows, </w:t>
      </w:r>
      <w:r w:rsidR="00C66128" w:rsidRPr="006B52B6">
        <w:rPr>
          <w:rFonts w:ascii="Times New Roman" w:hAnsi="Times New Roman" w:cs="Times New Roman"/>
          <w:sz w:val="24"/>
          <w:szCs w:val="24"/>
        </w:rPr>
        <w:t>the reduced resource needs permit lower capacity additions even though there are substantial increases in retirements</w:t>
      </w:r>
      <w:r w:rsidR="000277E0">
        <w:rPr>
          <w:rFonts w:ascii="Times New Roman" w:hAnsi="Times New Roman" w:cs="Times New Roman"/>
          <w:sz w:val="24"/>
          <w:szCs w:val="24"/>
        </w:rPr>
        <w:t xml:space="preserve">. </w:t>
      </w:r>
      <w:r w:rsidR="00432F98" w:rsidRPr="006B52B6">
        <w:rPr>
          <w:rFonts w:ascii="Times New Roman" w:hAnsi="Times New Roman" w:cs="Times New Roman"/>
          <w:sz w:val="24"/>
          <w:szCs w:val="24"/>
        </w:rPr>
        <w:t xml:space="preserve">Each of these </w:t>
      </w:r>
      <w:r w:rsidR="00ED5BBA">
        <w:rPr>
          <w:rFonts w:ascii="Times New Roman" w:hAnsi="Times New Roman" w:cs="Times New Roman"/>
          <w:sz w:val="24"/>
          <w:szCs w:val="24"/>
        </w:rPr>
        <w:t>CPP</w:t>
      </w:r>
      <w:r w:rsidR="00ED5BBA" w:rsidRPr="006B52B6">
        <w:rPr>
          <w:rFonts w:ascii="Times New Roman" w:hAnsi="Times New Roman" w:cs="Times New Roman"/>
          <w:sz w:val="24"/>
          <w:szCs w:val="24"/>
        </w:rPr>
        <w:t xml:space="preserve"> </w:t>
      </w:r>
      <w:r w:rsidR="00B83750">
        <w:rPr>
          <w:rFonts w:ascii="Times New Roman" w:hAnsi="Times New Roman" w:cs="Times New Roman"/>
          <w:sz w:val="24"/>
          <w:szCs w:val="24"/>
        </w:rPr>
        <w:t xml:space="preserve">rate based policy </w:t>
      </w:r>
      <w:r w:rsidR="008620D7" w:rsidRPr="006B52B6">
        <w:rPr>
          <w:rFonts w:ascii="Times New Roman" w:hAnsi="Times New Roman" w:cs="Times New Roman"/>
          <w:sz w:val="24"/>
          <w:szCs w:val="24"/>
        </w:rPr>
        <w:t>case changes</w:t>
      </w:r>
      <w:r w:rsidR="00432F98" w:rsidRPr="006B52B6">
        <w:rPr>
          <w:rFonts w:ascii="Times New Roman" w:hAnsi="Times New Roman" w:cs="Times New Roman"/>
          <w:sz w:val="24"/>
          <w:szCs w:val="24"/>
        </w:rPr>
        <w:t xml:space="preserve"> </w:t>
      </w:r>
      <w:proofErr w:type="gramStart"/>
      <w:r w:rsidR="00432F98" w:rsidRPr="006B52B6">
        <w:rPr>
          <w:rFonts w:ascii="Times New Roman" w:hAnsi="Times New Roman" w:cs="Times New Roman"/>
          <w:sz w:val="24"/>
          <w:szCs w:val="24"/>
        </w:rPr>
        <w:t>is discussed</w:t>
      </w:r>
      <w:proofErr w:type="gramEnd"/>
      <w:r w:rsidR="00432F98" w:rsidRPr="006B52B6">
        <w:rPr>
          <w:rFonts w:ascii="Times New Roman" w:hAnsi="Times New Roman" w:cs="Times New Roman"/>
          <w:sz w:val="24"/>
          <w:szCs w:val="24"/>
        </w:rPr>
        <w:t xml:space="preserve"> further below.</w:t>
      </w:r>
    </w:p>
    <w:p w14:paraId="32B1A1F8" w14:textId="73EE8C25" w:rsidR="00432F98" w:rsidRPr="006B52B6" w:rsidRDefault="00432F98" w:rsidP="006B52B6">
      <w:pPr>
        <w:spacing w:line="360" w:lineRule="auto"/>
        <w:rPr>
          <w:rFonts w:ascii="Times New Roman" w:hAnsi="Times New Roman" w:cs="Times New Roman"/>
          <w:b/>
          <w:sz w:val="24"/>
          <w:szCs w:val="24"/>
        </w:rPr>
      </w:pPr>
      <w:r w:rsidRPr="006B52B6">
        <w:rPr>
          <w:rFonts w:ascii="Times New Roman" w:hAnsi="Times New Roman" w:cs="Times New Roman"/>
          <w:b/>
          <w:sz w:val="24"/>
          <w:szCs w:val="24"/>
        </w:rPr>
        <w:t xml:space="preserve">Reduction in </w:t>
      </w:r>
      <w:r w:rsidR="003F6C7A">
        <w:rPr>
          <w:rFonts w:ascii="Times New Roman" w:hAnsi="Times New Roman" w:cs="Times New Roman"/>
          <w:b/>
          <w:sz w:val="24"/>
          <w:szCs w:val="24"/>
        </w:rPr>
        <w:t xml:space="preserve">Reserve Requirements and </w:t>
      </w:r>
      <w:r w:rsidRPr="006B52B6">
        <w:rPr>
          <w:rFonts w:ascii="Times New Roman" w:hAnsi="Times New Roman" w:cs="Times New Roman"/>
          <w:b/>
          <w:sz w:val="24"/>
          <w:szCs w:val="24"/>
        </w:rPr>
        <w:t>Excess Reserves</w:t>
      </w:r>
      <w:r w:rsidR="003F6C7A">
        <w:rPr>
          <w:rFonts w:ascii="Times New Roman" w:hAnsi="Times New Roman" w:cs="Times New Roman"/>
          <w:b/>
          <w:sz w:val="24"/>
          <w:szCs w:val="24"/>
        </w:rPr>
        <w:t xml:space="preserve"> </w:t>
      </w:r>
    </w:p>
    <w:p w14:paraId="639F6D3A" w14:textId="0995FBA1" w:rsidR="00045E5B" w:rsidRPr="006B52B6" w:rsidRDefault="00432F98"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IPM uses a target reserve margin in each region</w:t>
      </w:r>
      <w:r w:rsidR="00031AA0" w:rsidRPr="006B52B6">
        <w:rPr>
          <w:rStyle w:val="FootnoteReference"/>
          <w:rFonts w:ascii="Times New Roman" w:hAnsi="Times New Roman" w:cs="Times New Roman"/>
          <w:sz w:val="24"/>
          <w:szCs w:val="24"/>
        </w:rPr>
        <w:footnoteReference w:id="8"/>
      </w:r>
      <w:r w:rsidRPr="006B52B6">
        <w:rPr>
          <w:rFonts w:ascii="Times New Roman" w:hAnsi="Times New Roman" w:cs="Times New Roman"/>
          <w:sz w:val="24"/>
          <w:szCs w:val="24"/>
        </w:rPr>
        <w:t xml:space="preserve"> as the basis for determining how much capacity to keep operational in order to preserve resource adequacy</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 xml:space="preserve">IPM retires capacity if it </w:t>
      </w:r>
      <w:proofErr w:type="gramStart"/>
      <w:r w:rsidRPr="006B52B6">
        <w:rPr>
          <w:rFonts w:ascii="Times New Roman" w:hAnsi="Times New Roman" w:cs="Times New Roman"/>
          <w:sz w:val="24"/>
          <w:szCs w:val="24"/>
        </w:rPr>
        <w:t>is no longer needed</w:t>
      </w:r>
      <w:proofErr w:type="gramEnd"/>
      <w:r w:rsidRPr="006B52B6">
        <w:rPr>
          <w:rFonts w:ascii="Times New Roman" w:hAnsi="Times New Roman" w:cs="Times New Roman"/>
          <w:sz w:val="24"/>
          <w:szCs w:val="24"/>
        </w:rPr>
        <w:t xml:space="preserve"> to provide energy for load or </w:t>
      </w:r>
      <w:r w:rsidR="00AD38ED" w:rsidRPr="006B52B6">
        <w:rPr>
          <w:rFonts w:ascii="Times New Roman" w:hAnsi="Times New Roman" w:cs="Times New Roman"/>
          <w:sz w:val="24"/>
          <w:szCs w:val="24"/>
        </w:rPr>
        <w:t xml:space="preserve">to provide capacity </w:t>
      </w:r>
      <w:r w:rsidRPr="006B52B6">
        <w:rPr>
          <w:rFonts w:ascii="Times New Roman" w:hAnsi="Times New Roman" w:cs="Times New Roman"/>
          <w:sz w:val="24"/>
          <w:szCs w:val="24"/>
        </w:rPr>
        <w:t>to meet reserve margin during the planning horizon of the projections</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 xml:space="preserve">Since current </w:t>
      </w:r>
      <w:r w:rsidR="00125DA9" w:rsidRPr="006B52B6">
        <w:rPr>
          <w:rFonts w:ascii="Times New Roman" w:hAnsi="Times New Roman" w:cs="Times New Roman"/>
          <w:sz w:val="24"/>
          <w:szCs w:val="24"/>
        </w:rPr>
        <w:t xml:space="preserve">regional </w:t>
      </w:r>
      <w:r w:rsidRPr="006B52B6">
        <w:rPr>
          <w:rFonts w:ascii="Times New Roman" w:hAnsi="Times New Roman" w:cs="Times New Roman"/>
          <w:sz w:val="24"/>
          <w:szCs w:val="24"/>
        </w:rPr>
        <w:t>reserves are generally higher than the target reserve margin for the</w:t>
      </w:r>
      <w:r w:rsidR="00AD38ED" w:rsidRPr="006B52B6">
        <w:rPr>
          <w:rFonts w:ascii="Times New Roman" w:hAnsi="Times New Roman" w:cs="Times New Roman"/>
          <w:sz w:val="24"/>
          <w:szCs w:val="24"/>
        </w:rPr>
        <w:t xml:space="preserve"> region, </w:t>
      </w:r>
      <w:r w:rsidR="009C6B63" w:rsidRPr="006B52B6">
        <w:rPr>
          <w:rFonts w:ascii="Times New Roman" w:hAnsi="Times New Roman" w:cs="Times New Roman"/>
          <w:sz w:val="24"/>
          <w:szCs w:val="24"/>
        </w:rPr>
        <w:t>and</w:t>
      </w:r>
      <w:r w:rsidR="00E36305" w:rsidRPr="006B52B6">
        <w:rPr>
          <w:rFonts w:ascii="Times New Roman" w:hAnsi="Times New Roman" w:cs="Times New Roman"/>
          <w:sz w:val="24"/>
          <w:szCs w:val="24"/>
        </w:rPr>
        <w:t xml:space="preserve"> increased energy efficiency </w:t>
      </w:r>
      <w:r w:rsidR="008E7B69" w:rsidRPr="006B52B6">
        <w:rPr>
          <w:rFonts w:ascii="Times New Roman" w:hAnsi="Times New Roman" w:cs="Times New Roman"/>
          <w:sz w:val="24"/>
          <w:szCs w:val="24"/>
        </w:rPr>
        <w:t>will</w:t>
      </w:r>
      <w:r w:rsidR="009C6B63" w:rsidRPr="006B52B6">
        <w:rPr>
          <w:rFonts w:ascii="Times New Roman" w:hAnsi="Times New Roman" w:cs="Times New Roman"/>
          <w:sz w:val="24"/>
          <w:szCs w:val="24"/>
        </w:rPr>
        <w:t xml:space="preserve"> reduce the need for reserves, </w:t>
      </w:r>
      <w:r w:rsidR="00AD38ED" w:rsidRPr="006B52B6">
        <w:rPr>
          <w:rFonts w:ascii="Times New Roman" w:hAnsi="Times New Roman" w:cs="Times New Roman"/>
          <w:sz w:val="24"/>
          <w:szCs w:val="24"/>
        </w:rPr>
        <w:t>IPM may retire reserve</w:t>
      </w:r>
      <w:r w:rsidRPr="006B52B6">
        <w:rPr>
          <w:rFonts w:ascii="Times New Roman" w:hAnsi="Times New Roman" w:cs="Times New Roman"/>
          <w:sz w:val="24"/>
          <w:szCs w:val="24"/>
        </w:rPr>
        <w:t xml:space="preserve"> </w:t>
      </w:r>
      <w:r w:rsidR="00031AA0" w:rsidRPr="006B52B6">
        <w:rPr>
          <w:rFonts w:ascii="Times New Roman" w:hAnsi="Times New Roman" w:cs="Times New Roman"/>
          <w:sz w:val="24"/>
          <w:szCs w:val="24"/>
        </w:rPr>
        <w:t xml:space="preserve">capacity </w:t>
      </w:r>
      <w:r w:rsidRPr="006B52B6">
        <w:rPr>
          <w:rFonts w:ascii="Times New Roman" w:hAnsi="Times New Roman" w:cs="Times New Roman"/>
          <w:sz w:val="24"/>
          <w:szCs w:val="24"/>
        </w:rPr>
        <w:t xml:space="preserve">in </w:t>
      </w:r>
      <w:r w:rsidR="00031AA0" w:rsidRPr="006B52B6">
        <w:rPr>
          <w:rFonts w:ascii="Times New Roman" w:hAnsi="Times New Roman" w:cs="Times New Roman"/>
          <w:sz w:val="24"/>
          <w:szCs w:val="24"/>
        </w:rPr>
        <w:t>20</w:t>
      </w:r>
      <w:r w:rsidR="00E62D06" w:rsidRPr="006B52B6">
        <w:rPr>
          <w:rFonts w:ascii="Times New Roman" w:hAnsi="Times New Roman" w:cs="Times New Roman"/>
          <w:sz w:val="24"/>
          <w:szCs w:val="24"/>
        </w:rPr>
        <w:t>2</w:t>
      </w:r>
      <w:r w:rsidR="003F6C7A">
        <w:rPr>
          <w:rFonts w:ascii="Times New Roman" w:hAnsi="Times New Roman" w:cs="Times New Roman"/>
          <w:sz w:val="24"/>
          <w:szCs w:val="24"/>
        </w:rPr>
        <w:t>5</w:t>
      </w:r>
      <w:r w:rsidR="00031AA0" w:rsidRPr="006B52B6">
        <w:rPr>
          <w:rFonts w:ascii="Times New Roman" w:hAnsi="Times New Roman" w:cs="Times New Roman"/>
          <w:sz w:val="24"/>
          <w:szCs w:val="24"/>
        </w:rPr>
        <w:t xml:space="preserve"> if it is not economic </w:t>
      </w:r>
      <w:r w:rsidR="00780F33" w:rsidRPr="006B52B6">
        <w:rPr>
          <w:rFonts w:ascii="Times New Roman" w:hAnsi="Times New Roman" w:cs="Times New Roman"/>
          <w:sz w:val="24"/>
          <w:szCs w:val="24"/>
        </w:rPr>
        <w:t xml:space="preserve">to use it </w:t>
      </w:r>
      <w:r w:rsidR="00031AA0" w:rsidRPr="006B52B6">
        <w:rPr>
          <w:rFonts w:ascii="Times New Roman" w:hAnsi="Times New Roman" w:cs="Times New Roman"/>
          <w:sz w:val="24"/>
          <w:szCs w:val="24"/>
        </w:rPr>
        <w:t xml:space="preserve">to maintain </w:t>
      </w:r>
      <w:r w:rsidR="009C6B63" w:rsidRPr="006B52B6">
        <w:rPr>
          <w:rFonts w:ascii="Times New Roman" w:hAnsi="Times New Roman" w:cs="Times New Roman"/>
          <w:sz w:val="24"/>
          <w:szCs w:val="24"/>
        </w:rPr>
        <w:t>adequate reserve margins</w:t>
      </w:r>
      <w:r w:rsidR="000277E0">
        <w:rPr>
          <w:rFonts w:ascii="Times New Roman" w:hAnsi="Times New Roman" w:cs="Times New Roman"/>
          <w:sz w:val="24"/>
          <w:szCs w:val="24"/>
        </w:rPr>
        <w:t xml:space="preserve">. </w:t>
      </w:r>
      <w:r w:rsidR="009C6B63" w:rsidRPr="006B52B6">
        <w:rPr>
          <w:rFonts w:ascii="Times New Roman" w:hAnsi="Times New Roman" w:cs="Times New Roman"/>
          <w:sz w:val="24"/>
          <w:szCs w:val="24"/>
        </w:rPr>
        <w:t>Existing resources may also be more expensive</w:t>
      </w:r>
      <w:r w:rsidR="007547F9" w:rsidRPr="006B52B6">
        <w:rPr>
          <w:rFonts w:ascii="Times New Roman" w:hAnsi="Times New Roman" w:cs="Times New Roman"/>
          <w:sz w:val="24"/>
          <w:szCs w:val="24"/>
        </w:rPr>
        <w:t>, compared</w:t>
      </w:r>
      <w:r w:rsidR="00031AA0" w:rsidRPr="006B52B6">
        <w:rPr>
          <w:rFonts w:ascii="Times New Roman" w:hAnsi="Times New Roman" w:cs="Times New Roman"/>
          <w:sz w:val="24"/>
          <w:szCs w:val="24"/>
        </w:rPr>
        <w:t xml:space="preserve"> to alternatives such as building new capacity or transferring capacity from another region</w:t>
      </w:r>
      <w:r w:rsidR="000277E0">
        <w:rPr>
          <w:rFonts w:ascii="Times New Roman" w:hAnsi="Times New Roman" w:cs="Times New Roman"/>
          <w:sz w:val="24"/>
          <w:szCs w:val="24"/>
        </w:rPr>
        <w:t xml:space="preserve">. </w:t>
      </w:r>
      <w:r w:rsidR="00031AA0" w:rsidRPr="006B52B6">
        <w:rPr>
          <w:rFonts w:ascii="Times New Roman" w:hAnsi="Times New Roman" w:cs="Times New Roman"/>
          <w:sz w:val="24"/>
          <w:szCs w:val="24"/>
        </w:rPr>
        <w:t xml:space="preserve">As a result, many of the plants that </w:t>
      </w:r>
      <w:proofErr w:type="gramStart"/>
      <w:r w:rsidR="00031AA0" w:rsidRPr="006B52B6">
        <w:rPr>
          <w:rFonts w:ascii="Times New Roman" w:hAnsi="Times New Roman" w:cs="Times New Roman"/>
          <w:sz w:val="24"/>
          <w:szCs w:val="24"/>
        </w:rPr>
        <w:t>are projected</w:t>
      </w:r>
      <w:proofErr w:type="gramEnd"/>
      <w:r w:rsidR="00031AA0" w:rsidRPr="006B52B6">
        <w:rPr>
          <w:rFonts w:ascii="Times New Roman" w:hAnsi="Times New Roman" w:cs="Times New Roman"/>
          <w:sz w:val="24"/>
          <w:szCs w:val="24"/>
        </w:rPr>
        <w:t xml:space="preserve"> to retire in 20</w:t>
      </w:r>
      <w:r w:rsidR="007547F9" w:rsidRPr="006B52B6">
        <w:rPr>
          <w:rFonts w:ascii="Times New Roman" w:hAnsi="Times New Roman" w:cs="Times New Roman"/>
          <w:sz w:val="24"/>
          <w:szCs w:val="24"/>
        </w:rPr>
        <w:t>2</w:t>
      </w:r>
      <w:r w:rsidR="003F6C7A">
        <w:rPr>
          <w:rFonts w:ascii="Times New Roman" w:hAnsi="Times New Roman" w:cs="Times New Roman"/>
          <w:sz w:val="24"/>
          <w:szCs w:val="24"/>
        </w:rPr>
        <w:t>5</w:t>
      </w:r>
      <w:r w:rsidR="00031AA0" w:rsidRPr="006B52B6">
        <w:rPr>
          <w:rFonts w:ascii="Times New Roman" w:hAnsi="Times New Roman" w:cs="Times New Roman"/>
          <w:sz w:val="24"/>
          <w:szCs w:val="24"/>
        </w:rPr>
        <w:t xml:space="preserve"> will not need to be replaced</w:t>
      </w:r>
      <w:r w:rsidR="000277E0">
        <w:rPr>
          <w:rFonts w:ascii="Times New Roman" w:hAnsi="Times New Roman" w:cs="Times New Roman"/>
          <w:sz w:val="24"/>
          <w:szCs w:val="24"/>
        </w:rPr>
        <w:t xml:space="preserve">. </w:t>
      </w:r>
      <w:r w:rsidR="003F6C7A">
        <w:rPr>
          <w:rFonts w:ascii="Times New Roman" w:hAnsi="Times New Roman" w:cs="Times New Roman"/>
          <w:sz w:val="24"/>
          <w:szCs w:val="24"/>
        </w:rPr>
        <w:t xml:space="preserve"> </w:t>
      </w:r>
      <w:r w:rsidR="006E25AF">
        <w:rPr>
          <w:rFonts w:ascii="Times New Roman" w:hAnsi="Times New Roman" w:cs="Times New Roman"/>
          <w:sz w:val="24"/>
          <w:szCs w:val="24"/>
        </w:rPr>
        <w:t xml:space="preserve">Because existing plants eventually retire in most regions, and IPM builds no more than what it needs to maintain a target reserve margin in each region, the actual reserve margins tend to approach the target reserve margins over time.  </w:t>
      </w:r>
    </w:p>
    <w:p w14:paraId="762E2481" w14:textId="060D5FE0" w:rsidR="00EC5931" w:rsidRPr="006B52B6" w:rsidRDefault="001A5ACE"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 xml:space="preserve">Table </w:t>
      </w:r>
      <w:proofErr w:type="gramStart"/>
      <w:r w:rsidRPr="006B52B6">
        <w:rPr>
          <w:rFonts w:ascii="Times New Roman" w:hAnsi="Times New Roman" w:cs="Times New Roman"/>
          <w:sz w:val="24"/>
          <w:szCs w:val="24"/>
        </w:rPr>
        <w:t>1</w:t>
      </w:r>
      <w:proofErr w:type="gramEnd"/>
      <w:r w:rsidR="00031AA0" w:rsidRPr="006B52B6">
        <w:rPr>
          <w:rFonts w:ascii="Times New Roman" w:hAnsi="Times New Roman" w:cs="Times New Roman"/>
          <w:sz w:val="24"/>
          <w:szCs w:val="24"/>
        </w:rPr>
        <w:t xml:space="preserve"> above shows that </w:t>
      </w:r>
      <w:r w:rsidR="00134437" w:rsidRPr="006B52B6">
        <w:rPr>
          <w:rFonts w:ascii="Times New Roman" w:hAnsi="Times New Roman" w:cs="Times New Roman"/>
          <w:sz w:val="24"/>
          <w:szCs w:val="24"/>
        </w:rPr>
        <w:t>operational</w:t>
      </w:r>
      <w:r w:rsidR="002B059C">
        <w:rPr>
          <w:rFonts w:ascii="Times New Roman" w:hAnsi="Times New Roman" w:cs="Times New Roman"/>
          <w:sz w:val="24"/>
          <w:szCs w:val="24"/>
        </w:rPr>
        <w:t xml:space="preserve"> </w:t>
      </w:r>
      <w:r w:rsidR="002B059C" w:rsidRPr="002B059C">
        <w:rPr>
          <w:rFonts w:ascii="Times New Roman" w:hAnsi="Times New Roman" w:cs="Times New Roman"/>
          <w:i/>
          <w:sz w:val="24"/>
          <w:szCs w:val="24"/>
        </w:rPr>
        <w:t>generating</w:t>
      </w:r>
      <w:r w:rsidR="00134437" w:rsidRPr="006B52B6">
        <w:rPr>
          <w:rFonts w:ascii="Times New Roman" w:hAnsi="Times New Roman" w:cs="Times New Roman"/>
          <w:sz w:val="24"/>
          <w:szCs w:val="24"/>
        </w:rPr>
        <w:t xml:space="preserve"> capacity is reduced by </w:t>
      </w:r>
      <w:r w:rsidR="007231C7">
        <w:rPr>
          <w:rFonts w:ascii="Times New Roman" w:hAnsi="Times New Roman" w:cs="Times New Roman"/>
          <w:sz w:val="24"/>
          <w:szCs w:val="24"/>
        </w:rPr>
        <w:t>48,</w:t>
      </w:r>
      <w:r w:rsidR="00F559D6">
        <w:rPr>
          <w:rFonts w:ascii="Times New Roman" w:hAnsi="Times New Roman" w:cs="Times New Roman"/>
          <w:sz w:val="24"/>
          <w:szCs w:val="24"/>
        </w:rPr>
        <w:t>587</w:t>
      </w:r>
      <w:r w:rsidR="007231C7">
        <w:rPr>
          <w:rFonts w:ascii="Times New Roman" w:hAnsi="Times New Roman" w:cs="Times New Roman"/>
          <w:sz w:val="24"/>
          <w:szCs w:val="24"/>
        </w:rPr>
        <w:t>MW</w:t>
      </w:r>
      <w:r w:rsidR="00D40543" w:rsidRPr="006B52B6">
        <w:rPr>
          <w:rFonts w:ascii="Times New Roman" w:hAnsi="Times New Roman" w:cs="Times New Roman"/>
          <w:sz w:val="24"/>
          <w:szCs w:val="24"/>
        </w:rPr>
        <w:t xml:space="preserve"> </w:t>
      </w:r>
      <w:r w:rsidR="0036279B">
        <w:rPr>
          <w:rFonts w:ascii="Times New Roman" w:hAnsi="Times New Roman" w:cs="Times New Roman"/>
          <w:sz w:val="24"/>
          <w:szCs w:val="24"/>
        </w:rPr>
        <w:t>(</w:t>
      </w:r>
      <w:r w:rsidR="00E22A6A">
        <w:rPr>
          <w:rFonts w:ascii="Times New Roman" w:hAnsi="Times New Roman" w:cs="Times New Roman"/>
          <w:sz w:val="24"/>
          <w:szCs w:val="24"/>
        </w:rPr>
        <w:t>4.</w:t>
      </w:r>
      <w:r w:rsidR="00F559D6">
        <w:rPr>
          <w:rFonts w:ascii="Times New Roman" w:hAnsi="Times New Roman" w:cs="Times New Roman"/>
          <w:sz w:val="24"/>
          <w:szCs w:val="24"/>
        </w:rPr>
        <w:t>8</w:t>
      </w:r>
      <w:r w:rsidR="00134437" w:rsidRPr="006B52B6">
        <w:rPr>
          <w:rFonts w:ascii="Times New Roman" w:hAnsi="Times New Roman" w:cs="Times New Roman"/>
          <w:sz w:val="24"/>
          <w:szCs w:val="24"/>
        </w:rPr>
        <w:t xml:space="preserve"> percent</w:t>
      </w:r>
      <w:r w:rsidR="0036279B">
        <w:rPr>
          <w:rFonts w:ascii="Times New Roman" w:hAnsi="Times New Roman" w:cs="Times New Roman"/>
          <w:sz w:val="24"/>
          <w:szCs w:val="24"/>
        </w:rPr>
        <w:t>)</w:t>
      </w:r>
      <w:r w:rsidR="00134437" w:rsidRPr="006B52B6">
        <w:rPr>
          <w:rFonts w:ascii="Times New Roman" w:hAnsi="Times New Roman" w:cs="Times New Roman"/>
          <w:sz w:val="24"/>
          <w:szCs w:val="24"/>
        </w:rPr>
        <w:t xml:space="preserve"> nationwide in 20</w:t>
      </w:r>
      <w:r w:rsidR="00D40543" w:rsidRPr="006B52B6">
        <w:rPr>
          <w:rFonts w:ascii="Times New Roman" w:hAnsi="Times New Roman" w:cs="Times New Roman"/>
          <w:sz w:val="24"/>
          <w:szCs w:val="24"/>
        </w:rPr>
        <w:t>2</w:t>
      </w:r>
      <w:r w:rsidR="003F6C7A">
        <w:rPr>
          <w:rFonts w:ascii="Times New Roman" w:hAnsi="Times New Roman" w:cs="Times New Roman"/>
          <w:sz w:val="24"/>
          <w:szCs w:val="24"/>
        </w:rPr>
        <w:t>5</w:t>
      </w:r>
      <w:r w:rsidR="00134437" w:rsidRPr="006B52B6">
        <w:rPr>
          <w:rFonts w:ascii="Times New Roman" w:hAnsi="Times New Roman" w:cs="Times New Roman"/>
          <w:sz w:val="24"/>
          <w:szCs w:val="24"/>
        </w:rPr>
        <w:t xml:space="preserve"> under the policy.</w:t>
      </w:r>
      <w:r w:rsidR="00E74863" w:rsidRPr="006B52B6">
        <w:rPr>
          <w:rStyle w:val="FootnoteReference"/>
          <w:rFonts w:ascii="Times New Roman" w:hAnsi="Times New Roman" w:cs="Times New Roman"/>
          <w:sz w:val="24"/>
          <w:szCs w:val="24"/>
        </w:rPr>
        <w:footnoteReference w:id="9"/>
      </w:r>
      <w:r w:rsidR="00134437" w:rsidRPr="006B52B6">
        <w:rPr>
          <w:rFonts w:ascii="Times New Roman" w:hAnsi="Times New Roman" w:cs="Times New Roman"/>
          <w:sz w:val="24"/>
          <w:szCs w:val="24"/>
        </w:rPr>
        <w:t xml:space="preserve">  </w:t>
      </w:r>
      <w:r w:rsidR="004B25CD" w:rsidRPr="006B52B6">
        <w:rPr>
          <w:rFonts w:ascii="Times New Roman" w:hAnsi="Times New Roman" w:cs="Times New Roman"/>
          <w:sz w:val="24"/>
          <w:szCs w:val="24"/>
        </w:rPr>
        <w:t xml:space="preserve">The majority of this reduction is the result of decreases </w:t>
      </w:r>
      <w:r w:rsidR="0053073C">
        <w:rPr>
          <w:rFonts w:ascii="Times New Roman" w:hAnsi="Times New Roman" w:cs="Times New Roman"/>
          <w:sz w:val="24"/>
          <w:szCs w:val="24"/>
        </w:rPr>
        <w:t xml:space="preserve">in </w:t>
      </w:r>
      <w:r w:rsidR="006E25AF">
        <w:rPr>
          <w:rFonts w:ascii="Times New Roman" w:hAnsi="Times New Roman" w:cs="Times New Roman"/>
          <w:sz w:val="24"/>
          <w:szCs w:val="24"/>
        </w:rPr>
        <w:t>the reserve requirements</w:t>
      </w:r>
      <w:r w:rsidR="002B059C">
        <w:rPr>
          <w:rFonts w:ascii="Times New Roman" w:hAnsi="Times New Roman" w:cs="Times New Roman"/>
          <w:sz w:val="24"/>
          <w:szCs w:val="24"/>
        </w:rPr>
        <w:t xml:space="preserve"> from energy efficiency under the final rule</w:t>
      </w:r>
      <w:r w:rsidR="004B25CD" w:rsidRPr="006B52B6">
        <w:rPr>
          <w:rFonts w:ascii="Times New Roman" w:hAnsi="Times New Roman" w:cs="Times New Roman"/>
          <w:sz w:val="24"/>
          <w:szCs w:val="24"/>
        </w:rPr>
        <w:t>; in 202</w:t>
      </w:r>
      <w:r w:rsidR="006E25AF">
        <w:rPr>
          <w:rFonts w:ascii="Times New Roman" w:hAnsi="Times New Roman" w:cs="Times New Roman"/>
          <w:sz w:val="24"/>
          <w:szCs w:val="24"/>
        </w:rPr>
        <w:t>5</w:t>
      </w:r>
      <w:r w:rsidR="004B25CD" w:rsidRPr="006B52B6">
        <w:rPr>
          <w:rFonts w:ascii="Times New Roman" w:hAnsi="Times New Roman" w:cs="Times New Roman"/>
          <w:sz w:val="24"/>
          <w:szCs w:val="24"/>
        </w:rPr>
        <w:t xml:space="preserve"> </w:t>
      </w:r>
      <w:r w:rsidR="006E25AF">
        <w:rPr>
          <w:rFonts w:ascii="Times New Roman" w:hAnsi="Times New Roman" w:cs="Times New Roman"/>
          <w:sz w:val="24"/>
          <w:szCs w:val="24"/>
        </w:rPr>
        <w:t xml:space="preserve">new </w:t>
      </w:r>
      <w:proofErr w:type="gramStart"/>
      <w:r w:rsidR="006E25AF">
        <w:rPr>
          <w:rFonts w:ascii="Times New Roman" w:hAnsi="Times New Roman" w:cs="Times New Roman"/>
          <w:sz w:val="24"/>
          <w:szCs w:val="24"/>
        </w:rPr>
        <w:t>energy</w:t>
      </w:r>
      <w:proofErr w:type="gramEnd"/>
      <w:r w:rsidR="006E25AF">
        <w:rPr>
          <w:rFonts w:ascii="Times New Roman" w:hAnsi="Times New Roman" w:cs="Times New Roman"/>
          <w:sz w:val="24"/>
          <w:szCs w:val="24"/>
        </w:rPr>
        <w:t xml:space="preserve"> efficiency under the final rule contributes 45,085 MW to reserve capacity</w:t>
      </w:r>
      <w:r w:rsidR="006E25AF">
        <w:rPr>
          <w:rStyle w:val="FootnoteReference"/>
          <w:rFonts w:ascii="Times New Roman" w:hAnsi="Times New Roman" w:cs="Times New Roman"/>
          <w:sz w:val="24"/>
          <w:szCs w:val="24"/>
        </w:rPr>
        <w:footnoteReference w:id="10"/>
      </w:r>
      <w:r w:rsidR="000C6FD2" w:rsidRPr="006B52B6">
        <w:rPr>
          <w:rFonts w:ascii="Times New Roman" w:hAnsi="Times New Roman" w:cs="Times New Roman"/>
          <w:sz w:val="24"/>
          <w:szCs w:val="24"/>
        </w:rPr>
        <w:t xml:space="preserve"> (see Table </w:t>
      </w:r>
      <w:r w:rsidR="00CE2E05">
        <w:rPr>
          <w:rFonts w:ascii="Times New Roman" w:hAnsi="Times New Roman" w:cs="Times New Roman"/>
          <w:sz w:val="24"/>
          <w:szCs w:val="24"/>
        </w:rPr>
        <w:t>B</w:t>
      </w:r>
      <w:r w:rsidR="000C6FD2" w:rsidRPr="006B52B6">
        <w:rPr>
          <w:rFonts w:ascii="Times New Roman" w:hAnsi="Times New Roman" w:cs="Times New Roman"/>
          <w:sz w:val="24"/>
          <w:szCs w:val="24"/>
        </w:rPr>
        <w:t>1</w:t>
      </w:r>
      <w:r w:rsidR="006E25AF">
        <w:rPr>
          <w:rFonts w:ascii="Times New Roman" w:hAnsi="Times New Roman" w:cs="Times New Roman"/>
          <w:sz w:val="24"/>
          <w:szCs w:val="24"/>
        </w:rPr>
        <w:t xml:space="preserve"> for regional detail</w:t>
      </w:r>
      <w:r w:rsidR="000C6FD2" w:rsidRPr="006B52B6">
        <w:rPr>
          <w:rFonts w:ascii="Times New Roman" w:hAnsi="Times New Roman" w:cs="Times New Roman"/>
          <w:sz w:val="24"/>
          <w:szCs w:val="24"/>
        </w:rPr>
        <w:t>)</w:t>
      </w:r>
      <w:r w:rsidR="000277E0">
        <w:rPr>
          <w:rFonts w:ascii="Times New Roman" w:hAnsi="Times New Roman" w:cs="Times New Roman"/>
          <w:sz w:val="24"/>
          <w:szCs w:val="24"/>
        </w:rPr>
        <w:t>.</w:t>
      </w:r>
      <w:r w:rsidR="007231C7">
        <w:rPr>
          <w:rFonts w:ascii="Times New Roman" w:hAnsi="Times New Roman" w:cs="Times New Roman"/>
          <w:sz w:val="24"/>
          <w:szCs w:val="24"/>
        </w:rPr>
        <w:t xml:space="preserve">  M</w:t>
      </w:r>
      <w:r w:rsidR="004B25CD" w:rsidRPr="006B52B6">
        <w:rPr>
          <w:rFonts w:ascii="Times New Roman" w:hAnsi="Times New Roman" w:cs="Times New Roman"/>
          <w:sz w:val="24"/>
          <w:szCs w:val="24"/>
        </w:rPr>
        <w:t xml:space="preserve">oreover, these reductions are from energy efficiency that is available in all hours, not just at peak, so it can substitute for existing or new </w:t>
      </w:r>
      <w:proofErr w:type="spellStart"/>
      <w:r w:rsidR="004B25CD" w:rsidRPr="006B52B6">
        <w:rPr>
          <w:rFonts w:ascii="Times New Roman" w:hAnsi="Times New Roman" w:cs="Times New Roman"/>
          <w:sz w:val="24"/>
          <w:szCs w:val="24"/>
        </w:rPr>
        <w:t>baseload</w:t>
      </w:r>
      <w:proofErr w:type="spellEnd"/>
      <w:r w:rsidR="004B25CD" w:rsidRPr="006B52B6">
        <w:rPr>
          <w:rFonts w:ascii="Times New Roman" w:hAnsi="Times New Roman" w:cs="Times New Roman"/>
          <w:sz w:val="24"/>
          <w:szCs w:val="24"/>
        </w:rPr>
        <w:t xml:space="preserve"> capacity</w:t>
      </w:r>
      <w:r w:rsidR="000277E0">
        <w:rPr>
          <w:rFonts w:ascii="Times New Roman" w:hAnsi="Times New Roman" w:cs="Times New Roman"/>
          <w:sz w:val="24"/>
          <w:szCs w:val="24"/>
        </w:rPr>
        <w:t xml:space="preserve">. </w:t>
      </w:r>
      <w:r w:rsidR="004B25CD" w:rsidRPr="006B52B6">
        <w:rPr>
          <w:rFonts w:ascii="Times New Roman" w:hAnsi="Times New Roman" w:cs="Times New Roman"/>
          <w:sz w:val="24"/>
          <w:szCs w:val="24"/>
        </w:rPr>
        <w:t xml:space="preserve">A reduction of </w:t>
      </w:r>
      <w:r w:rsidR="007231C7">
        <w:rPr>
          <w:rFonts w:ascii="Times New Roman" w:hAnsi="Times New Roman" w:cs="Times New Roman"/>
          <w:sz w:val="24"/>
          <w:szCs w:val="24"/>
        </w:rPr>
        <w:t>4.7</w:t>
      </w:r>
      <w:r w:rsidR="00E74863" w:rsidRPr="006B52B6">
        <w:rPr>
          <w:rFonts w:ascii="Times New Roman" w:hAnsi="Times New Roman" w:cs="Times New Roman"/>
          <w:sz w:val="24"/>
          <w:szCs w:val="24"/>
        </w:rPr>
        <w:t xml:space="preserve"> percent in 202</w:t>
      </w:r>
      <w:r w:rsidR="007231C7">
        <w:rPr>
          <w:rFonts w:ascii="Times New Roman" w:hAnsi="Times New Roman" w:cs="Times New Roman"/>
          <w:sz w:val="24"/>
          <w:szCs w:val="24"/>
        </w:rPr>
        <w:t>5</w:t>
      </w:r>
      <w:r w:rsidR="00E74863" w:rsidRPr="006B52B6">
        <w:rPr>
          <w:rFonts w:ascii="Times New Roman" w:hAnsi="Times New Roman" w:cs="Times New Roman"/>
          <w:sz w:val="24"/>
          <w:szCs w:val="24"/>
        </w:rPr>
        <w:t xml:space="preserve"> </w:t>
      </w:r>
      <w:r w:rsidR="00134437" w:rsidRPr="006B52B6">
        <w:rPr>
          <w:rFonts w:ascii="Times New Roman" w:hAnsi="Times New Roman" w:cs="Times New Roman"/>
          <w:sz w:val="24"/>
          <w:szCs w:val="24"/>
        </w:rPr>
        <w:t xml:space="preserve">will </w:t>
      </w:r>
      <w:r w:rsidR="006A791F" w:rsidRPr="006B52B6">
        <w:rPr>
          <w:rFonts w:ascii="Times New Roman" w:hAnsi="Times New Roman" w:cs="Times New Roman"/>
          <w:sz w:val="24"/>
          <w:szCs w:val="24"/>
        </w:rPr>
        <w:t xml:space="preserve">therefore </w:t>
      </w:r>
      <w:r w:rsidR="00134437" w:rsidRPr="006B52B6">
        <w:rPr>
          <w:rFonts w:ascii="Times New Roman" w:hAnsi="Times New Roman" w:cs="Times New Roman"/>
          <w:sz w:val="24"/>
          <w:szCs w:val="24"/>
        </w:rPr>
        <w:t>have little overall impact</w:t>
      </w:r>
      <w:r w:rsidR="007231C7">
        <w:rPr>
          <w:rFonts w:ascii="Times New Roman" w:hAnsi="Times New Roman" w:cs="Times New Roman"/>
          <w:sz w:val="24"/>
          <w:szCs w:val="24"/>
        </w:rPr>
        <w:t xml:space="preserve">, particularly given the length of time </w:t>
      </w:r>
      <w:r w:rsidR="007231C7">
        <w:rPr>
          <w:rFonts w:ascii="Times New Roman" w:hAnsi="Times New Roman" w:cs="Times New Roman"/>
          <w:sz w:val="24"/>
          <w:szCs w:val="24"/>
        </w:rPr>
        <w:lastRenderedPageBreak/>
        <w:t>available to plan for any system changes</w:t>
      </w:r>
      <w:r w:rsidR="000277E0">
        <w:rPr>
          <w:rFonts w:ascii="Times New Roman" w:hAnsi="Times New Roman" w:cs="Times New Roman"/>
          <w:sz w:val="24"/>
          <w:szCs w:val="24"/>
        </w:rPr>
        <w:t xml:space="preserve">. </w:t>
      </w:r>
      <w:r w:rsidR="00206D46" w:rsidRPr="006B52B6">
        <w:rPr>
          <w:rFonts w:ascii="Times New Roman" w:hAnsi="Times New Roman" w:cs="Times New Roman"/>
          <w:sz w:val="24"/>
          <w:szCs w:val="24"/>
        </w:rPr>
        <w:t xml:space="preserve">Moreover, </w:t>
      </w:r>
      <w:r w:rsidRPr="006B52B6">
        <w:rPr>
          <w:rFonts w:ascii="Times New Roman" w:hAnsi="Times New Roman" w:cs="Times New Roman"/>
          <w:sz w:val="24"/>
          <w:szCs w:val="24"/>
        </w:rPr>
        <w:t xml:space="preserve">retirements </w:t>
      </w:r>
      <w:proofErr w:type="gramStart"/>
      <w:r w:rsidRPr="006B52B6">
        <w:rPr>
          <w:rFonts w:ascii="Times New Roman" w:hAnsi="Times New Roman" w:cs="Times New Roman"/>
          <w:sz w:val="24"/>
          <w:szCs w:val="24"/>
        </w:rPr>
        <w:t>are distributed</w:t>
      </w:r>
      <w:proofErr w:type="gramEnd"/>
      <w:r w:rsidRPr="006B52B6">
        <w:rPr>
          <w:rFonts w:ascii="Times New Roman" w:hAnsi="Times New Roman" w:cs="Times New Roman"/>
          <w:sz w:val="24"/>
          <w:szCs w:val="24"/>
        </w:rPr>
        <w:t xml:space="preserve"> throughout the power grid, so </w:t>
      </w:r>
      <w:r w:rsidR="0053073C">
        <w:rPr>
          <w:rFonts w:ascii="Times New Roman" w:hAnsi="Times New Roman" w:cs="Times New Roman"/>
          <w:sz w:val="24"/>
          <w:szCs w:val="24"/>
        </w:rPr>
        <w:t>any impacts are expected to be small</w:t>
      </w:r>
      <w:r w:rsidR="00D344E5" w:rsidRPr="006B52B6">
        <w:rPr>
          <w:rFonts w:ascii="Times New Roman" w:hAnsi="Times New Roman" w:cs="Times New Roman"/>
          <w:sz w:val="24"/>
          <w:szCs w:val="24"/>
        </w:rPr>
        <w:t xml:space="preserve"> at the regional level</w:t>
      </w:r>
      <w:r w:rsidR="00E74863" w:rsidRPr="006B52B6">
        <w:rPr>
          <w:rFonts w:ascii="Times New Roman" w:hAnsi="Times New Roman" w:cs="Times New Roman"/>
          <w:sz w:val="24"/>
          <w:szCs w:val="24"/>
        </w:rPr>
        <w:t>.</w:t>
      </w:r>
      <w:r w:rsidR="00D344E5" w:rsidRPr="006B52B6">
        <w:rPr>
          <w:rStyle w:val="FootnoteReference"/>
          <w:rFonts w:ascii="Times New Roman" w:hAnsi="Times New Roman" w:cs="Times New Roman"/>
          <w:sz w:val="24"/>
          <w:szCs w:val="24"/>
        </w:rPr>
        <w:footnoteReference w:id="11"/>
      </w:r>
      <w:r w:rsidR="00835654" w:rsidRPr="006B52B6">
        <w:rPr>
          <w:rFonts w:ascii="Times New Roman" w:hAnsi="Times New Roman" w:cs="Times New Roman"/>
          <w:sz w:val="24"/>
          <w:szCs w:val="24"/>
        </w:rPr>
        <w:t xml:space="preserve">  </w:t>
      </w:r>
    </w:p>
    <w:p w14:paraId="633B7248" w14:textId="409465D6" w:rsidR="00045E5B" w:rsidRPr="006B52B6" w:rsidRDefault="00134437"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 xml:space="preserve">Although there are substantial </w:t>
      </w:r>
      <w:r w:rsidR="00D344E5" w:rsidRPr="006B52B6">
        <w:rPr>
          <w:rFonts w:ascii="Times New Roman" w:hAnsi="Times New Roman" w:cs="Times New Roman"/>
          <w:sz w:val="24"/>
          <w:szCs w:val="24"/>
        </w:rPr>
        <w:t xml:space="preserve">existing </w:t>
      </w:r>
      <w:r w:rsidRPr="006B52B6">
        <w:rPr>
          <w:rFonts w:ascii="Times New Roman" w:hAnsi="Times New Roman" w:cs="Times New Roman"/>
          <w:sz w:val="24"/>
          <w:szCs w:val="24"/>
        </w:rPr>
        <w:t>regional variations in reserve margin</w:t>
      </w:r>
      <w:r w:rsidR="00BD292A" w:rsidRPr="006B52B6">
        <w:rPr>
          <w:rFonts w:ascii="Times New Roman" w:hAnsi="Times New Roman" w:cs="Times New Roman"/>
          <w:sz w:val="24"/>
          <w:szCs w:val="24"/>
        </w:rPr>
        <w:t>,</w:t>
      </w:r>
      <w:r w:rsidR="001E64AB" w:rsidRPr="006B52B6">
        <w:rPr>
          <w:rFonts w:ascii="Times New Roman" w:hAnsi="Times New Roman" w:cs="Times New Roman"/>
          <w:sz w:val="24"/>
          <w:szCs w:val="24"/>
        </w:rPr>
        <w:t xml:space="preserve"> </w:t>
      </w:r>
      <w:r w:rsidRPr="006B52B6">
        <w:rPr>
          <w:rFonts w:ascii="Times New Roman" w:hAnsi="Times New Roman" w:cs="Times New Roman"/>
          <w:sz w:val="24"/>
          <w:szCs w:val="24"/>
        </w:rPr>
        <w:t xml:space="preserve">IPM adjusts regional </w:t>
      </w:r>
      <w:r w:rsidR="00F2090C">
        <w:rPr>
          <w:rFonts w:ascii="Times New Roman" w:hAnsi="Times New Roman" w:cs="Times New Roman"/>
          <w:sz w:val="24"/>
          <w:szCs w:val="24"/>
        </w:rPr>
        <w:t xml:space="preserve">operating </w:t>
      </w:r>
      <w:r w:rsidRPr="006B52B6">
        <w:rPr>
          <w:rFonts w:ascii="Times New Roman" w:hAnsi="Times New Roman" w:cs="Times New Roman"/>
          <w:sz w:val="24"/>
          <w:szCs w:val="24"/>
        </w:rPr>
        <w:t xml:space="preserve">capacities </w:t>
      </w:r>
      <w:r w:rsidR="00D344E5" w:rsidRPr="006B52B6">
        <w:rPr>
          <w:rFonts w:ascii="Times New Roman" w:hAnsi="Times New Roman" w:cs="Times New Roman"/>
          <w:sz w:val="24"/>
          <w:szCs w:val="24"/>
        </w:rPr>
        <w:t>in 20</w:t>
      </w:r>
      <w:r w:rsidR="005E3F1F" w:rsidRPr="006B52B6">
        <w:rPr>
          <w:rFonts w:ascii="Times New Roman" w:hAnsi="Times New Roman" w:cs="Times New Roman"/>
          <w:sz w:val="24"/>
          <w:szCs w:val="24"/>
        </w:rPr>
        <w:t>2</w:t>
      </w:r>
      <w:r w:rsidR="007231C7">
        <w:rPr>
          <w:rFonts w:ascii="Times New Roman" w:hAnsi="Times New Roman" w:cs="Times New Roman"/>
          <w:sz w:val="24"/>
          <w:szCs w:val="24"/>
        </w:rPr>
        <w:t>5</w:t>
      </w:r>
      <w:r w:rsidR="00D344E5" w:rsidRPr="006B52B6">
        <w:rPr>
          <w:rFonts w:ascii="Times New Roman" w:hAnsi="Times New Roman" w:cs="Times New Roman"/>
          <w:sz w:val="24"/>
          <w:szCs w:val="24"/>
        </w:rPr>
        <w:t xml:space="preserve"> to meet the specific target reserve margin in each region, through </w:t>
      </w:r>
      <w:r w:rsidR="00E74863" w:rsidRPr="006B52B6">
        <w:rPr>
          <w:rFonts w:ascii="Times New Roman" w:hAnsi="Times New Roman" w:cs="Times New Roman"/>
          <w:sz w:val="24"/>
          <w:szCs w:val="24"/>
        </w:rPr>
        <w:t>changes</w:t>
      </w:r>
      <w:r w:rsidR="00D344E5" w:rsidRPr="006B52B6">
        <w:rPr>
          <w:rFonts w:ascii="Times New Roman" w:hAnsi="Times New Roman" w:cs="Times New Roman"/>
          <w:sz w:val="24"/>
          <w:szCs w:val="24"/>
        </w:rPr>
        <w:t xml:space="preserve"> in </w:t>
      </w:r>
      <w:r w:rsidR="009C6B63" w:rsidRPr="006B52B6">
        <w:rPr>
          <w:rFonts w:ascii="Times New Roman" w:hAnsi="Times New Roman" w:cs="Times New Roman"/>
          <w:sz w:val="24"/>
          <w:szCs w:val="24"/>
        </w:rPr>
        <w:t>the level of</w:t>
      </w:r>
      <w:r w:rsidR="00D344E5" w:rsidRPr="006B52B6">
        <w:rPr>
          <w:rFonts w:ascii="Times New Roman" w:hAnsi="Times New Roman" w:cs="Times New Roman"/>
          <w:sz w:val="24"/>
          <w:szCs w:val="24"/>
        </w:rPr>
        <w:t xml:space="preserve"> retirements, construction of new generating capacity</w:t>
      </w:r>
      <w:r w:rsidR="00E74863" w:rsidRPr="006B52B6">
        <w:rPr>
          <w:rFonts w:ascii="Times New Roman" w:hAnsi="Times New Roman" w:cs="Times New Roman"/>
          <w:sz w:val="24"/>
          <w:szCs w:val="24"/>
        </w:rPr>
        <w:t>,</w:t>
      </w:r>
      <w:r w:rsidR="00D344E5" w:rsidRPr="006B52B6">
        <w:rPr>
          <w:rFonts w:ascii="Times New Roman" w:hAnsi="Times New Roman" w:cs="Times New Roman"/>
          <w:sz w:val="24"/>
          <w:szCs w:val="24"/>
        </w:rPr>
        <w:t xml:space="preserve"> </w:t>
      </w:r>
      <w:r w:rsidR="00E74863" w:rsidRPr="006B52B6">
        <w:rPr>
          <w:rFonts w:ascii="Times New Roman" w:hAnsi="Times New Roman" w:cs="Times New Roman"/>
          <w:sz w:val="24"/>
          <w:szCs w:val="24"/>
        </w:rPr>
        <w:t>or</w:t>
      </w:r>
      <w:r w:rsidRPr="006B52B6">
        <w:rPr>
          <w:rFonts w:ascii="Times New Roman" w:hAnsi="Times New Roman" w:cs="Times New Roman"/>
          <w:sz w:val="24"/>
          <w:szCs w:val="24"/>
        </w:rPr>
        <w:t xml:space="preserve"> transfers of capacity among regions to meet the specific reserve margin in each region</w:t>
      </w:r>
      <w:r w:rsidR="000277E0">
        <w:rPr>
          <w:rFonts w:ascii="Times New Roman" w:hAnsi="Times New Roman" w:cs="Times New Roman"/>
          <w:sz w:val="24"/>
          <w:szCs w:val="24"/>
        </w:rPr>
        <w:t xml:space="preserve">. </w:t>
      </w:r>
      <w:r w:rsidR="00D344E5" w:rsidRPr="006B52B6">
        <w:rPr>
          <w:rFonts w:ascii="Times New Roman" w:hAnsi="Times New Roman" w:cs="Times New Roman"/>
          <w:sz w:val="24"/>
          <w:szCs w:val="24"/>
        </w:rPr>
        <w:t xml:space="preserve">Each </w:t>
      </w:r>
      <w:r w:rsidR="008F2AC6" w:rsidRPr="006B52B6">
        <w:rPr>
          <w:rFonts w:ascii="Times New Roman" w:hAnsi="Times New Roman" w:cs="Times New Roman"/>
          <w:sz w:val="24"/>
          <w:szCs w:val="24"/>
        </w:rPr>
        <w:t>of these adjustments in the 202</w:t>
      </w:r>
      <w:r w:rsidR="007231C7">
        <w:rPr>
          <w:rFonts w:ascii="Times New Roman" w:hAnsi="Times New Roman" w:cs="Times New Roman"/>
          <w:sz w:val="24"/>
          <w:szCs w:val="24"/>
        </w:rPr>
        <w:t>5</w:t>
      </w:r>
      <w:r w:rsidR="00D344E5" w:rsidRPr="006B52B6">
        <w:rPr>
          <w:rFonts w:ascii="Times New Roman" w:hAnsi="Times New Roman" w:cs="Times New Roman"/>
          <w:sz w:val="24"/>
          <w:szCs w:val="24"/>
        </w:rPr>
        <w:t xml:space="preserve"> projections </w:t>
      </w:r>
      <w:proofErr w:type="gramStart"/>
      <w:r w:rsidR="00D344E5" w:rsidRPr="006B52B6">
        <w:rPr>
          <w:rFonts w:ascii="Times New Roman" w:hAnsi="Times New Roman" w:cs="Times New Roman"/>
          <w:sz w:val="24"/>
          <w:szCs w:val="24"/>
        </w:rPr>
        <w:t>is described</w:t>
      </w:r>
      <w:proofErr w:type="gramEnd"/>
      <w:r w:rsidR="00D344E5" w:rsidRPr="006B52B6">
        <w:rPr>
          <w:rFonts w:ascii="Times New Roman" w:hAnsi="Times New Roman" w:cs="Times New Roman"/>
          <w:sz w:val="24"/>
          <w:szCs w:val="24"/>
        </w:rPr>
        <w:t xml:space="preserve"> below.</w:t>
      </w:r>
      <w:r w:rsidRPr="006B52B6">
        <w:rPr>
          <w:rFonts w:ascii="Times New Roman" w:hAnsi="Times New Roman" w:cs="Times New Roman"/>
          <w:sz w:val="24"/>
          <w:szCs w:val="24"/>
        </w:rPr>
        <w:t xml:space="preserve"> </w:t>
      </w:r>
    </w:p>
    <w:p w14:paraId="7A9C1316" w14:textId="7BC197CB" w:rsidR="00134437" w:rsidRPr="006B52B6" w:rsidRDefault="008F2AC6" w:rsidP="006B52B6">
      <w:pPr>
        <w:spacing w:line="360" w:lineRule="auto"/>
        <w:rPr>
          <w:rFonts w:ascii="Times New Roman" w:hAnsi="Times New Roman" w:cs="Times New Roman"/>
          <w:b/>
          <w:sz w:val="24"/>
          <w:szCs w:val="24"/>
        </w:rPr>
      </w:pPr>
      <w:r w:rsidRPr="006B52B6">
        <w:rPr>
          <w:rFonts w:ascii="Times New Roman" w:hAnsi="Times New Roman" w:cs="Times New Roman"/>
          <w:b/>
          <w:sz w:val="24"/>
          <w:szCs w:val="24"/>
        </w:rPr>
        <w:t>Change</w:t>
      </w:r>
      <w:r w:rsidR="00A044D6" w:rsidRPr="006B52B6">
        <w:rPr>
          <w:rFonts w:ascii="Times New Roman" w:hAnsi="Times New Roman" w:cs="Times New Roman"/>
          <w:b/>
          <w:sz w:val="24"/>
          <w:szCs w:val="24"/>
        </w:rPr>
        <w:t>s</w:t>
      </w:r>
      <w:r w:rsidR="00134437" w:rsidRPr="006B52B6">
        <w:rPr>
          <w:rFonts w:ascii="Times New Roman" w:hAnsi="Times New Roman" w:cs="Times New Roman"/>
          <w:b/>
          <w:sz w:val="24"/>
          <w:szCs w:val="24"/>
        </w:rPr>
        <w:t xml:space="preserve"> in Retirements</w:t>
      </w:r>
      <w:r w:rsidR="00A044D6" w:rsidRPr="006B52B6">
        <w:rPr>
          <w:rFonts w:ascii="Times New Roman" w:hAnsi="Times New Roman" w:cs="Times New Roman"/>
          <w:b/>
          <w:sz w:val="24"/>
          <w:szCs w:val="24"/>
        </w:rPr>
        <w:t xml:space="preserve"> and New Capacity Additions</w:t>
      </w:r>
      <w:r w:rsidR="009E5098">
        <w:rPr>
          <w:rFonts w:ascii="Times New Roman" w:hAnsi="Times New Roman" w:cs="Times New Roman"/>
          <w:b/>
          <w:sz w:val="24"/>
          <w:szCs w:val="24"/>
        </w:rPr>
        <w:t xml:space="preserve"> in the </w:t>
      </w:r>
      <w:r w:rsidR="000E5B95">
        <w:rPr>
          <w:rFonts w:ascii="Times New Roman" w:hAnsi="Times New Roman" w:cs="Times New Roman"/>
          <w:b/>
          <w:sz w:val="24"/>
          <w:szCs w:val="24"/>
        </w:rPr>
        <w:t>CPP Scenarios</w:t>
      </w:r>
      <w:r w:rsidR="009E5098">
        <w:rPr>
          <w:rStyle w:val="FootnoteReference"/>
          <w:rFonts w:ascii="Times New Roman" w:hAnsi="Times New Roman" w:cs="Times New Roman"/>
          <w:b/>
          <w:sz w:val="24"/>
          <w:szCs w:val="24"/>
        </w:rPr>
        <w:footnoteReference w:id="12"/>
      </w:r>
    </w:p>
    <w:p w14:paraId="6C8FD52B" w14:textId="21C34D86" w:rsidR="009258A8" w:rsidRDefault="009258A8" w:rsidP="006B52B6">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incremental</w:t>
      </w:r>
      <w:r w:rsidR="0053073C">
        <w:rPr>
          <w:rFonts w:ascii="Times New Roman" w:hAnsi="Times New Roman" w:cs="Times New Roman"/>
          <w:sz w:val="24"/>
          <w:szCs w:val="24"/>
        </w:rPr>
        <w:t xml:space="preserve"> retirements in the </w:t>
      </w:r>
      <w:r w:rsidR="002B059C">
        <w:rPr>
          <w:rFonts w:ascii="Times New Roman" w:hAnsi="Times New Roman" w:cs="Times New Roman"/>
          <w:sz w:val="24"/>
          <w:szCs w:val="24"/>
        </w:rPr>
        <w:t>final rule</w:t>
      </w:r>
      <w:r>
        <w:rPr>
          <w:rFonts w:ascii="Times New Roman" w:hAnsi="Times New Roman" w:cs="Times New Roman"/>
          <w:sz w:val="24"/>
          <w:szCs w:val="24"/>
        </w:rPr>
        <w:t xml:space="preserve"> </w:t>
      </w:r>
      <w:r w:rsidR="0053073C">
        <w:rPr>
          <w:rFonts w:ascii="Times New Roman" w:hAnsi="Times New Roman" w:cs="Times New Roman"/>
          <w:sz w:val="24"/>
          <w:szCs w:val="24"/>
        </w:rPr>
        <w:t>case</w:t>
      </w:r>
      <w:r>
        <w:rPr>
          <w:rFonts w:ascii="Times New Roman" w:hAnsi="Times New Roman" w:cs="Times New Roman"/>
          <w:sz w:val="24"/>
          <w:szCs w:val="24"/>
        </w:rPr>
        <w:t xml:space="preserve"> </w:t>
      </w:r>
      <w:proofErr w:type="gramStart"/>
      <w:r>
        <w:rPr>
          <w:rFonts w:ascii="Times New Roman" w:hAnsi="Times New Roman" w:cs="Times New Roman"/>
          <w:sz w:val="24"/>
          <w:szCs w:val="24"/>
        </w:rPr>
        <w:t>are shown</w:t>
      </w:r>
      <w:proofErr w:type="gramEnd"/>
      <w:r>
        <w:rPr>
          <w:rFonts w:ascii="Times New Roman" w:hAnsi="Times New Roman" w:cs="Times New Roman"/>
          <w:sz w:val="24"/>
          <w:szCs w:val="24"/>
        </w:rPr>
        <w:t xml:space="preserve"> above in Table 1; the</w:t>
      </w:r>
      <w:r w:rsidR="002B059C">
        <w:rPr>
          <w:rFonts w:ascii="Times New Roman" w:hAnsi="Times New Roman" w:cs="Times New Roman"/>
          <w:sz w:val="24"/>
          <w:szCs w:val="24"/>
        </w:rPr>
        <w:t xml:space="preserve"> 36,931 MW of retirements </w:t>
      </w:r>
      <w:r>
        <w:rPr>
          <w:rFonts w:ascii="Times New Roman" w:hAnsi="Times New Roman" w:cs="Times New Roman"/>
          <w:sz w:val="24"/>
          <w:szCs w:val="24"/>
        </w:rPr>
        <w:t xml:space="preserve">are in addition to 69,254MW of coal and 12,973MW of oil/gas retirements already occurring in the base case.    </w:t>
      </w:r>
    </w:p>
    <w:p w14:paraId="0F9C2986" w14:textId="3F5C7CA5" w:rsidR="005F2D92" w:rsidRDefault="008704E2" w:rsidP="006B52B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By 2025, the increased level of energy efficiency in the </w:t>
      </w:r>
      <w:r w:rsidR="00ED5BBA">
        <w:rPr>
          <w:rFonts w:ascii="Times New Roman" w:hAnsi="Times New Roman" w:cs="Times New Roman"/>
          <w:sz w:val="24"/>
          <w:szCs w:val="24"/>
        </w:rPr>
        <w:t xml:space="preserve">CPP </w:t>
      </w:r>
      <w:r>
        <w:rPr>
          <w:rFonts w:ascii="Times New Roman" w:hAnsi="Times New Roman" w:cs="Times New Roman"/>
          <w:sz w:val="24"/>
          <w:szCs w:val="24"/>
        </w:rPr>
        <w:t>case</w:t>
      </w:r>
      <w:r w:rsidR="0036279B">
        <w:rPr>
          <w:rFonts w:ascii="Times New Roman" w:hAnsi="Times New Roman" w:cs="Times New Roman"/>
          <w:sz w:val="24"/>
          <w:szCs w:val="24"/>
        </w:rPr>
        <w:t>,</w:t>
      </w:r>
      <w:r>
        <w:rPr>
          <w:rFonts w:ascii="Times New Roman" w:hAnsi="Times New Roman" w:cs="Times New Roman"/>
          <w:sz w:val="24"/>
          <w:szCs w:val="24"/>
        </w:rPr>
        <w:t xml:space="preserve"> compared to the base cas</w:t>
      </w:r>
      <w:r w:rsidR="0053073C">
        <w:rPr>
          <w:rFonts w:ascii="Times New Roman" w:hAnsi="Times New Roman" w:cs="Times New Roman"/>
          <w:sz w:val="24"/>
          <w:szCs w:val="24"/>
        </w:rPr>
        <w:t xml:space="preserve">e, leads to lower levels of </w:t>
      </w:r>
      <w:r>
        <w:rPr>
          <w:rFonts w:ascii="Times New Roman" w:hAnsi="Times New Roman" w:cs="Times New Roman"/>
          <w:sz w:val="24"/>
          <w:szCs w:val="24"/>
        </w:rPr>
        <w:t>overall new capacity additions</w:t>
      </w:r>
      <w:r w:rsidR="0053073C">
        <w:rPr>
          <w:rFonts w:ascii="Times New Roman" w:hAnsi="Times New Roman" w:cs="Times New Roman"/>
          <w:sz w:val="24"/>
          <w:szCs w:val="24"/>
        </w:rPr>
        <w:t xml:space="preserve"> (s</w:t>
      </w:r>
      <w:r w:rsidR="0036279B">
        <w:rPr>
          <w:rFonts w:ascii="Times New Roman" w:hAnsi="Times New Roman" w:cs="Times New Roman"/>
          <w:sz w:val="24"/>
          <w:szCs w:val="24"/>
        </w:rPr>
        <w:t>hown regionally in</w:t>
      </w:r>
      <w:r>
        <w:rPr>
          <w:rFonts w:ascii="Times New Roman" w:hAnsi="Times New Roman" w:cs="Times New Roman"/>
          <w:sz w:val="24"/>
          <w:szCs w:val="24"/>
        </w:rPr>
        <w:t xml:space="preserve"> Table A5). </w:t>
      </w:r>
      <w:r w:rsidR="000277E0">
        <w:rPr>
          <w:rFonts w:ascii="Times New Roman" w:hAnsi="Times New Roman" w:cs="Times New Roman"/>
          <w:sz w:val="24"/>
          <w:szCs w:val="24"/>
        </w:rPr>
        <w:t xml:space="preserve"> </w:t>
      </w:r>
      <w:r w:rsidR="003879A6">
        <w:rPr>
          <w:rFonts w:ascii="Times New Roman" w:hAnsi="Times New Roman" w:cs="Times New Roman"/>
          <w:sz w:val="24"/>
          <w:szCs w:val="24"/>
        </w:rPr>
        <w:t>Renewable additions are approximately the same in both the base and policy cases</w:t>
      </w:r>
      <w:r w:rsidR="00B2104B">
        <w:rPr>
          <w:rFonts w:ascii="Times New Roman" w:hAnsi="Times New Roman" w:cs="Times New Roman"/>
          <w:sz w:val="24"/>
          <w:szCs w:val="24"/>
        </w:rPr>
        <w:t>, largely a result of reduced demand compared to the base case</w:t>
      </w:r>
      <w:r w:rsidR="003879A6">
        <w:rPr>
          <w:rFonts w:ascii="Times New Roman" w:hAnsi="Times New Roman" w:cs="Times New Roman"/>
          <w:sz w:val="24"/>
          <w:szCs w:val="24"/>
        </w:rPr>
        <w:t xml:space="preserve">.  </w:t>
      </w:r>
      <w:r>
        <w:rPr>
          <w:rFonts w:ascii="Times New Roman" w:hAnsi="Times New Roman" w:cs="Times New Roman"/>
          <w:sz w:val="24"/>
          <w:szCs w:val="24"/>
        </w:rPr>
        <w:t xml:space="preserve">The largest decreases </w:t>
      </w:r>
      <w:r w:rsidR="00B2104B">
        <w:rPr>
          <w:rFonts w:ascii="Times New Roman" w:hAnsi="Times New Roman" w:cs="Times New Roman"/>
          <w:sz w:val="24"/>
          <w:szCs w:val="24"/>
        </w:rPr>
        <w:t xml:space="preserve">in </w:t>
      </w:r>
      <w:r w:rsidR="00F70B8D">
        <w:rPr>
          <w:rFonts w:ascii="Times New Roman" w:hAnsi="Times New Roman" w:cs="Times New Roman"/>
          <w:sz w:val="24"/>
          <w:szCs w:val="24"/>
        </w:rPr>
        <w:t>new</w:t>
      </w:r>
      <w:r w:rsidR="00B2104B">
        <w:rPr>
          <w:rFonts w:ascii="Times New Roman" w:hAnsi="Times New Roman" w:cs="Times New Roman"/>
          <w:sz w:val="24"/>
          <w:szCs w:val="24"/>
        </w:rPr>
        <w:t xml:space="preserve"> capacity </w:t>
      </w:r>
      <w:r>
        <w:rPr>
          <w:rFonts w:ascii="Times New Roman" w:hAnsi="Times New Roman" w:cs="Times New Roman"/>
          <w:sz w:val="24"/>
          <w:szCs w:val="24"/>
        </w:rPr>
        <w:t xml:space="preserve">are in NGCC (7,808MW) and CT (3,131MW).  </w:t>
      </w:r>
      <w:r w:rsidR="003879A6">
        <w:rPr>
          <w:rFonts w:ascii="Times New Roman" w:hAnsi="Times New Roman" w:cs="Times New Roman"/>
          <w:sz w:val="24"/>
          <w:szCs w:val="24"/>
        </w:rPr>
        <w:t xml:space="preserve"> </w:t>
      </w:r>
      <w:r w:rsidR="00A03741" w:rsidRPr="006B52B6">
        <w:rPr>
          <w:rFonts w:ascii="Times New Roman" w:hAnsi="Times New Roman" w:cs="Times New Roman"/>
          <w:sz w:val="24"/>
          <w:szCs w:val="24"/>
        </w:rPr>
        <w:t xml:space="preserve">Although there can be local grid reliability issues in replacing some </w:t>
      </w:r>
      <w:r w:rsidR="003879A6">
        <w:rPr>
          <w:rFonts w:ascii="Times New Roman" w:hAnsi="Times New Roman" w:cs="Times New Roman"/>
          <w:sz w:val="24"/>
          <w:szCs w:val="24"/>
        </w:rPr>
        <w:t>units</w:t>
      </w:r>
      <w:r w:rsidR="00A03741" w:rsidRPr="006B52B6">
        <w:rPr>
          <w:rFonts w:ascii="Times New Roman" w:hAnsi="Times New Roman" w:cs="Times New Roman"/>
          <w:sz w:val="24"/>
          <w:szCs w:val="24"/>
        </w:rPr>
        <w:t xml:space="preserve">, these </w:t>
      </w:r>
      <w:r w:rsidR="005F3D98">
        <w:rPr>
          <w:rFonts w:ascii="Times New Roman" w:hAnsi="Times New Roman" w:cs="Times New Roman"/>
          <w:sz w:val="24"/>
          <w:szCs w:val="24"/>
        </w:rPr>
        <w:t>are expected to be manageable</w:t>
      </w:r>
      <w:r w:rsidR="00A03741" w:rsidRPr="006B52B6">
        <w:rPr>
          <w:rFonts w:ascii="Times New Roman" w:hAnsi="Times New Roman" w:cs="Times New Roman"/>
          <w:sz w:val="24"/>
          <w:szCs w:val="24"/>
        </w:rPr>
        <w:t xml:space="preserve"> within the normal reliability planning and management time frames provided by the flexible resource options and time frames in the rule</w:t>
      </w:r>
      <w:r w:rsidR="000277E0">
        <w:rPr>
          <w:rFonts w:ascii="Times New Roman" w:hAnsi="Times New Roman" w:cs="Times New Roman"/>
          <w:sz w:val="24"/>
          <w:szCs w:val="24"/>
        </w:rPr>
        <w:t>.</w:t>
      </w:r>
      <w:r w:rsidR="008C1977">
        <w:rPr>
          <w:rFonts w:ascii="Times New Roman" w:hAnsi="Times New Roman" w:cs="Times New Roman"/>
          <w:sz w:val="24"/>
          <w:szCs w:val="24"/>
        </w:rPr>
        <w:t xml:space="preserve">  These retirements and additions in the projections are the result of economic planning for energy and capacity needs</w:t>
      </w:r>
      <w:r w:rsidR="003879A6">
        <w:rPr>
          <w:rFonts w:ascii="Times New Roman" w:hAnsi="Times New Roman" w:cs="Times New Roman"/>
          <w:sz w:val="24"/>
          <w:szCs w:val="24"/>
        </w:rPr>
        <w:t xml:space="preserve"> modeled in the </w:t>
      </w:r>
      <w:proofErr w:type="gramStart"/>
      <w:r w:rsidR="003879A6">
        <w:rPr>
          <w:rFonts w:ascii="Times New Roman" w:hAnsi="Times New Roman" w:cs="Times New Roman"/>
          <w:sz w:val="24"/>
          <w:szCs w:val="24"/>
        </w:rPr>
        <w:t>projections</w:t>
      </w:r>
      <w:r w:rsidR="0036279B">
        <w:rPr>
          <w:rFonts w:ascii="Times New Roman" w:hAnsi="Times New Roman" w:cs="Times New Roman"/>
          <w:sz w:val="24"/>
          <w:szCs w:val="24"/>
        </w:rPr>
        <w:t>,</w:t>
      </w:r>
      <w:proofErr w:type="gramEnd"/>
      <w:r w:rsidR="0036279B">
        <w:rPr>
          <w:rFonts w:ascii="Times New Roman" w:hAnsi="Times New Roman" w:cs="Times New Roman"/>
          <w:sz w:val="24"/>
          <w:szCs w:val="24"/>
        </w:rPr>
        <w:t xml:space="preserve"> they are not forced on individual units.  In particular, new additions in a base case scenario that do not occur in the policy scenario projections might, in reality, be retained under a policy if local reliability conditions rendered this the most appropriate choice.  This</w:t>
      </w:r>
      <w:r w:rsidR="008C1977">
        <w:rPr>
          <w:rFonts w:ascii="Times New Roman" w:hAnsi="Times New Roman" w:cs="Times New Roman"/>
          <w:sz w:val="24"/>
          <w:szCs w:val="24"/>
        </w:rPr>
        <w:t xml:space="preserve"> rule does not prevent generation owners from shifting retirements and additions among specific sources to ensure reliability</w:t>
      </w:r>
      <w:r w:rsidR="0036279B">
        <w:rPr>
          <w:rFonts w:ascii="Times New Roman" w:hAnsi="Times New Roman" w:cs="Times New Roman"/>
          <w:sz w:val="24"/>
          <w:szCs w:val="24"/>
        </w:rPr>
        <w:t xml:space="preserve"> in such circumstances</w:t>
      </w:r>
      <w:r w:rsidR="008C1977">
        <w:rPr>
          <w:rFonts w:ascii="Times New Roman" w:hAnsi="Times New Roman" w:cs="Times New Roman"/>
          <w:sz w:val="24"/>
          <w:szCs w:val="24"/>
        </w:rPr>
        <w:t xml:space="preserve">. </w:t>
      </w:r>
      <w:r w:rsidR="003879A6">
        <w:rPr>
          <w:rFonts w:ascii="Times New Roman" w:hAnsi="Times New Roman" w:cs="Times New Roman"/>
          <w:sz w:val="24"/>
          <w:szCs w:val="24"/>
        </w:rPr>
        <w:t xml:space="preserve">  </w:t>
      </w:r>
      <w:r w:rsidR="008C1977">
        <w:rPr>
          <w:rFonts w:ascii="Times New Roman" w:hAnsi="Times New Roman" w:cs="Times New Roman"/>
          <w:sz w:val="24"/>
          <w:szCs w:val="24"/>
        </w:rPr>
        <w:t xml:space="preserve"> </w:t>
      </w:r>
      <w:r w:rsidR="000277E0">
        <w:rPr>
          <w:rFonts w:ascii="Times New Roman" w:hAnsi="Times New Roman" w:cs="Times New Roman"/>
          <w:sz w:val="24"/>
          <w:szCs w:val="24"/>
        </w:rPr>
        <w:t xml:space="preserve"> </w:t>
      </w:r>
      <w:r w:rsidR="008A1E8E">
        <w:rPr>
          <w:rFonts w:ascii="Times New Roman" w:hAnsi="Times New Roman" w:cs="Times New Roman"/>
          <w:sz w:val="24"/>
          <w:szCs w:val="24"/>
        </w:rPr>
        <w:t xml:space="preserve"> </w:t>
      </w:r>
      <w:r w:rsidR="005F2D92">
        <w:rPr>
          <w:rFonts w:ascii="Times New Roman" w:hAnsi="Times New Roman" w:cs="Times New Roman"/>
          <w:sz w:val="24"/>
          <w:szCs w:val="24"/>
        </w:rPr>
        <w:t xml:space="preserve">  </w:t>
      </w:r>
    </w:p>
    <w:p w14:paraId="07A5EDCF" w14:textId="77777777" w:rsidR="00241194" w:rsidRPr="006B52B6" w:rsidRDefault="00241194" w:rsidP="006B52B6">
      <w:pPr>
        <w:spacing w:line="360" w:lineRule="auto"/>
        <w:rPr>
          <w:rFonts w:ascii="Times New Roman" w:hAnsi="Times New Roman" w:cs="Times New Roman"/>
          <w:b/>
          <w:sz w:val="24"/>
          <w:szCs w:val="24"/>
        </w:rPr>
      </w:pPr>
      <w:r w:rsidRPr="006B52B6">
        <w:rPr>
          <w:rFonts w:ascii="Times New Roman" w:hAnsi="Times New Roman" w:cs="Times New Roman"/>
          <w:b/>
          <w:sz w:val="24"/>
          <w:szCs w:val="24"/>
        </w:rPr>
        <w:lastRenderedPageBreak/>
        <w:t>Reserve Transfers</w:t>
      </w:r>
    </w:p>
    <w:p w14:paraId="03A0C71D" w14:textId="77777777" w:rsidR="008002FA" w:rsidRPr="006B52B6" w:rsidRDefault="00241194"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In cases where it is economic to transfer reserves from a neighboring region</w:t>
      </w:r>
      <w:r w:rsidR="00464ABF" w:rsidRPr="006B52B6">
        <w:rPr>
          <w:rFonts w:ascii="Times New Roman" w:hAnsi="Times New Roman" w:cs="Times New Roman"/>
          <w:sz w:val="24"/>
          <w:szCs w:val="24"/>
        </w:rPr>
        <w:t>,</w:t>
      </w:r>
      <w:r w:rsidRPr="006B52B6">
        <w:rPr>
          <w:rFonts w:ascii="Times New Roman" w:hAnsi="Times New Roman" w:cs="Times New Roman"/>
          <w:sz w:val="24"/>
          <w:szCs w:val="24"/>
        </w:rPr>
        <w:t xml:space="preserve"> rather tha</w:t>
      </w:r>
      <w:r w:rsidR="00464ABF" w:rsidRPr="006B52B6">
        <w:rPr>
          <w:rFonts w:ascii="Times New Roman" w:hAnsi="Times New Roman" w:cs="Times New Roman"/>
          <w:sz w:val="24"/>
          <w:szCs w:val="24"/>
        </w:rPr>
        <w:t>n</w:t>
      </w:r>
      <w:r w:rsidRPr="006B52B6">
        <w:rPr>
          <w:rFonts w:ascii="Times New Roman" w:hAnsi="Times New Roman" w:cs="Times New Roman"/>
          <w:sz w:val="24"/>
          <w:szCs w:val="24"/>
        </w:rPr>
        <w:t xml:space="preserve"> supply reserves from within a region, IPM will transfer reserves, subject to summer and winter limits that </w:t>
      </w:r>
      <w:proofErr w:type="gramStart"/>
      <w:r w:rsidRPr="006B52B6">
        <w:rPr>
          <w:rFonts w:ascii="Times New Roman" w:hAnsi="Times New Roman" w:cs="Times New Roman"/>
          <w:sz w:val="24"/>
          <w:szCs w:val="24"/>
        </w:rPr>
        <w:t>are designed</w:t>
      </w:r>
      <w:proofErr w:type="gramEnd"/>
      <w:r w:rsidRPr="006B52B6">
        <w:rPr>
          <w:rFonts w:ascii="Times New Roman" w:hAnsi="Times New Roman" w:cs="Times New Roman"/>
          <w:sz w:val="24"/>
          <w:szCs w:val="24"/>
        </w:rPr>
        <w:t xml:space="preserve"> to ensure that these reserves can be transferred reliably</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 xml:space="preserve">The transfer of reserves can occur, for example, if a region </w:t>
      </w:r>
      <w:r w:rsidR="009D30D3" w:rsidRPr="006B52B6">
        <w:rPr>
          <w:rFonts w:ascii="Times New Roman" w:hAnsi="Times New Roman" w:cs="Times New Roman"/>
          <w:sz w:val="24"/>
          <w:szCs w:val="24"/>
        </w:rPr>
        <w:t>retires</w:t>
      </w:r>
      <w:r w:rsidRPr="006B52B6">
        <w:rPr>
          <w:rFonts w:ascii="Times New Roman" w:hAnsi="Times New Roman" w:cs="Times New Roman"/>
          <w:sz w:val="24"/>
          <w:szCs w:val="24"/>
        </w:rPr>
        <w:t xml:space="preserve"> capacity </w:t>
      </w:r>
      <w:r w:rsidR="00346C3B" w:rsidRPr="006B52B6">
        <w:rPr>
          <w:rFonts w:ascii="Times New Roman" w:hAnsi="Times New Roman" w:cs="Times New Roman"/>
          <w:sz w:val="24"/>
          <w:szCs w:val="24"/>
        </w:rPr>
        <w:t xml:space="preserve">that </w:t>
      </w:r>
      <w:proofErr w:type="gramStart"/>
      <w:r w:rsidR="00346C3B" w:rsidRPr="006B52B6">
        <w:rPr>
          <w:rFonts w:ascii="Times New Roman" w:hAnsi="Times New Roman" w:cs="Times New Roman"/>
          <w:sz w:val="24"/>
          <w:szCs w:val="24"/>
        </w:rPr>
        <w:t xml:space="preserve">was </w:t>
      </w:r>
      <w:r w:rsidRPr="006B52B6">
        <w:rPr>
          <w:rFonts w:ascii="Times New Roman" w:hAnsi="Times New Roman" w:cs="Times New Roman"/>
          <w:sz w:val="24"/>
          <w:szCs w:val="24"/>
        </w:rPr>
        <w:t>used</w:t>
      </w:r>
      <w:proofErr w:type="gramEnd"/>
      <w:r w:rsidRPr="006B52B6">
        <w:rPr>
          <w:rFonts w:ascii="Times New Roman" w:hAnsi="Times New Roman" w:cs="Times New Roman"/>
          <w:sz w:val="24"/>
          <w:szCs w:val="24"/>
        </w:rPr>
        <w:t xml:space="preserve"> in the base case to meet reserve requirements</w:t>
      </w:r>
      <w:r w:rsidR="009D30D3" w:rsidRPr="006B52B6">
        <w:rPr>
          <w:rFonts w:ascii="Times New Roman" w:hAnsi="Times New Roman" w:cs="Times New Roman"/>
          <w:sz w:val="24"/>
          <w:szCs w:val="24"/>
        </w:rPr>
        <w:t>, but a neighboring region has lower cost reserves that are not needed for its own reserve requirements</w:t>
      </w:r>
      <w:r w:rsidR="000277E0">
        <w:rPr>
          <w:rFonts w:ascii="Times New Roman" w:hAnsi="Times New Roman" w:cs="Times New Roman"/>
          <w:sz w:val="24"/>
          <w:szCs w:val="24"/>
        </w:rPr>
        <w:t xml:space="preserve">. </w:t>
      </w:r>
      <w:r w:rsidR="008002FA" w:rsidRPr="006B52B6">
        <w:rPr>
          <w:rFonts w:ascii="Times New Roman" w:hAnsi="Times New Roman" w:cs="Times New Roman"/>
          <w:sz w:val="24"/>
          <w:szCs w:val="24"/>
        </w:rPr>
        <w:t xml:space="preserve">To examine these transfers, </w:t>
      </w:r>
      <w:r w:rsidR="000277E0">
        <w:rPr>
          <w:rFonts w:ascii="Times New Roman" w:hAnsi="Times New Roman" w:cs="Times New Roman"/>
          <w:sz w:val="24"/>
          <w:szCs w:val="24"/>
        </w:rPr>
        <w:t xml:space="preserve">the </w:t>
      </w:r>
      <w:r w:rsidR="008002FA" w:rsidRPr="006B52B6">
        <w:rPr>
          <w:rFonts w:ascii="Times New Roman" w:hAnsi="Times New Roman" w:cs="Times New Roman"/>
          <w:sz w:val="24"/>
          <w:szCs w:val="24"/>
        </w:rPr>
        <w:t xml:space="preserve">EPA analyzed the change in net transfers from each region, where the net transfer for the base and policy cases </w:t>
      </w:r>
      <w:proofErr w:type="gramStart"/>
      <w:r w:rsidR="008002FA" w:rsidRPr="006B52B6">
        <w:rPr>
          <w:rFonts w:ascii="Times New Roman" w:hAnsi="Times New Roman" w:cs="Times New Roman"/>
          <w:sz w:val="24"/>
          <w:szCs w:val="24"/>
        </w:rPr>
        <w:t>is measured</w:t>
      </w:r>
      <w:proofErr w:type="gramEnd"/>
      <w:r w:rsidR="008002FA" w:rsidRPr="006B52B6">
        <w:rPr>
          <w:rFonts w:ascii="Times New Roman" w:hAnsi="Times New Roman" w:cs="Times New Roman"/>
          <w:sz w:val="24"/>
          <w:szCs w:val="24"/>
        </w:rPr>
        <w:t xml:space="preserve"> by the reserves sent to neighboring regions</w:t>
      </w:r>
      <w:r w:rsidR="000277E0">
        <w:rPr>
          <w:rFonts w:ascii="Times New Roman" w:hAnsi="Times New Roman" w:cs="Times New Roman"/>
          <w:sz w:val="24"/>
          <w:szCs w:val="24"/>
        </w:rPr>
        <w:t xml:space="preserve">. </w:t>
      </w:r>
      <w:r w:rsidR="008002FA" w:rsidRPr="006B52B6">
        <w:rPr>
          <w:rFonts w:ascii="Times New Roman" w:hAnsi="Times New Roman" w:cs="Times New Roman"/>
          <w:sz w:val="24"/>
          <w:szCs w:val="24"/>
        </w:rPr>
        <w:t>In these cases, a positive value signifies the reserve capacity sent to other regions is larger than the reserve capacity received from other regions (sending and receiving regions can be different)</w:t>
      </w:r>
      <w:proofErr w:type="gramStart"/>
      <w:r w:rsidR="008002FA" w:rsidRPr="006B52B6">
        <w:rPr>
          <w:rFonts w:ascii="Times New Roman" w:hAnsi="Times New Roman" w:cs="Times New Roman"/>
          <w:sz w:val="24"/>
          <w:szCs w:val="24"/>
        </w:rPr>
        <w:t>,</w:t>
      </w:r>
      <w:proofErr w:type="gramEnd"/>
      <w:r w:rsidR="008002FA" w:rsidRPr="006B52B6">
        <w:rPr>
          <w:rFonts w:ascii="Times New Roman" w:hAnsi="Times New Roman" w:cs="Times New Roman"/>
          <w:sz w:val="24"/>
          <w:szCs w:val="24"/>
        </w:rPr>
        <w:t xml:space="preserve"> while a negative value signifies that the capacity received is larger than the capacity sent</w:t>
      </w:r>
      <w:r w:rsidR="000277E0">
        <w:rPr>
          <w:rFonts w:ascii="Times New Roman" w:hAnsi="Times New Roman" w:cs="Times New Roman"/>
          <w:sz w:val="24"/>
          <w:szCs w:val="24"/>
        </w:rPr>
        <w:t xml:space="preserve">. </w:t>
      </w:r>
      <w:r w:rsidR="008002FA" w:rsidRPr="006B52B6">
        <w:rPr>
          <w:rFonts w:ascii="Times New Roman" w:hAnsi="Times New Roman" w:cs="Times New Roman"/>
          <w:sz w:val="24"/>
          <w:szCs w:val="24"/>
        </w:rPr>
        <w:t>Thus, the value measure</w:t>
      </w:r>
      <w:r w:rsidR="00912D21" w:rsidRPr="006B52B6">
        <w:rPr>
          <w:rFonts w:ascii="Times New Roman" w:hAnsi="Times New Roman" w:cs="Times New Roman"/>
          <w:sz w:val="24"/>
          <w:szCs w:val="24"/>
        </w:rPr>
        <w:t>s</w:t>
      </w:r>
      <w:r w:rsidR="008002FA" w:rsidRPr="006B52B6">
        <w:rPr>
          <w:rFonts w:ascii="Times New Roman" w:hAnsi="Times New Roman" w:cs="Times New Roman"/>
          <w:sz w:val="24"/>
          <w:szCs w:val="24"/>
        </w:rPr>
        <w:t xml:space="preserve"> the degree to which resources in the region were reserved for use by other</w:t>
      </w:r>
      <w:r w:rsidR="00780F33" w:rsidRPr="006B52B6">
        <w:rPr>
          <w:rFonts w:ascii="Times New Roman" w:hAnsi="Times New Roman" w:cs="Times New Roman"/>
          <w:sz w:val="24"/>
          <w:szCs w:val="24"/>
        </w:rPr>
        <w:t xml:space="preserve"> regions (positive value), or</w:t>
      </w:r>
      <w:r w:rsidR="008002FA" w:rsidRPr="006B52B6">
        <w:rPr>
          <w:rFonts w:ascii="Times New Roman" w:hAnsi="Times New Roman" w:cs="Times New Roman"/>
          <w:sz w:val="24"/>
          <w:szCs w:val="24"/>
        </w:rPr>
        <w:t xml:space="preserve"> where the capacity to meet load in the region was served by resources in other regions</w:t>
      </w:r>
      <w:r w:rsidR="00912D21" w:rsidRPr="006B52B6">
        <w:rPr>
          <w:rFonts w:ascii="Times New Roman" w:hAnsi="Times New Roman" w:cs="Times New Roman"/>
          <w:sz w:val="24"/>
          <w:szCs w:val="24"/>
        </w:rPr>
        <w:t xml:space="preserve"> (negative value)</w:t>
      </w:r>
      <w:r w:rsidR="000277E0">
        <w:rPr>
          <w:rFonts w:ascii="Times New Roman" w:hAnsi="Times New Roman" w:cs="Times New Roman"/>
          <w:sz w:val="24"/>
          <w:szCs w:val="24"/>
        </w:rPr>
        <w:t xml:space="preserve">. </w:t>
      </w:r>
      <w:r w:rsidR="008002FA" w:rsidRPr="006B52B6">
        <w:rPr>
          <w:rFonts w:ascii="Times New Roman" w:hAnsi="Times New Roman" w:cs="Times New Roman"/>
          <w:sz w:val="24"/>
          <w:szCs w:val="24"/>
        </w:rPr>
        <w:t xml:space="preserve">In each </w:t>
      </w:r>
      <w:proofErr w:type="gramStart"/>
      <w:r w:rsidR="008002FA" w:rsidRPr="006B52B6">
        <w:rPr>
          <w:rFonts w:ascii="Times New Roman" w:hAnsi="Times New Roman" w:cs="Times New Roman"/>
          <w:sz w:val="24"/>
          <w:szCs w:val="24"/>
        </w:rPr>
        <w:t>case</w:t>
      </w:r>
      <w:proofErr w:type="gramEnd"/>
      <w:r w:rsidR="008002FA" w:rsidRPr="006B52B6">
        <w:rPr>
          <w:rFonts w:ascii="Times New Roman" w:hAnsi="Times New Roman" w:cs="Times New Roman"/>
          <w:sz w:val="24"/>
          <w:szCs w:val="24"/>
        </w:rPr>
        <w:t xml:space="preserve"> these reserve transfers represent the use of the transmission system on a firm basis for at least a season.</w:t>
      </w:r>
    </w:p>
    <w:p w14:paraId="4A035DC1" w14:textId="138812F7" w:rsidR="00446377" w:rsidRPr="006B52B6" w:rsidRDefault="008002FA"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 xml:space="preserve">To look at the impact of the </w:t>
      </w:r>
      <w:r w:rsidR="00ED5BBA">
        <w:rPr>
          <w:rFonts w:ascii="Times New Roman" w:hAnsi="Times New Roman" w:cs="Times New Roman"/>
          <w:sz w:val="24"/>
          <w:szCs w:val="24"/>
        </w:rPr>
        <w:t>CPP</w:t>
      </w:r>
      <w:r w:rsidR="00ED5BBA" w:rsidRPr="006B52B6">
        <w:rPr>
          <w:rFonts w:ascii="Times New Roman" w:hAnsi="Times New Roman" w:cs="Times New Roman"/>
          <w:sz w:val="24"/>
          <w:szCs w:val="24"/>
        </w:rPr>
        <w:t xml:space="preserve"> </w:t>
      </w:r>
      <w:r w:rsidRPr="006B52B6">
        <w:rPr>
          <w:rFonts w:ascii="Times New Roman" w:hAnsi="Times New Roman" w:cs="Times New Roman"/>
          <w:sz w:val="24"/>
          <w:szCs w:val="24"/>
        </w:rPr>
        <w:t>case</w:t>
      </w:r>
      <w:r w:rsidR="00780F33" w:rsidRPr="006B52B6">
        <w:rPr>
          <w:rFonts w:ascii="Times New Roman" w:hAnsi="Times New Roman" w:cs="Times New Roman"/>
          <w:sz w:val="24"/>
          <w:szCs w:val="24"/>
        </w:rPr>
        <w:t xml:space="preserve"> on transfers</w:t>
      </w:r>
      <w:r w:rsidRPr="006B52B6">
        <w:rPr>
          <w:rFonts w:ascii="Times New Roman" w:hAnsi="Times New Roman" w:cs="Times New Roman"/>
          <w:sz w:val="24"/>
          <w:szCs w:val="24"/>
        </w:rPr>
        <w:t xml:space="preserve">, the measure used was the change in the </w:t>
      </w:r>
      <w:r w:rsidR="00446377" w:rsidRPr="006B52B6">
        <w:rPr>
          <w:rFonts w:ascii="Times New Roman" w:hAnsi="Times New Roman" w:cs="Times New Roman"/>
          <w:sz w:val="24"/>
          <w:szCs w:val="24"/>
        </w:rPr>
        <w:t xml:space="preserve">summer </w:t>
      </w:r>
      <w:r w:rsidRPr="006B52B6">
        <w:rPr>
          <w:rFonts w:ascii="Times New Roman" w:hAnsi="Times New Roman" w:cs="Times New Roman"/>
          <w:sz w:val="24"/>
          <w:szCs w:val="24"/>
        </w:rPr>
        <w:t xml:space="preserve">reserves sent </w:t>
      </w:r>
      <w:r w:rsidR="00912D21" w:rsidRPr="006B52B6">
        <w:rPr>
          <w:rFonts w:ascii="Times New Roman" w:hAnsi="Times New Roman" w:cs="Times New Roman"/>
          <w:sz w:val="24"/>
          <w:szCs w:val="24"/>
        </w:rPr>
        <w:t xml:space="preserve">in the policy case </w:t>
      </w:r>
      <w:r w:rsidRPr="006B52B6">
        <w:rPr>
          <w:rFonts w:ascii="Times New Roman" w:hAnsi="Times New Roman" w:cs="Times New Roman"/>
          <w:sz w:val="24"/>
          <w:szCs w:val="24"/>
        </w:rPr>
        <w:t>compare</w:t>
      </w:r>
      <w:r w:rsidR="00446377" w:rsidRPr="006B52B6">
        <w:rPr>
          <w:rFonts w:ascii="Times New Roman" w:hAnsi="Times New Roman" w:cs="Times New Roman"/>
          <w:sz w:val="24"/>
          <w:szCs w:val="24"/>
        </w:rPr>
        <w:t>d</w:t>
      </w:r>
      <w:r w:rsidRPr="006B52B6">
        <w:rPr>
          <w:rFonts w:ascii="Times New Roman" w:hAnsi="Times New Roman" w:cs="Times New Roman"/>
          <w:sz w:val="24"/>
          <w:szCs w:val="24"/>
        </w:rPr>
        <w:t xml:space="preserve"> to the base case</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 xml:space="preserve">To develop a relative measure of the impact of the policy, the change in reserves </w:t>
      </w:r>
      <w:proofErr w:type="gramStart"/>
      <w:r w:rsidRPr="006B52B6">
        <w:rPr>
          <w:rFonts w:ascii="Times New Roman" w:hAnsi="Times New Roman" w:cs="Times New Roman"/>
          <w:sz w:val="24"/>
          <w:szCs w:val="24"/>
        </w:rPr>
        <w:t>was measure</w:t>
      </w:r>
      <w:r w:rsidR="00912D21" w:rsidRPr="006B52B6">
        <w:rPr>
          <w:rFonts w:ascii="Times New Roman" w:hAnsi="Times New Roman" w:cs="Times New Roman"/>
          <w:sz w:val="24"/>
          <w:szCs w:val="24"/>
        </w:rPr>
        <w:t>d</w:t>
      </w:r>
      <w:proofErr w:type="gramEnd"/>
      <w:r w:rsidRPr="006B52B6">
        <w:rPr>
          <w:rFonts w:ascii="Times New Roman" w:hAnsi="Times New Roman" w:cs="Times New Roman"/>
          <w:sz w:val="24"/>
          <w:szCs w:val="24"/>
        </w:rPr>
        <w:t xml:space="preserve"> as a percentage of load in the sending region</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This percentage gives an indication of the significance of the policy for changes in the grid</w:t>
      </w:r>
      <w:r w:rsidR="000277E0">
        <w:rPr>
          <w:rFonts w:ascii="Times New Roman" w:hAnsi="Times New Roman" w:cs="Times New Roman"/>
          <w:sz w:val="24"/>
          <w:szCs w:val="24"/>
        </w:rPr>
        <w:t xml:space="preserve">. </w:t>
      </w:r>
      <w:r w:rsidR="00A138C3">
        <w:rPr>
          <w:rFonts w:ascii="Times New Roman" w:hAnsi="Times New Roman" w:cs="Times New Roman"/>
          <w:sz w:val="24"/>
          <w:szCs w:val="24"/>
        </w:rPr>
        <w:t xml:space="preserve">In general, the percentage changes in the final rule are </w:t>
      </w:r>
      <w:r w:rsidR="0053073C">
        <w:rPr>
          <w:rFonts w:ascii="Times New Roman" w:hAnsi="Times New Roman" w:cs="Times New Roman"/>
          <w:sz w:val="24"/>
          <w:szCs w:val="24"/>
        </w:rPr>
        <w:t xml:space="preserve">below the changes in the </w:t>
      </w:r>
      <w:r w:rsidR="00A138C3">
        <w:rPr>
          <w:rFonts w:ascii="Times New Roman" w:hAnsi="Times New Roman" w:cs="Times New Roman"/>
          <w:sz w:val="24"/>
          <w:szCs w:val="24"/>
        </w:rPr>
        <w:t>proposed rule, and all are below 5%</w:t>
      </w:r>
      <w:r w:rsidR="00446377" w:rsidRPr="006B52B6">
        <w:rPr>
          <w:rFonts w:ascii="Times New Roman" w:hAnsi="Times New Roman" w:cs="Times New Roman"/>
          <w:sz w:val="24"/>
          <w:szCs w:val="24"/>
        </w:rPr>
        <w:t>.</w:t>
      </w:r>
      <w:r w:rsidR="00A138C3">
        <w:rPr>
          <w:rStyle w:val="FootnoteReference"/>
          <w:rFonts w:ascii="Times New Roman" w:hAnsi="Times New Roman" w:cs="Times New Roman"/>
          <w:sz w:val="24"/>
          <w:szCs w:val="24"/>
        </w:rPr>
        <w:footnoteReference w:id="13"/>
      </w:r>
      <w:r w:rsidR="001D69C9">
        <w:rPr>
          <w:rFonts w:ascii="Times New Roman" w:hAnsi="Times New Roman" w:cs="Times New Roman"/>
          <w:sz w:val="24"/>
          <w:szCs w:val="24"/>
        </w:rPr>
        <w:t xml:space="preserve">  </w:t>
      </w:r>
    </w:p>
    <w:p w14:paraId="129DC048" w14:textId="45D9E9B4" w:rsidR="00BA6F23" w:rsidRDefault="002C1513"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Using this measure, t</w:t>
      </w:r>
      <w:r w:rsidR="00446377" w:rsidRPr="006B52B6">
        <w:rPr>
          <w:rFonts w:ascii="Times New Roman" w:hAnsi="Times New Roman" w:cs="Times New Roman"/>
          <w:sz w:val="24"/>
          <w:szCs w:val="24"/>
        </w:rPr>
        <w:t xml:space="preserve">he largest </w:t>
      </w:r>
      <w:r w:rsidR="001D69C9">
        <w:rPr>
          <w:rFonts w:ascii="Times New Roman" w:hAnsi="Times New Roman" w:cs="Times New Roman"/>
          <w:sz w:val="24"/>
          <w:szCs w:val="24"/>
        </w:rPr>
        <w:t xml:space="preserve">percentage </w:t>
      </w:r>
      <w:r w:rsidR="00446377" w:rsidRPr="006B52B6">
        <w:rPr>
          <w:rFonts w:ascii="Times New Roman" w:hAnsi="Times New Roman" w:cs="Times New Roman"/>
          <w:sz w:val="24"/>
          <w:szCs w:val="24"/>
        </w:rPr>
        <w:t>change</w:t>
      </w:r>
      <w:r w:rsidR="001D69C9">
        <w:rPr>
          <w:rFonts w:ascii="Times New Roman" w:hAnsi="Times New Roman" w:cs="Times New Roman"/>
          <w:sz w:val="24"/>
          <w:szCs w:val="24"/>
        </w:rPr>
        <w:t>s</w:t>
      </w:r>
      <w:r w:rsidR="00446377" w:rsidRPr="006B52B6">
        <w:rPr>
          <w:rFonts w:ascii="Times New Roman" w:hAnsi="Times New Roman" w:cs="Times New Roman"/>
          <w:sz w:val="24"/>
          <w:szCs w:val="24"/>
        </w:rPr>
        <w:t xml:space="preserve"> in reserve</w:t>
      </w:r>
      <w:r w:rsidR="00381409">
        <w:rPr>
          <w:rFonts w:ascii="Times New Roman" w:hAnsi="Times New Roman" w:cs="Times New Roman"/>
          <w:sz w:val="24"/>
          <w:szCs w:val="24"/>
        </w:rPr>
        <w:t xml:space="preserve"> transfers</w:t>
      </w:r>
      <w:r w:rsidR="00446377" w:rsidRPr="006B52B6">
        <w:rPr>
          <w:rFonts w:ascii="Times New Roman" w:hAnsi="Times New Roman" w:cs="Times New Roman"/>
          <w:sz w:val="24"/>
          <w:szCs w:val="24"/>
        </w:rPr>
        <w:t xml:space="preserve"> </w:t>
      </w:r>
      <w:r w:rsidRPr="006B52B6">
        <w:rPr>
          <w:rFonts w:ascii="Times New Roman" w:hAnsi="Times New Roman" w:cs="Times New Roman"/>
          <w:sz w:val="24"/>
          <w:szCs w:val="24"/>
        </w:rPr>
        <w:t xml:space="preserve">are in the </w:t>
      </w:r>
      <w:r w:rsidR="001D69C9">
        <w:rPr>
          <w:rFonts w:ascii="Times New Roman" w:hAnsi="Times New Roman" w:cs="Times New Roman"/>
          <w:sz w:val="24"/>
          <w:szCs w:val="24"/>
        </w:rPr>
        <w:t xml:space="preserve">Northwest (4.3%), SERC-North (-3.5%), and FRCC (3.1%).  </w:t>
      </w:r>
      <w:r w:rsidR="0052663D">
        <w:rPr>
          <w:rFonts w:ascii="Times New Roman" w:hAnsi="Times New Roman" w:cs="Times New Roman"/>
          <w:sz w:val="24"/>
          <w:szCs w:val="24"/>
        </w:rPr>
        <w:t xml:space="preserve">The change in the Northwest is attributable primarily to change in transfers from the Pacific Northwest IPM region to California, where an additional 2000MW </w:t>
      </w:r>
      <w:proofErr w:type="gramStart"/>
      <w:r w:rsidR="0052663D">
        <w:rPr>
          <w:rFonts w:ascii="Times New Roman" w:hAnsi="Times New Roman" w:cs="Times New Roman"/>
          <w:sz w:val="24"/>
          <w:szCs w:val="24"/>
        </w:rPr>
        <w:t>are transferred</w:t>
      </w:r>
      <w:proofErr w:type="gramEnd"/>
      <w:r w:rsidR="0052663D">
        <w:rPr>
          <w:rFonts w:ascii="Times New Roman" w:hAnsi="Times New Roman" w:cs="Times New Roman"/>
          <w:sz w:val="24"/>
          <w:szCs w:val="24"/>
        </w:rPr>
        <w:t xml:space="preserve"> to Northern California, including 1000MW shifted </w:t>
      </w:r>
      <w:r w:rsidR="0052663D">
        <w:rPr>
          <w:rFonts w:ascii="Times New Roman" w:hAnsi="Times New Roman" w:cs="Times New Roman"/>
          <w:sz w:val="24"/>
          <w:szCs w:val="24"/>
        </w:rPr>
        <w:lastRenderedPageBreak/>
        <w:t xml:space="preserve">from Southern California (LADWP).  </w:t>
      </w:r>
      <w:r w:rsidR="00BA6F23">
        <w:rPr>
          <w:rFonts w:ascii="Times New Roman" w:hAnsi="Times New Roman" w:cs="Times New Roman"/>
          <w:sz w:val="24"/>
          <w:szCs w:val="24"/>
        </w:rPr>
        <w:t xml:space="preserve">The net change of 1,134(MW) occurs, in part, as a result of additional operating capacity made available by increased energy efficiency in the policy case compared to the base case.  This shift does not indicate any reliability challenges, as the total transfers of 3,499MW in the policy case remain substantially below the transfer limit of 4,200MW.  </w:t>
      </w:r>
    </w:p>
    <w:p w14:paraId="00C44B43" w14:textId="4626B363" w:rsidR="005532CC" w:rsidRDefault="005532CC" w:rsidP="006B52B6">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SERC regions and FRCC have shifts around three percent, with some areas increasing net transfers and others decreasing.  These areas also saw shifts in transfers in the modeling for the proposed rule, but the changes in t</w:t>
      </w:r>
      <w:r w:rsidR="0053073C">
        <w:rPr>
          <w:rFonts w:ascii="Times New Roman" w:hAnsi="Times New Roman" w:cs="Times New Roman"/>
          <w:sz w:val="24"/>
          <w:szCs w:val="24"/>
        </w:rPr>
        <w:t>his final rule have reduced these</w:t>
      </w:r>
      <w:r>
        <w:rPr>
          <w:rFonts w:ascii="Times New Roman" w:hAnsi="Times New Roman" w:cs="Times New Roman"/>
          <w:sz w:val="24"/>
          <w:szCs w:val="24"/>
        </w:rPr>
        <w:t xml:space="preserve"> shifts to modest transfe</w:t>
      </w:r>
      <w:r w:rsidR="0053073C">
        <w:rPr>
          <w:rFonts w:ascii="Times New Roman" w:hAnsi="Times New Roman" w:cs="Times New Roman"/>
          <w:sz w:val="24"/>
          <w:szCs w:val="24"/>
        </w:rPr>
        <w:t xml:space="preserve">rs compared to </w:t>
      </w:r>
      <w:r>
        <w:rPr>
          <w:rFonts w:ascii="Times New Roman" w:hAnsi="Times New Roman" w:cs="Times New Roman"/>
          <w:sz w:val="24"/>
          <w:szCs w:val="24"/>
        </w:rPr>
        <w:t xml:space="preserve">the proposal.  In general, the shifts under the final rule show transfers </w:t>
      </w:r>
      <w:proofErr w:type="gramStart"/>
      <w:r>
        <w:rPr>
          <w:rFonts w:ascii="Times New Roman" w:hAnsi="Times New Roman" w:cs="Times New Roman"/>
          <w:sz w:val="24"/>
          <w:szCs w:val="24"/>
        </w:rPr>
        <w:t xml:space="preserve">from the Southeastern areas </w:t>
      </w:r>
      <w:r w:rsidR="000B25DB">
        <w:rPr>
          <w:rFonts w:ascii="Times New Roman" w:hAnsi="Times New Roman" w:cs="Times New Roman"/>
          <w:sz w:val="24"/>
          <w:szCs w:val="24"/>
        </w:rPr>
        <w:t xml:space="preserve">with greater natural gas resources available </w:t>
      </w:r>
      <w:r>
        <w:rPr>
          <w:rFonts w:ascii="Times New Roman" w:hAnsi="Times New Roman" w:cs="Times New Roman"/>
          <w:sz w:val="24"/>
          <w:szCs w:val="24"/>
        </w:rPr>
        <w:t>– FRCC and SERC-SE – toward northern areas</w:t>
      </w:r>
      <w:r w:rsidR="000B25DB">
        <w:rPr>
          <w:rFonts w:ascii="Times New Roman" w:hAnsi="Times New Roman" w:cs="Times New Roman"/>
          <w:sz w:val="24"/>
          <w:szCs w:val="24"/>
        </w:rPr>
        <w:t xml:space="preserve"> with greater amounts of coal</w:t>
      </w:r>
      <w:r>
        <w:rPr>
          <w:rFonts w:ascii="Times New Roman" w:hAnsi="Times New Roman" w:cs="Times New Roman"/>
          <w:sz w:val="24"/>
          <w:szCs w:val="24"/>
        </w:rPr>
        <w:t xml:space="preserve"> -- TVA and Kentucky</w:t>
      </w:r>
      <w:proofErr w:type="gramEnd"/>
      <w:r>
        <w:rPr>
          <w:rFonts w:ascii="Times New Roman" w:hAnsi="Times New Roman" w:cs="Times New Roman"/>
          <w:sz w:val="24"/>
          <w:szCs w:val="24"/>
        </w:rPr>
        <w:t xml:space="preserve">.  </w:t>
      </w:r>
      <w:r w:rsidR="000B25DB">
        <w:rPr>
          <w:rFonts w:ascii="Times New Roman" w:hAnsi="Times New Roman" w:cs="Times New Roman"/>
          <w:sz w:val="24"/>
          <w:szCs w:val="24"/>
        </w:rPr>
        <w:t>These transfers in the modeling remain well below the interregional transfers limits and 3 percent or less of the regional load in each case, and it is reasonable to expect them to be manageable, if needed, given the length of time available.</w:t>
      </w:r>
    </w:p>
    <w:p w14:paraId="396B1599" w14:textId="2A94DED4" w:rsidR="00ED5BBA" w:rsidRPr="00754378" w:rsidRDefault="0066601E" w:rsidP="0075437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CPP Rate-Based </w:t>
      </w:r>
      <w:r w:rsidR="00ED5BBA" w:rsidRPr="00754378">
        <w:rPr>
          <w:rFonts w:ascii="Times New Roman" w:hAnsi="Times New Roman" w:cs="Times New Roman"/>
          <w:b/>
          <w:sz w:val="24"/>
          <w:szCs w:val="24"/>
        </w:rPr>
        <w:t>Scenario in 2020 and 2030</w:t>
      </w:r>
    </w:p>
    <w:p w14:paraId="22547BFB" w14:textId="2C3540BC" w:rsidR="00ED5BBA" w:rsidRDefault="00ED5BBA" w:rsidP="00ED5BBA">
      <w:pPr>
        <w:spacing w:line="360" w:lineRule="auto"/>
        <w:ind w:firstLine="720"/>
        <w:rPr>
          <w:rFonts w:ascii="Times New Roman" w:hAnsi="Times New Roman" w:cs="Times New Roman"/>
          <w:sz w:val="24"/>
          <w:szCs w:val="24"/>
        </w:rPr>
      </w:pPr>
      <w:proofErr w:type="gramStart"/>
      <w:r>
        <w:rPr>
          <w:rFonts w:ascii="Times New Roman" w:hAnsi="Times New Roman" w:cs="Times New Roman"/>
          <w:sz w:val="24"/>
          <w:szCs w:val="24"/>
        </w:rPr>
        <w:t>There are other model projection periods that</w:t>
      </w:r>
      <w:proofErr w:type="gramEnd"/>
      <w:r>
        <w:rPr>
          <w:rFonts w:ascii="Times New Roman" w:hAnsi="Times New Roman" w:cs="Times New Roman"/>
          <w:sz w:val="24"/>
          <w:szCs w:val="24"/>
        </w:rPr>
        <w:t xml:space="preserve"> include years that fall in the period for compliance with the rule.  The 2020 projections include the years 2019 through 2022, so one of the years in the period falls in the compliance period.  EPA examined the information for the rate scenario for 2020 corresponding to the rate scenario in 2025.  This information is shown the tables in Appendix </w:t>
      </w:r>
      <w:r w:rsidR="00CE2E05">
        <w:rPr>
          <w:rFonts w:ascii="Times New Roman" w:hAnsi="Times New Roman" w:cs="Times New Roman"/>
          <w:sz w:val="24"/>
          <w:szCs w:val="24"/>
        </w:rPr>
        <w:t>A</w:t>
      </w:r>
      <w:r>
        <w:rPr>
          <w:rFonts w:ascii="Times New Roman" w:hAnsi="Times New Roman" w:cs="Times New Roman"/>
          <w:sz w:val="24"/>
          <w:szCs w:val="24"/>
        </w:rPr>
        <w:t xml:space="preserve">, which correspond to the tables for the 2025 case in Appendix </w:t>
      </w:r>
      <w:r w:rsidR="00CE2E05">
        <w:rPr>
          <w:rFonts w:ascii="Times New Roman" w:hAnsi="Times New Roman" w:cs="Times New Roman"/>
          <w:sz w:val="24"/>
          <w:szCs w:val="24"/>
        </w:rPr>
        <w:t>B</w:t>
      </w:r>
      <w:r>
        <w:rPr>
          <w:rFonts w:ascii="Times New Roman" w:hAnsi="Times New Roman" w:cs="Times New Roman"/>
          <w:sz w:val="24"/>
          <w:szCs w:val="24"/>
        </w:rPr>
        <w:t xml:space="preserve">.  Since the projections are representative of the entire </w:t>
      </w:r>
      <w:proofErr w:type="gramStart"/>
      <w:r>
        <w:rPr>
          <w:rFonts w:ascii="Times New Roman" w:hAnsi="Times New Roman" w:cs="Times New Roman"/>
          <w:sz w:val="24"/>
          <w:szCs w:val="24"/>
        </w:rPr>
        <w:t>four year</w:t>
      </w:r>
      <w:proofErr w:type="gramEnd"/>
      <w:r>
        <w:rPr>
          <w:rFonts w:ascii="Times New Roman" w:hAnsi="Times New Roman" w:cs="Times New Roman"/>
          <w:sz w:val="24"/>
          <w:szCs w:val="24"/>
        </w:rPr>
        <w:t xml:space="preserve"> period, it is difficult to draw </w:t>
      </w:r>
      <w:r w:rsidR="005F3D98">
        <w:rPr>
          <w:rFonts w:ascii="Times New Roman" w:hAnsi="Times New Roman" w:cs="Times New Roman"/>
          <w:sz w:val="24"/>
          <w:szCs w:val="24"/>
        </w:rPr>
        <w:t xml:space="preserve">firm </w:t>
      </w:r>
      <w:r>
        <w:rPr>
          <w:rFonts w:ascii="Times New Roman" w:hAnsi="Times New Roman" w:cs="Times New Roman"/>
          <w:sz w:val="24"/>
          <w:szCs w:val="24"/>
        </w:rPr>
        <w:t xml:space="preserve">conclusions with regard to impacts on reliability resulting from the rule.  This is because most of the period is outside the compliance period of the final rule, and there can be no direct conflict with the rule except in the very last year of the projection period.  The results </w:t>
      </w:r>
      <w:proofErr w:type="gramStart"/>
      <w:r w:rsidR="0066601E">
        <w:rPr>
          <w:rFonts w:ascii="Times New Roman" w:hAnsi="Times New Roman" w:cs="Times New Roman"/>
          <w:sz w:val="24"/>
          <w:szCs w:val="24"/>
        </w:rPr>
        <w:t xml:space="preserve">can </w:t>
      </w:r>
      <w:r>
        <w:rPr>
          <w:rFonts w:ascii="Times New Roman" w:hAnsi="Times New Roman" w:cs="Times New Roman"/>
          <w:sz w:val="24"/>
          <w:szCs w:val="24"/>
        </w:rPr>
        <w:t>be compared</w:t>
      </w:r>
      <w:proofErr w:type="gramEnd"/>
      <w:r>
        <w:rPr>
          <w:rFonts w:ascii="Times New Roman" w:hAnsi="Times New Roman" w:cs="Times New Roman"/>
          <w:sz w:val="24"/>
          <w:szCs w:val="24"/>
        </w:rPr>
        <w:t xml:space="preserve"> below with the 2025 results for purposes of illustration.</w:t>
      </w:r>
    </w:p>
    <w:p w14:paraId="1E2521E7" w14:textId="431F27E6" w:rsidR="00ED5BBA" w:rsidRDefault="00ED5BBA" w:rsidP="00ED5BBA">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The differences between 2020 and 2025 in the CPP rate scenario </w:t>
      </w:r>
      <w:proofErr w:type="gramStart"/>
      <w:r>
        <w:rPr>
          <w:rFonts w:ascii="Times New Roman" w:hAnsi="Times New Roman" w:cs="Times New Roman"/>
          <w:sz w:val="24"/>
          <w:szCs w:val="24"/>
        </w:rPr>
        <w:t>are driven</w:t>
      </w:r>
      <w:proofErr w:type="gramEnd"/>
      <w:r>
        <w:rPr>
          <w:rFonts w:ascii="Times New Roman" w:hAnsi="Times New Roman" w:cs="Times New Roman"/>
          <w:sz w:val="24"/>
          <w:szCs w:val="24"/>
        </w:rPr>
        <w:t xml:space="preserve"> by the fact that IPM modeling retires capacity from the start of the modeling period in 2016, based on projections that assume complete information about the future and precise economic planning.  It thus assumes that capacity retires at the earliest possible moment</w:t>
      </w:r>
      <w:r w:rsidR="0066601E">
        <w:rPr>
          <w:rFonts w:ascii="Times New Roman" w:hAnsi="Times New Roman" w:cs="Times New Roman"/>
          <w:sz w:val="24"/>
          <w:szCs w:val="24"/>
        </w:rPr>
        <w:t xml:space="preserve"> that it becomes possible to do </w:t>
      </w:r>
      <w:r w:rsidR="0066601E">
        <w:rPr>
          <w:rFonts w:ascii="Times New Roman" w:hAnsi="Times New Roman" w:cs="Times New Roman"/>
          <w:sz w:val="24"/>
          <w:szCs w:val="24"/>
        </w:rPr>
        <w:lastRenderedPageBreak/>
        <w:t>so</w:t>
      </w:r>
      <w:r>
        <w:rPr>
          <w:rFonts w:ascii="Times New Roman" w:hAnsi="Times New Roman" w:cs="Times New Roman"/>
          <w:sz w:val="24"/>
          <w:szCs w:val="24"/>
        </w:rPr>
        <w:t xml:space="preserve">, so that excess reserves </w:t>
      </w:r>
      <w:proofErr w:type="gramStart"/>
      <w:r>
        <w:rPr>
          <w:rFonts w:ascii="Times New Roman" w:hAnsi="Times New Roman" w:cs="Times New Roman"/>
          <w:sz w:val="24"/>
          <w:szCs w:val="24"/>
        </w:rPr>
        <w:t>are used up</w:t>
      </w:r>
      <w:proofErr w:type="gramEnd"/>
      <w:r>
        <w:rPr>
          <w:rFonts w:ascii="Times New Roman" w:hAnsi="Times New Roman" w:cs="Times New Roman"/>
          <w:sz w:val="24"/>
          <w:szCs w:val="24"/>
        </w:rPr>
        <w:t xml:space="preserve"> and reserve margins can fall to target levels earlier than expected in practice.  Nevertheless, in 2020, seven regions maintain margins above t</w:t>
      </w:r>
      <w:r w:rsidR="00CE2E05">
        <w:rPr>
          <w:rFonts w:ascii="Times New Roman" w:hAnsi="Times New Roman" w:cs="Times New Roman"/>
          <w:sz w:val="24"/>
          <w:szCs w:val="24"/>
        </w:rPr>
        <w:t>heir levels in 2025 (See Table A</w:t>
      </w:r>
      <w:r>
        <w:rPr>
          <w:rFonts w:ascii="Times New Roman" w:hAnsi="Times New Roman" w:cs="Times New Roman"/>
          <w:sz w:val="24"/>
          <w:szCs w:val="24"/>
        </w:rPr>
        <w:t>3).  This is consistent with the lower level of overall retirements in 2020 compared to 2025 (24,567MW compare</w:t>
      </w:r>
      <w:r w:rsidR="0066601E">
        <w:rPr>
          <w:rFonts w:ascii="Times New Roman" w:hAnsi="Times New Roman" w:cs="Times New Roman"/>
          <w:sz w:val="24"/>
          <w:szCs w:val="24"/>
        </w:rPr>
        <w:t xml:space="preserve">d to 36,961MW in 2025), so </w:t>
      </w:r>
      <w:r>
        <w:rPr>
          <w:rFonts w:ascii="Times New Roman" w:hAnsi="Times New Roman" w:cs="Times New Roman"/>
          <w:sz w:val="24"/>
          <w:szCs w:val="24"/>
        </w:rPr>
        <w:t xml:space="preserve">the modeling confirms that the </w:t>
      </w:r>
      <w:r w:rsidR="0066601E">
        <w:rPr>
          <w:rFonts w:ascii="Times New Roman" w:hAnsi="Times New Roman" w:cs="Times New Roman"/>
          <w:sz w:val="24"/>
          <w:szCs w:val="24"/>
        </w:rPr>
        <w:t xml:space="preserve">any </w:t>
      </w:r>
      <w:r>
        <w:rPr>
          <w:rFonts w:ascii="Times New Roman" w:hAnsi="Times New Roman" w:cs="Times New Roman"/>
          <w:sz w:val="24"/>
          <w:szCs w:val="24"/>
        </w:rPr>
        <w:t xml:space="preserve">potential resource adequacy pressures from the final rule are not seen until the projections for 2025. </w:t>
      </w:r>
    </w:p>
    <w:p w14:paraId="768BC4A1" w14:textId="19CF566B" w:rsidR="005F3D98" w:rsidRDefault="00ED5BBA" w:rsidP="00ED5BBA">
      <w:pPr>
        <w:spacing w:line="360" w:lineRule="auto"/>
        <w:rPr>
          <w:rFonts w:ascii="Times New Roman" w:hAnsi="Times New Roman" w:cs="Times New Roman"/>
          <w:sz w:val="24"/>
          <w:szCs w:val="24"/>
        </w:rPr>
      </w:pPr>
      <w:r>
        <w:rPr>
          <w:rFonts w:ascii="Times New Roman" w:hAnsi="Times New Roman" w:cs="Times New Roman"/>
          <w:sz w:val="24"/>
          <w:szCs w:val="24"/>
        </w:rPr>
        <w:tab/>
        <w:t>Results for the rate scenario in 2030</w:t>
      </w:r>
      <w:r w:rsidR="00CE2E05">
        <w:rPr>
          <w:rFonts w:ascii="Times New Roman" w:hAnsi="Times New Roman" w:cs="Times New Roman"/>
          <w:sz w:val="24"/>
          <w:szCs w:val="24"/>
        </w:rPr>
        <w:t xml:space="preserve"> </w:t>
      </w:r>
      <w:r>
        <w:rPr>
          <w:rFonts w:ascii="Times New Roman" w:hAnsi="Times New Roman" w:cs="Times New Roman"/>
          <w:sz w:val="24"/>
          <w:szCs w:val="24"/>
        </w:rPr>
        <w:t xml:space="preserve">are contained in Appendix </w:t>
      </w:r>
      <w:r w:rsidR="00CE2E05">
        <w:rPr>
          <w:rFonts w:ascii="Times New Roman" w:hAnsi="Times New Roman" w:cs="Times New Roman"/>
          <w:sz w:val="24"/>
          <w:szCs w:val="24"/>
        </w:rPr>
        <w:t>C</w:t>
      </w:r>
      <w:r>
        <w:rPr>
          <w:rFonts w:ascii="Times New Roman" w:hAnsi="Times New Roman" w:cs="Times New Roman"/>
          <w:sz w:val="24"/>
          <w:szCs w:val="24"/>
        </w:rPr>
        <w:t xml:space="preserve">.   Reserve margins in the policy case in 2030 are essentially unchanged (less than 0.5% difference in all regions) from 2025, reflecting the fact that most regions were already at their target margins in 2025 rate scenario.  Base case margins decline from 2025 to 2030, as margins above targets are reduced, so that the base </w:t>
      </w:r>
      <w:r w:rsidR="0066601E">
        <w:rPr>
          <w:rFonts w:ascii="Times New Roman" w:hAnsi="Times New Roman" w:cs="Times New Roman"/>
          <w:sz w:val="24"/>
          <w:szCs w:val="24"/>
        </w:rPr>
        <w:t xml:space="preserve">case </w:t>
      </w:r>
      <w:r>
        <w:rPr>
          <w:rFonts w:ascii="Times New Roman" w:hAnsi="Times New Roman" w:cs="Times New Roman"/>
          <w:sz w:val="24"/>
          <w:szCs w:val="24"/>
        </w:rPr>
        <w:t xml:space="preserve">and policy </w:t>
      </w:r>
      <w:r w:rsidR="0066601E">
        <w:rPr>
          <w:rFonts w:ascii="Times New Roman" w:hAnsi="Times New Roman" w:cs="Times New Roman"/>
          <w:sz w:val="24"/>
          <w:szCs w:val="24"/>
        </w:rPr>
        <w:t xml:space="preserve">case </w:t>
      </w:r>
      <w:r>
        <w:rPr>
          <w:rFonts w:ascii="Times New Roman" w:hAnsi="Times New Roman" w:cs="Times New Roman"/>
          <w:sz w:val="24"/>
          <w:szCs w:val="24"/>
        </w:rPr>
        <w:t xml:space="preserve">overall national margins are less than 1 percent different (Table </w:t>
      </w:r>
      <w:r w:rsidR="00CE2E05">
        <w:rPr>
          <w:rFonts w:ascii="Times New Roman" w:hAnsi="Times New Roman" w:cs="Times New Roman"/>
          <w:sz w:val="24"/>
          <w:szCs w:val="24"/>
        </w:rPr>
        <w:t>C</w:t>
      </w:r>
      <w:r>
        <w:rPr>
          <w:rFonts w:ascii="Times New Roman" w:hAnsi="Times New Roman" w:cs="Times New Roman"/>
          <w:sz w:val="24"/>
          <w:szCs w:val="24"/>
        </w:rPr>
        <w:t xml:space="preserve">3).  There continue to be more retirements in the policy case relative to the base case in 2030 (Incremental retirements of 41,009MW in 2030 compared to 36,961MW in 2025, an increase of 5,048 MW).  These retirements </w:t>
      </w:r>
      <w:proofErr w:type="gramStart"/>
      <w:r>
        <w:rPr>
          <w:rFonts w:ascii="Times New Roman" w:hAnsi="Times New Roman" w:cs="Times New Roman"/>
          <w:sz w:val="24"/>
          <w:szCs w:val="24"/>
        </w:rPr>
        <w:t>are offset</w:t>
      </w:r>
      <w:proofErr w:type="gramEnd"/>
      <w:r>
        <w:rPr>
          <w:rFonts w:ascii="Times New Roman" w:hAnsi="Times New Roman" w:cs="Times New Roman"/>
          <w:sz w:val="24"/>
          <w:szCs w:val="24"/>
        </w:rPr>
        <w:t xml:space="preserve"> by </w:t>
      </w:r>
      <w:r w:rsidR="00B47711">
        <w:rPr>
          <w:rFonts w:ascii="Times New Roman" w:hAnsi="Times New Roman" w:cs="Times New Roman"/>
          <w:sz w:val="24"/>
          <w:szCs w:val="24"/>
        </w:rPr>
        <w:t xml:space="preserve">a </w:t>
      </w:r>
      <w:r>
        <w:rPr>
          <w:rFonts w:ascii="Times New Roman" w:hAnsi="Times New Roman" w:cs="Times New Roman"/>
          <w:sz w:val="24"/>
          <w:szCs w:val="24"/>
        </w:rPr>
        <w:t>corresponding</w:t>
      </w:r>
      <w:r w:rsidR="00B47711">
        <w:rPr>
          <w:rFonts w:ascii="Times New Roman" w:hAnsi="Times New Roman" w:cs="Times New Roman"/>
          <w:sz w:val="24"/>
          <w:szCs w:val="24"/>
        </w:rPr>
        <w:t xml:space="preserve"> combination of new energy efficiency and</w:t>
      </w:r>
      <w:r>
        <w:rPr>
          <w:rFonts w:ascii="Times New Roman" w:hAnsi="Times New Roman" w:cs="Times New Roman"/>
          <w:sz w:val="24"/>
          <w:szCs w:val="24"/>
        </w:rPr>
        <w:t xml:space="preserve"> changes in new capacity.  In 2025, there were </w:t>
      </w:r>
      <w:r w:rsidR="00341042">
        <w:rPr>
          <w:rFonts w:ascii="Times New Roman" w:hAnsi="Times New Roman" w:cs="Times New Roman"/>
          <w:sz w:val="24"/>
          <w:szCs w:val="24"/>
        </w:rPr>
        <w:t xml:space="preserve">12,626 </w:t>
      </w:r>
      <w:r>
        <w:rPr>
          <w:rFonts w:ascii="Times New Roman" w:hAnsi="Times New Roman" w:cs="Times New Roman"/>
          <w:sz w:val="24"/>
          <w:szCs w:val="24"/>
        </w:rPr>
        <w:t xml:space="preserve">MW fewer new capacity additions in the </w:t>
      </w:r>
      <w:r w:rsidR="00341042">
        <w:rPr>
          <w:rFonts w:ascii="Times New Roman" w:hAnsi="Times New Roman" w:cs="Times New Roman"/>
          <w:sz w:val="24"/>
          <w:szCs w:val="24"/>
        </w:rPr>
        <w:t>CPP</w:t>
      </w:r>
      <w:r>
        <w:rPr>
          <w:rFonts w:ascii="Times New Roman" w:hAnsi="Times New Roman" w:cs="Times New Roman"/>
          <w:sz w:val="24"/>
          <w:szCs w:val="24"/>
        </w:rPr>
        <w:t xml:space="preserve"> case; in </w:t>
      </w:r>
      <w:proofErr w:type="gramStart"/>
      <w:r>
        <w:rPr>
          <w:rFonts w:ascii="Times New Roman" w:hAnsi="Times New Roman" w:cs="Times New Roman"/>
          <w:sz w:val="24"/>
          <w:szCs w:val="24"/>
        </w:rPr>
        <w:t>2030</w:t>
      </w:r>
      <w:proofErr w:type="gramEnd"/>
      <w:r>
        <w:rPr>
          <w:rFonts w:ascii="Times New Roman" w:hAnsi="Times New Roman" w:cs="Times New Roman"/>
          <w:sz w:val="24"/>
          <w:szCs w:val="24"/>
        </w:rPr>
        <w:t xml:space="preserve"> there were </w:t>
      </w:r>
      <w:r w:rsidR="00341042">
        <w:rPr>
          <w:rFonts w:ascii="Times New Roman" w:hAnsi="Times New Roman" w:cs="Times New Roman"/>
          <w:sz w:val="24"/>
          <w:szCs w:val="24"/>
        </w:rPr>
        <w:t>16,964</w:t>
      </w:r>
      <w:r>
        <w:rPr>
          <w:rFonts w:ascii="Times New Roman" w:hAnsi="Times New Roman" w:cs="Times New Roman"/>
          <w:sz w:val="24"/>
          <w:szCs w:val="24"/>
        </w:rPr>
        <w:t xml:space="preserve"> MW fewer: a net </w:t>
      </w:r>
      <w:r w:rsidR="00341042">
        <w:rPr>
          <w:rFonts w:ascii="Times New Roman" w:hAnsi="Times New Roman" w:cs="Times New Roman"/>
          <w:sz w:val="24"/>
          <w:szCs w:val="24"/>
        </w:rPr>
        <w:t xml:space="preserve">decrease of an </w:t>
      </w:r>
      <w:r w:rsidR="00B47711">
        <w:rPr>
          <w:rFonts w:ascii="Times New Roman" w:hAnsi="Times New Roman" w:cs="Times New Roman"/>
          <w:sz w:val="24"/>
          <w:szCs w:val="24"/>
        </w:rPr>
        <w:t>incremental</w:t>
      </w:r>
      <w:r>
        <w:rPr>
          <w:rFonts w:ascii="Times New Roman" w:hAnsi="Times New Roman" w:cs="Times New Roman"/>
          <w:sz w:val="24"/>
          <w:szCs w:val="24"/>
        </w:rPr>
        <w:t xml:space="preserve"> 4,338 MW</w:t>
      </w:r>
      <w:r w:rsidR="00341042">
        <w:rPr>
          <w:rFonts w:ascii="Times New Roman" w:hAnsi="Times New Roman" w:cs="Times New Roman"/>
          <w:sz w:val="24"/>
          <w:szCs w:val="24"/>
        </w:rPr>
        <w:t xml:space="preserve"> </w:t>
      </w:r>
      <w:r w:rsidR="00B47711">
        <w:rPr>
          <w:rFonts w:ascii="Times New Roman" w:hAnsi="Times New Roman" w:cs="Times New Roman"/>
          <w:sz w:val="24"/>
          <w:szCs w:val="24"/>
        </w:rPr>
        <w:t xml:space="preserve">(over the base case) </w:t>
      </w:r>
      <w:r w:rsidR="00341042">
        <w:rPr>
          <w:rFonts w:ascii="Times New Roman" w:hAnsi="Times New Roman" w:cs="Times New Roman"/>
          <w:sz w:val="24"/>
          <w:szCs w:val="24"/>
        </w:rPr>
        <w:t xml:space="preserve">in the 2030 case compared to </w:t>
      </w:r>
      <w:r w:rsidR="00B47711">
        <w:rPr>
          <w:rFonts w:ascii="Times New Roman" w:hAnsi="Times New Roman" w:cs="Times New Roman"/>
          <w:sz w:val="24"/>
          <w:szCs w:val="24"/>
        </w:rPr>
        <w:t xml:space="preserve">the comparable 2025 figure.  </w:t>
      </w:r>
      <w:proofErr w:type="gramStart"/>
      <w:r w:rsidR="00B47711">
        <w:rPr>
          <w:rFonts w:ascii="Times New Roman" w:hAnsi="Times New Roman" w:cs="Times New Roman"/>
          <w:sz w:val="24"/>
          <w:szCs w:val="24"/>
        </w:rPr>
        <w:t>However, the</w:t>
      </w:r>
      <w:r w:rsidR="00341042">
        <w:rPr>
          <w:rFonts w:ascii="Times New Roman" w:hAnsi="Times New Roman" w:cs="Times New Roman"/>
          <w:sz w:val="24"/>
          <w:szCs w:val="24"/>
        </w:rPr>
        <w:t xml:space="preserve"> increase in the contribution of energy efficiency to reserve margin capacity was considerably greater than the </w:t>
      </w:r>
      <w:r w:rsidR="00B47711">
        <w:rPr>
          <w:rFonts w:ascii="Times New Roman" w:hAnsi="Times New Roman" w:cs="Times New Roman"/>
          <w:sz w:val="24"/>
          <w:szCs w:val="24"/>
        </w:rPr>
        <w:t xml:space="preserve">combined </w:t>
      </w:r>
      <w:r w:rsidR="00341042">
        <w:rPr>
          <w:rFonts w:ascii="Times New Roman" w:hAnsi="Times New Roman" w:cs="Times New Roman"/>
          <w:sz w:val="24"/>
          <w:szCs w:val="24"/>
        </w:rPr>
        <w:t>decrease in new capacity additions and i</w:t>
      </w:r>
      <w:r w:rsidR="00B47711">
        <w:rPr>
          <w:rFonts w:ascii="Times New Roman" w:hAnsi="Times New Roman" w:cs="Times New Roman"/>
          <w:sz w:val="24"/>
          <w:szCs w:val="24"/>
        </w:rPr>
        <w:t xml:space="preserve">ncrease in retirements in 2030:  the contribution of new energy efficiency to reserve margin in 2030 was 77,741 </w:t>
      </w:r>
      <w:r w:rsidR="00672A92">
        <w:rPr>
          <w:rFonts w:ascii="Times New Roman" w:hAnsi="Times New Roman" w:cs="Times New Roman"/>
          <w:sz w:val="24"/>
          <w:szCs w:val="24"/>
        </w:rPr>
        <w:t xml:space="preserve">MW </w:t>
      </w:r>
      <w:r w:rsidR="00B47711">
        <w:rPr>
          <w:rFonts w:ascii="Times New Roman" w:hAnsi="Times New Roman" w:cs="Times New Roman"/>
          <w:sz w:val="24"/>
          <w:szCs w:val="24"/>
        </w:rPr>
        <w:t>compared to 45,085 MW in 2025 (See Tables B1 and C1 in the Appendices)</w:t>
      </w:r>
      <w:r w:rsidR="009649DF">
        <w:rPr>
          <w:rFonts w:ascii="Times New Roman" w:hAnsi="Times New Roman" w:cs="Times New Roman"/>
          <w:sz w:val="24"/>
          <w:szCs w:val="24"/>
        </w:rPr>
        <w:t>, an increase of 22,656 MW.</w:t>
      </w:r>
      <w:proofErr w:type="gramEnd"/>
      <w:r w:rsidR="009649DF">
        <w:rPr>
          <w:rFonts w:ascii="Times New Roman" w:hAnsi="Times New Roman" w:cs="Times New Roman"/>
          <w:sz w:val="24"/>
          <w:szCs w:val="24"/>
        </w:rPr>
        <w:t xml:space="preserve">  </w:t>
      </w:r>
    </w:p>
    <w:p w14:paraId="11926CF8" w14:textId="6B0359C9" w:rsidR="00ED5BBA" w:rsidRPr="008F55FA" w:rsidRDefault="00B2104B" w:rsidP="00B42DEF">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generation mix in incremental capacity changes</w:t>
      </w:r>
      <w:r w:rsidR="005F3D98">
        <w:rPr>
          <w:rFonts w:ascii="Times New Roman" w:hAnsi="Times New Roman" w:cs="Times New Roman"/>
          <w:sz w:val="24"/>
          <w:szCs w:val="24"/>
        </w:rPr>
        <w:t xml:space="preserve"> compared to 2025: compared to the base case there less NGCC capacity (7,808 MW less in 2025, 30,080 MW in 2030) and more solar (1,628 less in 2025, 19,970 more in 2030).  </w:t>
      </w:r>
      <w:r w:rsidR="009649DF">
        <w:rPr>
          <w:rFonts w:ascii="Times New Roman" w:hAnsi="Times New Roman" w:cs="Times New Roman"/>
          <w:sz w:val="24"/>
          <w:szCs w:val="24"/>
        </w:rPr>
        <w:t xml:space="preserve">Given the long planning horizon of 2030, there will be adequate time to plan for potential shifts in the mix of demand and supply resources as these evolve over time.  </w:t>
      </w:r>
      <w:r w:rsidR="00ED5BBA">
        <w:rPr>
          <w:rFonts w:ascii="Times New Roman" w:hAnsi="Times New Roman" w:cs="Times New Roman"/>
          <w:sz w:val="24"/>
          <w:szCs w:val="24"/>
        </w:rPr>
        <w:t xml:space="preserve">None of these results </w:t>
      </w:r>
      <w:proofErr w:type="gramStart"/>
      <w:r w:rsidR="00ED5BBA">
        <w:rPr>
          <w:rFonts w:ascii="Times New Roman" w:hAnsi="Times New Roman" w:cs="Times New Roman"/>
          <w:sz w:val="24"/>
          <w:szCs w:val="24"/>
        </w:rPr>
        <w:t>suggest</w:t>
      </w:r>
      <w:proofErr w:type="gramEnd"/>
      <w:r w:rsidR="00ED5BBA">
        <w:rPr>
          <w:rFonts w:ascii="Times New Roman" w:hAnsi="Times New Roman" w:cs="Times New Roman"/>
          <w:sz w:val="24"/>
          <w:szCs w:val="24"/>
        </w:rPr>
        <w:t xml:space="preserve"> there will be reasons for concern over the management of resource adequacy</w:t>
      </w:r>
      <w:r w:rsidR="00B47711">
        <w:rPr>
          <w:rFonts w:ascii="Times New Roman" w:hAnsi="Times New Roman" w:cs="Times New Roman"/>
          <w:sz w:val="24"/>
          <w:szCs w:val="24"/>
        </w:rPr>
        <w:t xml:space="preserve"> </w:t>
      </w:r>
    </w:p>
    <w:p w14:paraId="28AF4F64" w14:textId="532C8F44" w:rsidR="00045E5B" w:rsidRPr="006B52B6" w:rsidRDefault="00BA6F23" w:rsidP="006B52B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 </w:t>
      </w:r>
    </w:p>
    <w:p w14:paraId="2CE1C966" w14:textId="727D9B48" w:rsidR="008F55FA" w:rsidRPr="00754378" w:rsidRDefault="00FB13CA" w:rsidP="00754378">
      <w:pPr>
        <w:spacing w:line="360" w:lineRule="auto"/>
        <w:jc w:val="center"/>
        <w:rPr>
          <w:rFonts w:ascii="Times New Roman" w:hAnsi="Times New Roman" w:cs="Times New Roman"/>
          <w:b/>
          <w:sz w:val="28"/>
          <w:szCs w:val="28"/>
        </w:rPr>
      </w:pPr>
      <w:r w:rsidRPr="00754378">
        <w:rPr>
          <w:rFonts w:ascii="Times New Roman" w:hAnsi="Times New Roman" w:cs="Times New Roman"/>
          <w:b/>
          <w:sz w:val="28"/>
          <w:szCs w:val="28"/>
        </w:rPr>
        <w:lastRenderedPageBreak/>
        <w:t xml:space="preserve">CPP </w:t>
      </w:r>
      <w:r w:rsidR="008F55FA" w:rsidRPr="00754378">
        <w:rPr>
          <w:rFonts w:ascii="Times New Roman" w:hAnsi="Times New Roman" w:cs="Times New Roman"/>
          <w:b/>
          <w:sz w:val="28"/>
          <w:szCs w:val="28"/>
        </w:rPr>
        <w:t>Mass</w:t>
      </w:r>
      <w:r w:rsidRPr="00754378">
        <w:rPr>
          <w:rFonts w:ascii="Times New Roman" w:hAnsi="Times New Roman" w:cs="Times New Roman"/>
          <w:b/>
          <w:sz w:val="28"/>
          <w:szCs w:val="28"/>
        </w:rPr>
        <w:t>-Base</w:t>
      </w:r>
      <w:r>
        <w:rPr>
          <w:rFonts w:ascii="Times New Roman" w:hAnsi="Times New Roman" w:cs="Times New Roman"/>
          <w:b/>
          <w:sz w:val="28"/>
          <w:szCs w:val="28"/>
        </w:rPr>
        <w:t>d</w:t>
      </w:r>
      <w:r w:rsidR="008F55FA" w:rsidRPr="00754378">
        <w:rPr>
          <w:rFonts w:ascii="Times New Roman" w:hAnsi="Times New Roman" w:cs="Times New Roman"/>
          <w:b/>
          <w:sz w:val="28"/>
          <w:szCs w:val="28"/>
        </w:rPr>
        <w:t xml:space="preserve"> Scenario</w:t>
      </w:r>
      <w:r w:rsidR="00BE26A5">
        <w:rPr>
          <w:rFonts w:ascii="Times New Roman" w:hAnsi="Times New Roman" w:cs="Times New Roman"/>
          <w:b/>
          <w:sz w:val="28"/>
          <w:szCs w:val="28"/>
        </w:rPr>
        <w:t>s</w:t>
      </w:r>
    </w:p>
    <w:p w14:paraId="28B8E27B" w14:textId="4232F374" w:rsidR="007A0FDE" w:rsidRDefault="000277E0" w:rsidP="006B52B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r w:rsidR="004B58AE">
        <w:rPr>
          <w:rFonts w:ascii="Times New Roman" w:hAnsi="Times New Roman" w:cs="Times New Roman"/>
          <w:sz w:val="24"/>
          <w:szCs w:val="24"/>
        </w:rPr>
        <w:t xml:space="preserve">EPA also examined the mass scenario modeling results </w:t>
      </w:r>
      <w:r w:rsidR="00CF75AF" w:rsidRPr="006B52B6">
        <w:rPr>
          <w:rFonts w:ascii="Times New Roman" w:hAnsi="Times New Roman" w:cs="Times New Roman"/>
          <w:sz w:val="24"/>
          <w:szCs w:val="24"/>
        </w:rPr>
        <w:t xml:space="preserve">to identify differences with </w:t>
      </w:r>
      <w:r w:rsidR="0066601E">
        <w:rPr>
          <w:rFonts w:ascii="Times New Roman" w:hAnsi="Times New Roman" w:cs="Times New Roman"/>
          <w:sz w:val="24"/>
          <w:szCs w:val="24"/>
        </w:rPr>
        <w:t xml:space="preserve">the </w:t>
      </w:r>
      <w:r w:rsidR="004B58AE">
        <w:rPr>
          <w:rFonts w:ascii="Times New Roman" w:hAnsi="Times New Roman" w:cs="Times New Roman"/>
          <w:sz w:val="24"/>
          <w:szCs w:val="24"/>
        </w:rPr>
        <w:t>rate scenario</w:t>
      </w:r>
      <w:r w:rsidR="00CF75AF" w:rsidRPr="006B52B6">
        <w:rPr>
          <w:rFonts w:ascii="Times New Roman" w:hAnsi="Times New Roman" w:cs="Times New Roman"/>
          <w:sz w:val="24"/>
          <w:szCs w:val="24"/>
        </w:rPr>
        <w:t xml:space="preserve"> potential impacts</w:t>
      </w:r>
      <w:r w:rsidR="007A0FDE">
        <w:rPr>
          <w:rFonts w:ascii="Times New Roman" w:hAnsi="Times New Roman" w:cs="Times New Roman"/>
          <w:sz w:val="24"/>
          <w:szCs w:val="24"/>
        </w:rPr>
        <w:t>.  The results for the CPP mass-based scenarios are contained in Appendices D through F for the projection years 2020, 2025 and 2030.  These tables correspond to the tables for the CPP Rate-Based scenarios in Appendices A through C.</w:t>
      </w:r>
    </w:p>
    <w:p w14:paraId="637F243A" w14:textId="07962369" w:rsidR="00912D21" w:rsidRPr="006B52B6" w:rsidRDefault="00CF75AF"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 xml:space="preserve">As expected, </w:t>
      </w:r>
      <w:r w:rsidR="007A0FDE">
        <w:rPr>
          <w:rFonts w:ascii="Times New Roman" w:hAnsi="Times New Roman" w:cs="Times New Roman"/>
          <w:sz w:val="24"/>
          <w:szCs w:val="24"/>
        </w:rPr>
        <w:t>rate and mass</w:t>
      </w:r>
      <w:r w:rsidRPr="006B52B6">
        <w:rPr>
          <w:rFonts w:ascii="Times New Roman" w:hAnsi="Times New Roman" w:cs="Times New Roman"/>
          <w:sz w:val="24"/>
          <w:szCs w:val="24"/>
        </w:rPr>
        <w:t xml:space="preserve"> cases showed very similar patterns in total operating and reserve capacity, since the IPM model must serve the same loads and ensure the same reserve margins in each case</w:t>
      </w:r>
      <w:r w:rsidR="000277E0">
        <w:rPr>
          <w:rFonts w:ascii="Times New Roman" w:hAnsi="Times New Roman" w:cs="Times New Roman"/>
          <w:sz w:val="24"/>
          <w:szCs w:val="24"/>
        </w:rPr>
        <w:t xml:space="preserve">. </w:t>
      </w:r>
      <w:r w:rsidR="007A0FDE">
        <w:rPr>
          <w:rFonts w:ascii="Times New Roman" w:hAnsi="Times New Roman" w:cs="Times New Roman"/>
          <w:sz w:val="24"/>
          <w:szCs w:val="24"/>
        </w:rPr>
        <w:t>In 2025, t</w:t>
      </w:r>
      <w:r w:rsidRPr="006B52B6">
        <w:rPr>
          <w:rFonts w:ascii="Times New Roman" w:hAnsi="Times New Roman" w:cs="Times New Roman"/>
          <w:sz w:val="24"/>
          <w:szCs w:val="24"/>
        </w:rPr>
        <w:t>otal operating capacity</w:t>
      </w:r>
      <w:r w:rsidR="00E5242A" w:rsidRPr="006B52B6">
        <w:rPr>
          <w:rFonts w:ascii="Times New Roman" w:hAnsi="Times New Roman" w:cs="Times New Roman"/>
          <w:sz w:val="24"/>
          <w:szCs w:val="24"/>
        </w:rPr>
        <w:t xml:space="preserve"> </w:t>
      </w:r>
      <w:r w:rsidR="00E91493">
        <w:rPr>
          <w:rFonts w:ascii="Times New Roman" w:hAnsi="Times New Roman" w:cs="Times New Roman"/>
          <w:sz w:val="24"/>
          <w:szCs w:val="24"/>
        </w:rPr>
        <w:t xml:space="preserve">between rate and mass cases </w:t>
      </w:r>
      <w:r w:rsidR="00E5242A" w:rsidRPr="006B52B6">
        <w:rPr>
          <w:rFonts w:ascii="Times New Roman" w:hAnsi="Times New Roman" w:cs="Times New Roman"/>
          <w:sz w:val="24"/>
          <w:szCs w:val="24"/>
        </w:rPr>
        <w:t xml:space="preserve">differs by less than one percent and regional operating capacities are within 5 percent except for </w:t>
      </w:r>
      <w:r w:rsidR="00D63A22">
        <w:rPr>
          <w:rFonts w:ascii="Times New Roman" w:hAnsi="Times New Roman" w:cs="Times New Roman"/>
          <w:sz w:val="24"/>
          <w:szCs w:val="24"/>
        </w:rPr>
        <w:t xml:space="preserve">the BASN regions, where the percentage difference is 8.6%, the result of retirement of a </w:t>
      </w:r>
      <w:r w:rsidR="000E5B95">
        <w:rPr>
          <w:rFonts w:ascii="Times New Roman" w:hAnsi="Times New Roman" w:cs="Times New Roman"/>
          <w:sz w:val="24"/>
          <w:szCs w:val="24"/>
        </w:rPr>
        <w:t xml:space="preserve">resource (coal) </w:t>
      </w:r>
      <w:r w:rsidR="00D63A22">
        <w:rPr>
          <w:rFonts w:ascii="Times New Roman" w:hAnsi="Times New Roman" w:cs="Times New Roman"/>
          <w:sz w:val="24"/>
          <w:szCs w:val="24"/>
        </w:rPr>
        <w:t xml:space="preserve">in Utah, which </w:t>
      </w:r>
      <w:proofErr w:type="gramStart"/>
      <w:r w:rsidR="00D63A22">
        <w:rPr>
          <w:rFonts w:ascii="Times New Roman" w:hAnsi="Times New Roman" w:cs="Times New Roman"/>
          <w:sz w:val="24"/>
          <w:szCs w:val="24"/>
        </w:rPr>
        <w:t>is offset</w:t>
      </w:r>
      <w:proofErr w:type="gramEnd"/>
      <w:r w:rsidR="00D63A22">
        <w:rPr>
          <w:rFonts w:ascii="Times New Roman" w:hAnsi="Times New Roman" w:cs="Times New Roman"/>
          <w:sz w:val="24"/>
          <w:szCs w:val="24"/>
        </w:rPr>
        <w:t xml:space="preserve"> by increased transmission capacity transfers</w:t>
      </w:r>
      <w:r w:rsidR="00E5242A" w:rsidRPr="006B52B6">
        <w:rPr>
          <w:rFonts w:ascii="Times New Roman" w:hAnsi="Times New Roman" w:cs="Times New Roman"/>
          <w:sz w:val="24"/>
          <w:szCs w:val="24"/>
        </w:rPr>
        <w:t>.</w:t>
      </w:r>
      <w:r w:rsidR="0036279B" w:rsidRPr="006B52B6">
        <w:rPr>
          <w:rFonts w:ascii="Times New Roman" w:hAnsi="Times New Roman" w:cs="Times New Roman"/>
          <w:sz w:val="24"/>
          <w:szCs w:val="24"/>
        </w:rPr>
        <w:t xml:space="preserve"> </w:t>
      </w:r>
      <w:r w:rsidR="00D92F6F" w:rsidRPr="006B52B6">
        <w:rPr>
          <w:rFonts w:ascii="Times New Roman" w:hAnsi="Times New Roman" w:cs="Times New Roman"/>
          <w:sz w:val="24"/>
          <w:szCs w:val="24"/>
        </w:rPr>
        <w:t>R</w:t>
      </w:r>
      <w:r w:rsidR="0024082B" w:rsidRPr="006B52B6">
        <w:rPr>
          <w:rFonts w:ascii="Times New Roman" w:hAnsi="Times New Roman" w:cs="Times New Roman"/>
          <w:sz w:val="24"/>
          <w:szCs w:val="24"/>
        </w:rPr>
        <w:t>eserve capacity</w:t>
      </w:r>
      <w:r w:rsidRPr="006B52B6">
        <w:rPr>
          <w:rFonts w:ascii="Times New Roman" w:hAnsi="Times New Roman" w:cs="Times New Roman"/>
          <w:sz w:val="24"/>
          <w:szCs w:val="24"/>
        </w:rPr>
        <w:t xml:space="preserve"> and projected reserve margins for </w:t>
      </w:r>
      <w:r w:rsidR="00531300">
        <w:rPr>
          <w:rFonts w:ascii="Times New Roman" w:hAnsi="Times New Roman" w:cs="Times New Roman"/>
          <w:sz w:val="24"/>
          <w:szCs w:val="24"/>
        </w:rPr>
        <w:t>the mass scenario</w:t>
      </w:r>
      <w:r w:rsidRPr="006B52B6">
        <w:rPr>
          <w:rFonts w:ascii="Times New Roman" w:hAnsi="Times New Roman" w:cs="Times New Roman"/>
          <w:sz w:val="24"/>
          <w:szCs w:val="24"/>
        </w:rPr>
        <w:t xml:space="preserve"> </w:t>
      </w:r>
      <w:r w:rsidR="00D92F6F" w:rsidRPr="006B52B6">
        <w:rPr>
          <w:rFonts w:ascii="Times New Roman" w:hAnsi="Times New Roman" w:cs="Times New Roman"/>
          <w:sz w:val="24"/>
          <w:szCs w:val="24"/>
        </w:rPr>
        <w:t xml:space="preserve">(Tables </w:t>
      </w:r>
      <w:r w:rsidR="00E91493">
        <w:rPr>
          <w:rFonts w:ascii="Times New Roman" w:hAnsi="Times New Roman" w:cs="Times New Roman"/>
          <w:sz w:val="24"/>
          <w:szCs w:val="24"/>
        </w:rPr>
        <w:t>E</w:t>
      </w:r>
      <w:r w:rsidR="00D92F6F" w:rsidRPr="006B52B6">
        <w:rPr>
          <w:rFonts w:ascii="Times New Roman" w:hAnsi="Times New Roman" w:cs="Times New Roman"/>
          <w:sz w:val="24"/>
          <w:szCs w:val="24"/>
        </w:rPr>
        <w:t xml:space="preserve">2 and </w:t>
      </w:r>
      <w:r w:rsidR="00E91493">
        <w:rPr>
          <w:rFonts w:ascii="Times New Roman" w:hAnsi="Times New Roman" w:cs="Times New Roman"/>
          <w:sz w:val="24"/>
          <w:szCs w:val="24"/>
        </w:rPr>
        <w:t>E</w:t>
      </w:r>
      <w:r w:rsidR="00D92F6F" w:rsidRPr="006B52B6">
        <w:rPr>
          <w:rFonts w:ascii="Times New Roman" w:hAnsi="Times New Roman" w:cs="Times New Roman"/>
          <w:sz w:val="24"/>
          <w:szCs w:val="24"/>
        </w:rPr>
        <w:t xml:space="preserve">3) follow a pattern </w:t>
      </w:r>
      <w:r w:rsidR="001C6F68" w:rsidRPr="006B52B6">
        <w:rPr>
          <w:rFonts w:ascii="Times New Roman" w:hAnsi="Times New Roman" w:cs="Times New Roman"/>
          <w:sz w:val="24"/>
          <w:szCs w:val="24"/>
        </w:rPr>
        <w:t xml:space="preserve">similar </w:t>
      </w:r>
      <w:r w:rsidR="00D92F6F" w:rsidRPr="006B52B6">
        <w:rPr>
          <w:rFonts w:ascii="Times New Roman" w:hAnsi="Times New Roman" w:cs="Times New Roman"/>
          <w:sz w:val="24"/>
          <w:szCs w:val="24"/>
        </w:rPr>
        <w:t xml:space="preserve">to operating capacity: totals </w:t>
      </w:r>
      <w:r w:rsidRPr="006B52B6">
        <w:rPr>
          <w:rFonts w:ascii="Times New Roman" w:hAnsi="Times New Roman" w:cs="Times New Roman"/>
          <w:sz w:val="24"/>
          <w:szCs w:val="24"/>
        </w:rPr>
        <w:t xml:space="preserve">are within 1% of the projections for the corresponding outputs </w:t>
      </w:r>
      <w:r w:rsidR="00531300">
        <w:rPr>
          <w:rFonts w:ascii="Times New Roman" w:hAnsi="Times New Roman" w:cs="Times New Roman"/>
          <w:sz w:val="24"/>
          <w:szCs w:val="24"/>
        </w:rPr>
        <w:t>rate scenario</w:t>
      </w:r>
      <w:r w:rsidR="00D92F6F" w:rsidRPr="006B52B6">
        <w:rPr>
          <w:rFonts w:ascii="Times New Roman" w:hAnsi="Times New Roman" w:cs="Times New Roman"/>
          <w:sz w:val="24"/>
          <w:szCs w:val="24"/>
        </w:rPr>
        <w:t xml:space="preserve"> an</w:t>
      </w:r>
      <w:r w:rsidR="001C6F68" w:rsidRPr="006B52B6">
        <w:rPr>
          <w:rFonts w:ascii="Times New Roman" w:hAnsi="Times New Roman" w:cs="Times New Roman"/>
          <w:sz w:val="24"/>
          <w:szCs w:val="24"/>
        </w:rPr>
        <w:t xml:space="preserve">d </w:t>
      </w:r>
      <w:r w:rsidR="00D92F6F" w:rsidRPr="006B52B6">
        <w:rPr>
          <w:rFonts w:ascii="Times New Roman" w:hAnsi="Times New Roman" w:cs="Times New Roman"/>
          <w:sz w:val="24"/>
          <w:szCs w:val="24"/>
        </w:rPr>
        <w:t xml:space="preserve">regional </w:t>
      </w:r>
      <w:r w:rsidR="001C6F68" w:rsidRPr="006B52B6">
        <w:rPr>
          <w:rFonts w:ascii="Times New Roman" w:hAnsi="Times New Roman" w:cs="Times New Roman"/>
          <w:sz w:val="24"/>
          <w:szCs w:val="24"/>
        </w:rPr>
        <w:t xml:space="preserve">reserve </w:t>
      </w:r>
      <w:r w:rsidR="00D92F6F" w:rsidRPr="006B52B6">
        <w:rPr>
          <w:rFonts w:ascii="Times New Roman" w:hAnsi="Times New Roman" w:cs="Times New Roman"/>
          <w:sz w:val="24"/>
          <w:szCs w:val="24"/>
        </w:rPr>
        <w:t>capacities are under 5 percent</w:t>
      </w:r>
      <w:r w:rsidRPr="006B52B6">
        <w:rPr>
          <w:rFonts w:ascii="Times New Roman" w:hAnsi="Times New Roman" w:cs="Times New Roman"/>
          <w:sz w:val="24"/>
          <w:szCs w:val="24"/>
        </w:rPr>
        <w:t>.</w:t>
      </w:r>
    </w:p>
    <w:p w14:paraId="1F9DA641" w14:textId="37B285E7" w:rsidR="00922A27" w:rsidRPr="006B52B6" w:rsidRDefault="00C11553" w:rsidP="006B52B6">
      <w:pPr>
        <w:spacing w:line="360" w:lineRule="auto"/>
        <w:ind w:firstLine="720"/>
        <w:rPr>
          <w:rFonts w:ascii="Times New Roman" w:hAnsi="Times New Roman" w:cs="Times New Roman"/>
          <w:sz w:val="24"/>
          <w:szCs w:val="24"/>
        </w:rPr>
      </w:pPr>
      <w:r w:rsidRPr="006B52B6">
        <w:rPr>
          <w:rFonts w:ascii="Times New Roman" w:hAnsi="Times New Roman" w:cs="Times New Roman"/>
          <w:sz w:val="24"/>
          <w:szCs w:val="24"/>
        </w:rPr>
        <w:t xml:space="preserve">Differences between the </w:t>
      </w:r>
      <w:r w:rsidR="00F1707A">
        <w:rPr>
          <w:rFonts w:ascii="Times New Roman" w:hAnsi="Times New Roman" w:cs="Times New Roman"/>
          <w:sz w:val="24"/>
          <w:szCs w:val="24"/>
        </w:rPr>
        <w:t>scenarios</w:t>
      </w:r>
      <w:r w:rsidRPr="006B52B6">
        <w:rPr>
          <w:rFonts w:ascii="Times New Roman" w:hAnsi="Times New Roman" w:cs="Times New Roman"/>
          <w:sz w:val="24"/>
          <w:szCs w:val="24"/>
        </w:rPr>
        <w:t xml:space="preserve"> develop in the types of capacity that are retired and in the amount and types of new capacity built in</w:t>
      </w:r>
      <w:r w:rsidR="00F1707A">
        <w:rPr>
          <w:rFonts w:ascii="Times New Roman" w:hAnsi="Times New Roman" w:cs="Times New Roman"/>
          <w:sz w:val="24"/>
          <w:szCs w:val="24"/>
        </w:rPr>
        <w:t xml:space="preserve"> </w:t>
      </w:r>
      <w:r w:rsidRPr="006B52B6">
        <w:rPr>
          <w:rFonts w:ascii="Times New Roman" w:hAnsi="Times New Roman" w:cs="Times New Roman"/>
          <w:sz w:val="24"/>
          <w:szCs w:val="24"/>
        </w:rPr>
        <w:t>202</w:t>
      </w:r>
      <w:r w:rsidR="00F1707A">
        <w:rPr>
          <w:rFonts w:ascii="Times New Roman" w:hAnsi="Times New Roman" w:cs="Times New Roman"/>
          <w:sz w:val="24"/>
          <w:szCs w:val="24"/>
        </w:rPr>
        <w:t>5</w:t>
      </w:r>
      <w:r w:rsidR="000277E0">
        <w:rPr>
          <w:rFonts w:ascii="Times New Roman" w:hAnsi="Times New Roman" w:cs="Times New Roman"/>
          <w:sz w:val="24"/>
          <w:szCs w:val="24"/>
        </w:rPr>
        <w:t xml:space="preserve">. </w:t>
      </w:r>
      <w:r w:rsidRPr="006B52B6">
        <w:rPr>
          <w:rFonts w:ascii="Times New Roman" w:hAnsi="Times New Roman" w:cs="Times New Roman"/>
          <w:sz w:val="24"/>
          <w:szCs w:val="24"/>
        </w:rPr>
        <w:t xml:space="preserve">The </w:t>
      </w:r>
      <w:r w:rsidR="00F1707A">
        <w:rPr>
          <w:rFonts w:ascii="Times New Roman" w:hAnsi="Times New Roman" w:cs="Times New Roman"/>
          <w:sz w:val="24"/>
          <w:szCs w:val="24"/>
        </w:rPr>
        <w:t>mass scenario</w:t>
      </w:r>
      <w:r w:rsidRPr="006B52B6">
        <w:rPr>
          <w:rFonts w:ascii="Times New Roman" w:hAnsi="Times New Roman" w:cs="Times New Roman"/>
          <w:sz w:val="24"/>
          <w:szCs w:val="24"/>
        </w:rPr>
        <w:t xml:space="preserve"> results show </w:t>
      </w:r>
      <w:r w:rsidR="00F1707A">
        <w:rPr>
          <w:rFonts w:ascii="Times New Roman" w:hAnsi="Times New Roman" w:cs="Times New Roman"/>
          <w:sz w:val="24"/>
          <w:szCs w:val="24"/>
        </w:rPr>
        <w:t xml:space="preserve">more </w:t>
      </w:r>
      <w:r w:rsidR="00C1527D" w:rsidRPr="006B52B6">
        <w:rPr>
          <w:rFonts w:ascii="Times New Roman" w:hAnsi="Times New Roman" w:cs="Times New Roman"/>
          <w:sz w:val="24"/>
          <w:szCs w:val="24"/>
        </w:rPr>
        <w:t xml:space="preserve">incremental </w:t>
      </w:r>
      <w:r w:rsidRPr="006B52B6">
        <w:rPr>
          <w:rFonts w:ascii="Times New Roman" w:hAnsi="Times New Roman" w:cs="Times New Roman"/>
          <w:sz w:val="24"/>
          <w:szCs w:val="24"/>
        </w:rPr>
        <w:t>retirements of coal capacity (</w:t>
      </w:r>
      <w:r w:rsidR="00F1707A">
        <w:rPr>
          <w:rFonts w:ascii="Times New Roman" w:hAnsi="Times New Roman" w:cs="Times New Roman"/>
          <w:sz w:val="24"/>
          <w:szCs w:val="24"/>
        </w:rPr>
        <w:t>29,319 MW</w:t>
      </w:r>
      <w:r w:rsidRPr="006B52B6">
        <w:rPr>
          <w:rFonts w:ascii="Times New Roman" w:hAnsi="Times New Roman" w:cs="Times New Roman"/>
          <w:sz w:val="24"/>
          <w:szCs w:val="24"/>
        </w:rPr>
        <w:t xml:space="preserve"> compared to </w:t>
      </w:r>
      <w:r w:rsidR="00F1707A">
        <w:rPr>
          <w:rFonts w:ascii="Times New Roman" w:hAnsi="Times New Roman" w:cs="Times New Roman"/>
          <w:sz w:val="24"/>
          <w:szCs w:val="24"/>
        </w:rPr>
        <w:t>22,984 MW</w:t>
      </w:r>
      <w:r w:rsidR="00341042">
        <w:rPr>
          <w:rFonts w:ascii="Times New Roman" w:hAnsi="Times New Roman" w:cs="Times New Roman"/>
          <w:sz w:val="24"/>
          <w:szCs w:val="24"/>
        </w:rPr>
        <w:t xml:space="preserve"> in the rate scenario</w:t>
      </w:r>
      <w:r w:rsidRPr="006B52B6">
        <w:rPr>
          <w:rFonts w:ascii="Times New Roman" w:hAnsi="Times New Roman" w:cs="Times New Roman"/>
          <w:sz w:val="24"/>
          <w:szCs w:val="24"/>
        </w:rPr>
        <w:t xml:space="preserve">) </w:t>
      </w:r>
      <w:r w:rsidR="00F1707A">
        <w:rPr>
          <w:rFonts w:ascii="Times New Roman" w:hAnsi="Times New Roman" w:cs="Times New Roman"/>
          <w:sz w:val="24"/>
          <w:szCs w:val="24"/>
        </w:rPr>
        <w:t xml:space="preserve">and in </w:t>
      </w:r>
      <w:r w:rsidRPr="006B52B6">
        <w:rPr>
          <w:rFonts w:ascii="Times New Roman" w:hAnsi="Times New Roman" w:cs="Times New Roman"/>
          <w:sz w:val="24"/>
          <w:szCs w:val="24"/>
        </w:rPr>
        <w:t xml:space="preserve">Oil-Gas capacity </w:t>
      </w:r>
      <w:r w:rsidR="00F1707A">
        <w:rPr>
          <w:rFonts w:ascii="Times New Roman" w:hAnsi="Times New Roman" w:cs="Times New Roman"/>
          <w:sz w:val="24"/>
          <w:szCs w:val="24"/>
        </w:rPr>
        <w:t>(10,421 MW compared to 9,264 MW).  The mass scenario also resu</w:t>
      </w:r>
      <w:r w:rsidR="00251CD8">
        <w:rPr>
          <w:rFonts w:ascii="Times New Roman" w:hAnsi="Times New Roman" w:cs="Times New Roman"/>
          <w:sz w:val="24"/>
          <w:szCs w:val="24"/>
        </w:rPr>
        <w:t xml:space="preserve">lts in more new NGCC and CT capacity, and less new wind and solar capacity.  The mass scenario still is projected to have </w:t>
      </w:r>
      <w:r w:rsidR="00FB13CA">
        <w:rPr>
          <w:rFonts w:ascii="Times New Roman" w:hAnsi="Times New Roman" w:cs="Times New Roman"/>
          <w:sz w:val="24"/>
          <w:szCs w:val="24"/>
        </w:rPr>
        <w:t xml:space="preserve">a </w:t>
      </w:r>
      <w:r w:rsidR="00251CD8">
        <w:rPr>
          <w:rFonts w:ascii="Times New Roman" w:hAnsi="Times New Roman" w:cs="Times New Roman"/>
          <w:sz w:val="24"/>
          <w:szCs w:val="24"/>
        </w:rPr>
        <w:t xml:space="preserve">decrease </w:t>
      </w:r>
      <w:r w:rsidR="0066601E">
        <w:rPr>
          <w:rFonts w:ascii="Times New Roman" w:hAnsi="Times New Roman" w:cs="Times New Roman"/>
          <w:sz w:val="24"/>
          <w:szCs w:val="24"/>
        </w:rPr>
        <w:t xml:space="preserve">in </w:t>
      </w:r>
      <w:r w:rsidR="00251CD8">
        <w:rPr>
          <w:rFonts w:ascii="Times New Roman" w:hAnsi="Times New Roman" w:cs="Times New Roman"/>
          <w:sz w:val="24"/>
          <w:szCs w:val="24"/>
        </w:rPr>
        <w:t xml:space="preserve">new capacity </w:t>
      </w:r>
      <w:r w:rsidR="00FB13CA">
        <w:rPr>
          <w:rFonts w:ascii="Times New Roman" w:hAnsi="Times New Roman" w:cs="Times New Roman"/>
          <w:sz w:val="24"/>
          <w:szCs w:val="24"/>
        </w:rPr>
        <w:t xml:space="preserve">compared to </w:t>
      </w:r>
      <w:r w:rsidR="00251CD8">
        <w:rPr>
          <w:rFonts w:ascii="Times New Roman" w:hAnsi="Times New Roman" w:cs="Times New Roman"/>
          <w:sz w:val="24"/>
          <w:szCs w:val="24"/>
        </w:rPr>
        <w:t xml:space="preserve">the base case, but the decrease is only 9,971 MW compared to the 12,626 MW in the rate scenario. </w:t>
      </w:r>
      <w:r w:rsidR="00F1707A">
        <w:rPr>
          <w:rFonts w:ascii="Times New Roman" w:hAnsi="Times New Roman" w:cs="Times New Roman"/>
          <w:sz w:val="24"/>
          <w:szCs w:val="24"/>
        </w:rPr>
        <w:t xml:space="preserve"> </w:t>
      </w:r>
      <w:r w:rsidR="00646F54">
        <w:rPr>
          <w:rFonts w:ascii="Times New Roman" w:hAnsi="Times New Roman" w:cs="Times New Roman"/>
          <w:sz w:val="24"/>
          <w:szCs w:val="24"/>
        </w:rPr>
        <w:t xml:space="preserve">No reliability concerns </w:t>
      </w:r>
      <w:proofErr w:type="gramStart"/>
      <w:r w:rsidR="00646F54">
        <w:rPr>
          <w:rFonts w:ascii="Times New Roman" w:hAnsi="Times New Roman" w:cs="Times New Roman"/>
          <w:sz w:val="24"/>
          <w:szCs w:val="24"/>
        </w:rPr>
        <w:t>are raised</w:t>
      </w:r>
      <w:proofErr w:type="gramEnd"/>
      <w:r w:rsidR="00646F54">
        <w:rPr>
          <w:rFonts w:ascii="Times New Roman" w:hAnsi="Times New Roman" w:cs="Times New Roman"/>
          <w:sz w:val="24"/>
          <w:szCs w:val="24"/>
        </w:rPr>
        <w:t xml:space="preserve"> by these differences.</w:t>
      </w:r>
      <w:r w:rsidR="00F70B8D">
        <w:rPr>
          <w:rStyle w:val="FootnoteReference"/>
          <w:rFonts w:ascii="Times New Roman" w:hAnsi="Times New Roman" w:cs="Times New Roman"/>
          <w:sz w:val="24"/>
          <w:szCs w:val="24"/>
        </w:rPr>
        <w:footnoteReference w:id="14"/>
      </w:r>
      <w:r w:rsidR="008358A7" w:rsidRPr="006B52B6">
        <w:rPr>
          <w:rFonts w:ascii="Times New Roman" w:hAnsi="Times New Roman" w:cs="Times New Roman"/>
          <w:sz w:val="24"/>
          <w:szCs w:val="24"/>
        </w:rPr>
        <w:t xml:space="preserve">  </w:t>
      </w:r>
    </w:p>
    <w:p w14:paraId="7DFFD5A4" w14:textId="38E967CE" w:rsidR="008358A7" w:rsidRDefault="00251CD8" w:rsidP="006B52B6">
      <w:pPr>
        <w:spacing w:line="360" w:lineRule="auto"/>
        <w:ind w:firstLine="720"/>
        <w:rPr>
          <w:rFonts w:ascii="Times New Roman" w:hAnsi="Times New Roman" w:cs="Times New Roman"/>
          <w:sz w:val="24"/>
          <w:szCs w:val="24"/>
        </w:rPr>
      </w:pPr>
      <w:r>
        <w:rPr>
          <w:rFonts w:ascii="Times New Roman" w:hAnsi="Times New Roman" w:cs="Times New Roman"/>
          <w:sz w:val="24"/>
          <w:szCs w:val="24"/>
        </w:rPr>
        <w:t xml:space="preserve">The patterns of transfers are also similar.  In the mass scenario, there is somewhat more variation in net transfers than in the rate case.  In </w:t>
      </w:r>
      <w:proofErr w:type="gramStart"/>
      <w:r>
        <w:rPr>
          <w:rFonts w:ascii="Times New Roman" w:hAnsi="Times New Roman" w:cs="Times New Roman"/>
          <w:sz w:val="24"/>
          <w:szCs w:val="24"/>
        </w:rPr>
        <w:t>particular</w:t>
      </w:r>
      <w:proofErr w:type="gramEnd"/>
      <w:r>
        <w:rPr>
          <w:rFonts w:ascii="Times New Roman" w:hAnsi="Times New Roman" w:cs="Times New Roman"/>
          <w:sz w:val="24"/>
          <w:szCs w:val="24"/>
        </w:rPr>
        <w:t xml:space="preserve"> there are two regions with shift</w:t>
      </w:r>
      <w:r w:rsidR="00381409">
        <w:rPr>
          <w:rFonts w:ascii="Times New Roman" w:hAnsi="Times New Roman" w:cs="Times New Roman"/>
          <w:sz w:val="24"/>
          <w:szCs w:val="24"/>
        </w:rPr>
        <w:t>s</w:t>
      </w:r>
      <w:r>
        <w:rPr>
          <w:rFonts w:ascii="Times New Roman" w:hAnsi="Times New Roman" w:cs="Times New Roman"/>
          <w:sz w:val="24"/>
          <w:szCs w:val="24"/>
        </w:rPr>
        <w:t xml:space="preserve"> of more than 5% in the mass scenario: the Northwest and BASN, both in WECC.  These two </w:t>
      </w:r>
      <w:r w:rsidR="00381409">
        <w:rPr>
          <w:rFonts w:ascii="Times New Roman" w:hAnsi="Times New Roman" w:cs="Times New Roman"/>
          <w:sz w:val="24"/>
          <w:szCs w:val="24"/>
        </w:rPr>
        <w:t xml:space="preserve">shifts </w:t>
      </w:r>
      <w:proofErr w:type="gramStart"/>
      <w:r w:rsidR="00381409">
        <w:rPr>
          <w:rFonts w:ascii="Times New Roman" w:hAnsi="Times New Roman" w:cs="Times New Roman"/>
          <w:sz w:val="24"/>
          <w:szCs w:val="24"/>
        </w:rPr>
        <w:t>are linked</w:t>
      </w:r>
      <w:proofErr w:type="gramEnd"/>
      <w:r w:rsidR="00381409">
        <w:rPr>
          <w:rFonts w:ascii="Times New Roman" w:hAnsi="Times New Roman" w:cs="Times New Roman"/>
          <w:sz w:val="24"/>
          <w:szCs w:val="24"/>
        </w:rPr>
        <w:t xml:space="preserve">.  The Northwest reserve transfers include the transfers in the rate scenario discussed above, plus additional transfers from the Northwest to BASN to compensate for the coal </w:t>
      </w:r>
      <w:r w:rsidR="00381409">
        <w:rPr>
          <w:rFonts w:ascii="Times New Roman" w:hAnsi="Times New Roman" w:cs="Times New Roman"/>
          <w:sz w:val="24"/>
          <w:szCs w:val="24"/>
        </w:rPr>
        <w:lastRenderedPageBreak/>
        <w:t xml:space="preserve">retirements in BASN discussed </w:t>
      </w:r>
      <w:proofErr w:type="gramStart"/>
      <w:r w:rsidR="00381409">
        <w:rPr>
          <w:rFonts w:ascii="Times New Roman" w:hAnsi="Times New Roman" w:cs="Times New Roman"/>
          <w:sz w:val="24"/>
          <w:szCs w:val="24"/>
        </w:rPr>
        <w:t>above</w:t>
      </w:r>
      <w:proofErr w:type="gramEnd"/>
      <w:r w:rsidR="00381409">
        <w:rPr>
          <w:rFonts w:ascii="Times New Roman" w:hAnsi="Times New Roman" w:cs="Times New Roman"/>
          <w:sz w:val="24"/>
          <w:szCs w:val="24"/>
        </w:rPr>
        <w:t xml:space="preserve">.  </w:t>
      </w:r>
      <w:r w:rsidR="000277E0">
        <w:rPr>
          <w:rFonts w:ascii="Times New Roman" w:hAnsi="Times New Roman" w:cs="Times New Roman"/>
          <w:sz w:val="24"/>
          <w:szCs w:val="24"/>
        </w:rPr>
        <w:t xml:space="preserve"> </w:t>
      </w:r>
      <w:r w:rsidR="008358A7" w:rsidRPr="006B52B6">
        <w:rPr>
          <w:rFonts w:ascii="Times New Roman" w:hAnsi="Times New Roman" w:cs="Times New Roman"/>
          <w:sz w:val="24"/>
          <w:szCs w:val="24"/>
        </w:rPr>
        <w:t xml:space="preserve">The two cases with the largest percentage shift examined above </w:t>
      </w:r>
      <w:proofErr w:type="gramStart"/>
      <w:r w:rsidR="008358A7" w:rsidRPr="006B52B6">
        <w:rPr>
          <w:rFonts w:ascii="Times New Roman" w:hAnsi="Times New Roman" w:cs="Times New Roman"/>
          <w:sz w:val="24"/>
          <w:szCs w:val="24"/>
        </w:rPr>
        <w:t>are reduced</w:t>
      </w:r>
      <w:proofErr w:type="gramEnd"/>
      <w:r w:rsidR="008358A7" w:rsidRPr="006B52B6">
        <w:rPr>
          <w:rFonts w:ascii="Times New Roman" w:hAnsi="Times New Roman" w:cs="Times New Roman"/>
          <w:sz w:val="24"/>
          <w:szCs w:val="24"/>
        </w:rPr>
        <w:t xml:space="preserve"> in magnitude</w:t>
      </w:r>
      <w:r w:rsidR="000277E0">
        <w:rPr>
          <w:rFonts w:ascii="Times New Roman" w:hAnsi="Times New Roman" w:cs="Times New Roman"/>
          <w:sz w:val="24"/>
          <w:szCs w:val="24"/>
        </w:rPr>
        <w:t xml:space="preserve">. </w:t>
      </w:r>
      <w:r w:rsidR="00381409">
        <w:rPr>
          <w:rFonts w:ascii="Times New Roman" w:hAnsi="Times New Roman" w:cs="Times New Roman"/>
          <w:sz w:val="24"/>
          <w:szCs w:val="24"/>
        </w:rPr>
        <w:t>These transfers in the mass scenario remain below the interregional transfer limits in the modeling and do not appear to present significant reliability related concerns.</w:t>
      </w:r>
      <w:r w:rsidR="009719ED" w:rsidRPr="006B52B6">
        <w:rPr>
          <w:rFonts w:ascii="Times New Roman" w:hAnsi="Times New Roman" w:cs="Times New Roman"/>
          <w:sz w:val="24"/>
          <w:szCs w:val="24"/>
        </w:rPr>
        <w:t xml:space="preserve"> </w:t>
      </w:r>
    </w:p>
    <w:p w14:paraId="2048908E" w14:textId="1AFB9D37" w:rsidR="0032354E" w:rsidRPr="006B52B6" w:rsidRDefault="0032354E" w:rsidP="006B52B6">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same general patterns noted here for 2025 are</w:t>
      </w:r>
      <w:r w:rsidR="00C51AD9">
        <w:rPr>
          <w:rFonts w:ascii="Times New Roman" w:hAnsi="Times New Roman" w:cs="Times New Roman"/>
          <w:sz w:val="24"/>
          <w:szCs w:val="24"/>
        </w:rPr>
        <w:t xml:space="preserve"> also present in 2020 and 2025: </w:t>
      </w:r>
      <w:r>
        <w:rPr>
          <w:rFonts w:ascii="Times New Roman" w:hAnsi="Times New Roman" w:cs="Times New Roman"/>
          <w:sz w:val="24"/>
          <w:szCs w:val="24"/>
        </w:rPr>
        <w:t xml:space="preserve">only minor variations in total operating capacity, somewhat higher fossil steam retirements, more NGCC and CT capacity.   </w:t>
      </w:r>
      <w:r w:rsidR="00C51AD9">
        <w:rPr>
          <w:rFonts w:ascii="Times New Roman" w:hAnsi="Times New Roman" w:cs="Times New Roman"/>
          <w:sz w:val="24"/>
          <w:szCs w:val="24"/>
        </w:rPr>
        <w:t xml:space="preserve">These differences </w:t>
      </w:r>
      <w:r w:rsidR="00341042">
        <w:rPr>
          <w:rFonts w:ascii="Times New Roman" w:hAnsi="Times New Roman" w:cs="Times New Roman"/>
          <w:sz w:val="24"/>
          <w:szCs w:val="24"/>
        </w:rPr>
        <w:t xml:space="preserve">do not </w:t>
      </w:r>
      <w:r w:rsidR="00C51AD9">
        <w:rPr>
          <w:rFonts w:ascii="Times New Roman" w:hAnsi="Times New Roman" w:cs="Times New Roman"/>
          <w:sz w:val="24"/>
          <w:szCs w:val="24"/>
        </w:rPr>
        <w:t xml:space="preserve">raise further issues of resource adequacy.  </w:t>
      </w:r>
      <w:r>
        <w:rPr>
          <w:rFonts w:ascii="Times New Roman" w:hAnsi="Times New Roman" w:cs="Times New Roman"/>
          <w:sz w:val="24"/>
          <w:szCs w:val="24"/>
        </w:rPr>
        <w:t xml:space="preserve">Details </w:t>
      </w:r>
      <w:proofErr w:type="gramStart"/>
      <w:r>
        <w:rPr>
          <w:rFonts w:ascii="Times New Roman" w:hAnsi="Times New Roman" w:cs="Times New Roman"/>
          <w:sz w:val="24"/>
          <w:szCs w:val="24"/>
        </w:rPr>
        <w:t>can be found</w:t>
      </w:r>
      <w:proofErr w:type="gramEnd"/>
      <w:r>
        <w:rPr>
          <w:rFonts w:ascii="Times New Roman" w:hAnsi="Times New Roman" w:cs="Times New Roman"/>
          <w:sz w:val="24"/>
          <w:szCs w:val="24"/>
        </w:rPr>
        <w:t xml:space="preserve"> in the Appendices.</w:t>
      </w:r>
    </w:p>
    <w:p w14:paraId="5AB3E019" w14:textId="77777777" w:rsidR="00912D21" w:rsidRPr="006B52B6" w:rsidRDefault="00912D21" w:rsidP="006B52B6">
      <w:pPr>
        <w:spacing w:line="360" w:lineRule="auto"/>
        <w:rPr>
          <w:rFonts w:ascii="Times New Roman" w:hAnsi="Times New Roman" w:cs="Times New Roman"/>
          <w:sz w:val="24"/>
          <w:szCs w:val="24"/>
        </w:rPr>
      </w:pPr>
    </w:p>
    <w:p w14:paraId="41A91219" w14:textId="77777777" w:rsidR="00912D21" w:rsidRPr="006B52B6" w:rsidRDefault="00912D21" w:rsidP="000C1FA3">
      <w:pPr>
        <w:rPr>
          <w:rFonts w:ascii="Times New Roman" w:hAnsi="Times New Roman" w:cs="Times New Roman"/>
          <w:sz w:val="24"/>
          <w:szCs w:val="24"/>
        </w:rPr>
      </w:pPr>
    </w:p>
    <w:p w14:paraId="0E281BF5" w14:textId="78B01013" w:rsidR="00C175F1" w:rsidRDefault="00CD4EA5" w:rsidP="006B52B6">
      <w:pPr>
        <w:spacing w:line="360" w:lineRule="auto"/>
        <w:jc w:val="center"/>
        <w:rPr>
          <w:rFonts w:ascii="Times New Roman" w:hAnsi="Times New Roman" w:cs="Times New Roman"/>
          <w:b/>
          <w:sz w:val="24"/>
          <w:szCs w:val="24"/>
        </w:rPr>
      </w:pPr>
      <w:r w:rsidRPr="006B52B6">
        <w:rPr>
          <w:rFonts w:ascii="Times New Roman" w:hAnsi="Times New Roman" w:cs="Times New Roman"/>
          <w:sz w:val="24"/>
          <w:szCs w:val="24"/>
        </w:rPr>
        <w:br w:type="column"/>
      </w:r>
      <w:r w:rsidRPr="006B52B6">
        <w:rPr>
          <w:rFonts w:ascii="Times New Roman" w:hAnsi="Times New Roman" w:cs="Times New Roman"/>
          <w:b/>
          <w:sz w:val="24"/>
          <w:szCs w:val="24"/>
        </w:rPr>
        <w:lastRenderedPageBreak/>
        <w:t>Appendix</w:t>
      </w:r>
      <w:r w:rsidR="00EC3B8F" w:rsidRPr="006B52B6">
        <w:rPr>
          <w:rFonts w:ascii="Times New Roman" w:hAnsi="Times New Roman" w:cs="Times New Roman"/>
          <w:b/>
          <w:sz w:val="24"/>
          <w:szCs w:val="24"/>
        </w:rPr>
        <w:t xml:space="preserve"> A</w:t>
      </w:r>
      <w:r w:rsidR="001E64AB" w:rsidRPr="006B52B6">
        <w:rPr>
          <w:rFonts w:ascii="Times New Roman" w:hAnsi="Times New Roman" w:cs="Times New Roman"/>
          <w:b/>
          <w:sz w:val="24"/>
          <w:szCs w:val="24"/>
        </w:rPr>
        <w:t>: Tables by IPM Region</w:t>
      </w:r>
      <w:r w:rsidR="00447DE6">
        <w:rPr>
          <w:rFonts w:ascii="Times New Roman" w:hAnsi="Times New Roman" w:cs="Times New Roman"/>
          <w:b/>
          <w:sz w:val="24"/>
          <w:szCs w:val="24"/>
        </w:rPr>
        <w:t xml:space="preserve"> for </w:t>
      </w:r>
      <w:r w:rsidR="00FB13CA">
        <w:rPr>
          <w:rFonts w:ascii="Times New Roman" w:hAnsi="Times New Roman" w:cs="Times New Roman"/>
          <w:b/>
          <w:sz w:val="24"/>
          <w:szCs w:val="24"/>
        </w:rPr>
        <w:t xml:space="preserve">CPP </w:t>
      </w:r>
      <w:r w:rsidR="00447DE6">
        <w:rPr>
          <w:rFonts w:ascii="Times New Roman" w:hAnsi="Times New Roman" w:cs="Times New Roman"/>
          <w:b/>
          <w:sz w:val="24"/>
          <w:szCs w:val="24"/>
        </w:rPr>
        <w:t>Rate</w:t>
      </w:r>
      <w:r w:rsidR="00FB13CA">
        <w:rPr>
          <w:rFonts w:ascii="Times New Roman" w:hAnsi="Times New Roman" w:cs="Times New Roman"/>
          <w:b/>
          <w:sz w:val="24"/>
          <w:szCs w:val="24"/>
        </w:rPr>
        <w:t>-Based</w:t>
      </w:r>
      <w:r w:rsidR="00447DE6">
        <w:rPr>
          <w:rFonts w:ascii="Times New Roman" w:hAnsi="Times New Roman" w:cs="Times New Roman"/>
          <w:b/>
          <w:sz w:val="24"/>
          <w:szCs w:val="24"/>
        </w:rPr>
        <w:t xml:space="preserve"> Scenario in 202</w:t>
      </w:r>
      <w:r w:rsidR="00FB13CA">
        <w:rPr>
          <w:rFonts w:ascii="Times New Roman" w:hAnsi="Times New Roman" w:cs="Times New Roman"/>
          <w:b/>
          <w:sz w:val="24"/>
          <w:szCs w:val="24"/>
        </w:rPr>
        <w:t>0</w:t>
      </w:r>
      <w:r w:rsidR="00C175F1" w:rsidRPr="006B52B6">
        <w:rPr>
          <w:rFonts w:ascii="Times New Roman" w:hAnsi="Times New Roman" w:cs="Times New Roman"/>
          <w:b/>
          <w:sz w:val="24"/>
          <w:szCs w:val="24"/>
        </w:rPr>
        <w:t xml:space="preserve"> </w:t>
      </w:r>
    </w:p>
    <w:p w14:paraId="25A10A35" w14:textId="6CAA2DDD" w:rsidR="009A62C7" w:rsidRPr="006B52B6" w:rsidRDefault="009A62C7" w:rsidP="006B52B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(Note: All Results Cumulative through Projection Year)</w:t>
      </w:r>
    </w:p>
    <w:p w14:paraId="2F9FBC57" w14:textId="11F65379" w:rsidR="00EC3B8F" w:rsidRPr="006B52B6" w:rsidRDefault="00EC3B8F" w:rsidP="006B52B6">
      <w:pPr>
        <w:spacing w:line="360" w:lineRule="auto"/>
        <w:jc w:val="center"/>
        <w:rPr>
          <w:rFonts w:ascii="Times New Roman" w:hAnsi="Times New Roman" w:cs="Times New Roman"/>
          <w:b/>
          <w:sz w:val="24"/>
          <w:szCs w:val="24"/>
        </w:rPr>
      </w:pPr>
      <w:r w:rsidRPr="006B52B6">
        <w:rPr>
          <w:rFonts w:ascii="Times New Roman" w:hAnsi="Times New Roman" w:cs="Times New Roman"/>
          <w:b/>
          <w:sz w:val="24"/>
          <w:szCs w:val="24"/>
        </w:rPr>
        <w:t>A1. Projected Operational Capacity</w:t>
      </w:r>
    </w:p>
    <w:p w14:paraId="1E09275B" w14:textId="31ECF6E4" w:rsidR="00EC3B8F" w:rsidRPr="006B52B6" w:rsidRDefault="00EC3B8F" w:rsidP="006B52B6">
      <w:pPr>
        <w:spacing w:line="360" w:lineRule="auto"/>
        <w:jc w:val="center"/>
        <w:rPr>
          <w:rFonts w:ascii="Times New Roman" w:hAnsi="Times New Roman" w:cs="Times New Roman"/>
          <w:b/>
          <w:sz w:val="24"/>
          <w:szCs w:val="24"/>
        </w:rPr>
      </w:pPr>
      <w:r w:rsidRPr="006B52B6">
        <w:rPr>
          <w:rFonts w:ascii="Times New Roman" w:hAnsi="Times New Roman" w:cs="Times New Roman"/>
          <w:b/>
          <w:sz w:val="24"/>
          <w:szCs w:val="24"/>
        </w:rPr>
        <w:t xml:space="preserve">A2. </w:t>
      </w:r>
      <w:r w:rsidR="000277E0">
        <w:rPr>
          <w:rFonts w:ascii="Times New Roman" w:hAnsi="Times New Roman" w:cs="Times New Roman"/>
          <w:b/>
          <w:sz w:val="24"/>
          <w:szCs w:val="24"/>
        </w:rPr>
        <w:t xml:space="preserve">. </w:t>
      </w:r>
      <w:r w:rsidR="00C175F1" w:rsidRPr="006B52B6">
        <w:rPr>
          <w:rFonts w:ascii="Times New Roman" w:hAnsi="Times New Roman" w:cs="Times New Roman"/>
          <w:b/>
          <w:sz w:val="24"/>
          <w:szCs w:val="24"/>
        </w:rPr>
        <w:t>Summary of Summer Peak Loads and Reserve Capacity</w:t>
      </w:r>
    </w:p>
    <w:p w14:paraId="6037880D" w14:textId="6AC84990" w:rsidR="001E64AB" w:rsidRPr="006B52B6" w:rsidRDefault="00A56021" w:rsidP="006B52B6">
      <w:pPr>
        <w:spacing w:line="360" w:lineRule="auto"/>
        <w:jc w:val="center"/>
        <w:rPr>
          <w:rFonts w:ascii="Times New Roman" w:hAnsi="Times New Roman" w:cs="Times New Roman"/>
          <w:b/>
          <w:sz w:val="24"/>
          <w:szCs w:val="24"/>
        </w:rPr>
      </w:pPr>
      <w:r w:rsidRPr="006B52B6">
        <w:rPr>
          <w:rFonts w:ascii="Times New Roman" w:hAnsi="Times New Roman" w:cs="Times New Roman"/>
          <w:b/>
          <w:sz w:val="24"/>
          <w:szCs w:val="24"/>
        </w:rPr>
        <w:t>A</w:t>
      </w:r>
      <w:r w:rsidR="005E3F1F" w:rsidRPr="006B52B6">
        <w:rPr>
          <w:rFonts w:ascii="Times New Roman" w:hAnsi="Times New Roman" w:cs="Times New Roman"/>
          <w:b/>
          <w:sz w:val="24"/>
          <w:szCs w:val="24"/>
        </w:rPr>
        <w:t>3</w:t>
      </w:r>
      <w:r w:rsidRPr="006B52B6">
        <w:rPr>
          <w:rFonts w:ascii="Times New Roman" w:hAnsi="Times New Roman" w:cs="Times New Roman"/>
          <w:b/>
          <w:sz w:val="24"/>
          <w:szCs w:val="24"/>
        </w:rPr>
        <w:t xml:space="preserve">. </w:t>
      </w:r>
      <w:r w:rsidR="001E64AB" w:rsidRPr="006B52B6">
        <w:rPr>
          <w:rFonts w:ascii="Times New Roman" w:hAnsi="Times New Roman" w:cs="Times New Roman"/>
          <w:b/>
          <w:sz w:val="24"/>
          <w:szCs w:val="24"/>
        </w:rPr>
        <w:t>Summary of Target and Projected Reserve Margins</w:t>
      </w:r>
    </w:p>
    <w:p w14:paraId="4D6B4B31" w14:textId="20BB171F" w:rsidR="001E64AB" w:rsidRPr="006B52B6" w:rsidRDefault="00A56021" w:rsidP="006B52B6">
      <w:pPr>
        <w:spacing w:line="360" w:lineRule="auto"/>
        <w:jc w:val="center"/>
        <w:rPr>
          <w:rFonts w:ascii="Times New Roman" w:hAnsi="Times New Roman" w:cs="Times New Roman"/>
          <w:b/>
          <w:sz w:val="24"/>
          <w:szCs w:val="24"/>
        </w:rPr>
      </w:pPr>
      <w:r w:rsidRPr="006B52B6">
        <w:rPr>
          <w:rFonts w:ascii="Times New Roman" w:hAnsi="Times New Roman" w:cs="Times New Roman"/>
          <w:b/>
          <w:sz w:val="24"/>
          <w:szCs w:val="24"/>
        </w:rPr>
        <w:t>A</w:t>
      </w:r>
      <w:r w:rsidR="005E3F1F" w:rsidRPr="006B52B6">
        <w:rPr>
          <w:rFonts w:ascii="Times New Roman" w:hAnsi="Times New Roman" w:cs="Times New Roman"/>
          <w:b/>
          <w:sz w:val="24"/>
          <w:szCs w:val="24"/>
        </w:rPr>
        <w:t>4</w:t>
      </w:r>
      <w:r w:rsidRPr="006B52B6">
        <w:rPr>
          <w:rFonts w:ascii="Times New Roman" w:hAnsi="Times New Roman" w:cs="Times New Roman"/>
          <w:b/>
          <w:sz w:val="24"/>
          <w:szCs w:val="24"/>
        </w:rPr>
        <w:t xml:space="preserve">. </w:t>
      </w:r>
      <w:r w:rsidR="001E64AB" w:rsidRPr="006B52B6">
        <w:rPr>
          <w:rFonts w:ascii="Times New Roman" w:hAnsi="Times New Roman" w:cs="Times New Roman"/>
          <w:b/>
          <w:sz w:val="24"/>
          <w:szCs w:val="24"/>
        </w:rPr>
        <w:t>Policy Case Retired Capacity Incremental to Base Case</w:t>
      </w:r>
    </w:p>
    <w:p w14:paraId="283062EE" w14:textId="4472B2D7" w:rsidR="00780F33" w:rsidRPr="006B52B6" w:rsidRDefault="00780F33" w:rsidP="006B52B6">
      <w:pPr>
        <w:spacing w:line="360" w:lineRule="auto"/>
        <w:jc w:val="center"/>
        <w:rPr>
          <w:rFonts w:ascii="Times New Roman" w:hAnsi="Times New Roman" w:cs="Times New Roman"/>
          <w:b/>
          <w:sz w:val="24"/>
          <w:szCs w:val="24"/>
        </w:rPr>
      </w:pPr>
      <w:r w:rsidRPr="006B52B6">
        <w:rPr>
          <w:rFonts w:ascii="Times New Roman" w:hAnsi="Times New Roman" w:cs="Times New Roman"/>
          <w:b/>
          <w:sz w:val="24"/>
          <w:szCs w:val="24"/>
        </w:rPr>
        <w:t>A5. New Capacity in Policy Case Incremental to Base Case</w:t>
      </w:r>
    </w:p>
    <w:p w14:paraId="63500CEA" w14:textId="509B82C6" w:rsidR="00C876AB" w:rsidRDefault="00780F33" w:rsidP="006B52B6">
      <w:pPr>
        <w:spacing w:line="360" w:lineRule="auto"/>
        <w:jc w:val="center"/>
        <w:rPr>
          <w:rFonts w:ascii="Times New Roman" w:eastAsia="Times New Roman" w:hAnsi="Times New Roman" w:cs="Times New Roman"/>
          <w:b/>
          <w:bCs/>
          <w:sz w:val="24"/>
          <w:szCs w:val="24"/>
        </w:rPr>
      </w:pPr>
      <w:r w:rsidRPr="006B52B6">
        <w:rPr>
          <w:rFonts w:ascii="Times New Roman" w:hAnsi="Times New Roman" w:cs="Times New Roman"/>
          <w:b/>
          <w:sz w:val="24"/>
          <w:szCs w:val="24"/>
        </w:rPr>
        <w:t>A6.</w:t>
      </w:r>
      <w:r w:rsidRPr="006B52B6">
        <w:rPr>
          <w:rFonts w:ascii="Times New Roman" w:eastAsia="Times New Roman" w:hAnsi="Times New Roman" w:cs="Times New Roman"/>
          <w:b/>
          <w:bCs/>
          <w:sz w:val="24"/>
          <w:szCs w:val="24"/>
        </w:rPr>
        <w:t xml:space="preserve"> Net Reserves Sent by NERC Assessment Region</w:t>
      </w:r>
    </w:p>
    <w:p w14:paraId="2B31AA31" w14:textId="622DBD2B" w:rsidR="006E64C3" w:rsidRPr="006B52B6" w:rsidRDefault="00C876AB" w:rsidP="006E64C3">
      <w:pPr>
        <w:spacing w:line="360" w:lineRule="auto"/>
        <w:jc w:val="center"/>
        <w:rPr>
          <w:rFonts w:ascii="Times New Roman" w:hAnsi="Times New Roman" w:cs="Times New Roman"/>
          <w:b/>
          <w:sz w:val="24"/>
          <w:szCs w:val="24"/>
        </w:rPr>
      </w:pPr>
      <w:r>
        <w:rPr>
          <w:rFonts w:ascii="Times New Roman" w:eastAsia="Times New Roman" w:hAnsi="Times New Roman" w:cs="Times New Roman"/>
          <w:b/>
          <w:bCs/>
          <w:sz w:val="24"/>
          <w:szCs w:val="24"/>
        </w:rPr>
        <w:br w:type="column"/>
      </w:r>
      <w:r w:rsidR="00F858A0" w:rsidRPr="00F858A0">
        <w:rPr>
          <w:noProof/>
        </w:rPr>
        <w:lastRenderedPageBreak/>
        <w:drawing>
          <wp:inline distT="0" distB="0" distL="0" distR="0" wp14:anchorId="5B9EA70F" wp14:editId="6CC4DA75">
            <wp:extent cx="5943600" cy="37389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738971"/>
                    </a:xfrm>
                    <a:prstGeom prst="rect">
                      <a:avLst/>
                    </a:prstGeom>
                    <a:noFill/>
                    <a:ln>
                      <a:noFill/>
                    </a:ln>
                  </pic:spPr>
                </pic:pic>
              </a:graphicData>
            </a:graphic>
          </wp:inline>
        </w:drawing>
      </w:r>
      <w:r w:rsidR="006E64C3">
        <w:rPr>
          <w:rFonts w:ascii="Times New Roman" w:eastAsia="Times New Roman" w:hAnsi="Times New Roman" w:cs="Times New Roman"/>
          <w:b/>
          <w:bCs/>
          <w:sz w:val="24"/>
          <w:szCs w:val="24"/>
        </w:rPr>
        <w:br w:type="column"/>
      </w:r>
      <w:r w:rsidR="006E64C3" w:rsidRPr="006E64C3">
        <w:rPr>
          <w:noProof/>
        </w:rPr>
        <w:lastRenderedPageBreak/>
        <w:drawing>
          <wp:inline distT="0" distB="0" distL="0" distR="0" wp14:anchorId="628025BC" wp14:editId="1BD4329B">
            <wp:extent cx="4498340" cy="41306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8340" cy="4130675"/>
                    </a:xfrm>
                    <a:prstGeom prst="rect">
                      <a:avLst/>
                    </a:prstGeom>
                    <a:noFill/>
                    <a:ln>
                      <a:noFill/>
                    </a:ln>
                  </pic:spPr>
                </pic:pic>
              </a:graphicData>
            </a:graphic>
          </wp:inline>
        </w:drawing>
      </w:r>
      <w:r w:rsidR="006E64C3">
        <w:rPr>
          <w:rFonts w:ascii="Times New Roman" w:eastAsia="Times New Roman" w:hAnsi="Times New Roman" w:cs="Times New Roman"/>
          <w:b/>
          <w:bCs/>
          <w:sz w:val="24"/>
          <w:szCs w:val="24"/>
        </w:rPr>
        <w:br w:type="column"/>
      </w:r>
      <w:r w:rsidR="006E64C3" w:rsidRPr="006E64C3">
        <w:rPr>
          <w:noProof/>
        </w:rPr>
        <w:lastRenderedPageBreak/>
        <w:drawing>
          <wp:inline distT="0" distB="0" distL="0" distR="0" wp14:anchorId="47BF86F7" wp14:editId="505148EC">
            <wp:extent cx="5943600" cy="467912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79122"/>
                    </a:xfrm>
                    <a:prstGeom prst="rect">
                      <a:avLst/>
                    </a:prstGeom>
                    <a:noFill/>
                    <a:ln>
                      <a:noFill/>
                    </a:ln>
                  </pic:spPr>
                </pic:pic>
              </a:graphicData>
            </a:graphic>
          </wp:inline>
        </w:drawing>
      </w:r>
      <w:r w:rsidR="006E64C3">
        <w:rPr>
          <w:rFonts w:ascii="Times New Roman" w:eastAsia="Times New Roman" w:hAnsi="Times New Roman" w:cs="Times New Roman"/>
          <w:b/>
          <w:bCs/>
          <w:sz w:val="24"/>
          <w:szCs w:val="24"/>
        </w:rPr>
        <w:br w:type="column"/>
      </w:r>
      <w:r w:rsidR="006E64C3" w:rsidRPr="006E64C3">
        <w:rPr>
          <w:noProof/>
        </w:rPr>
        <w:lastRenderedPageBreak/>
        <w:drawing>
          <wp:inline distT="0" distB="0" distL="0" distR="0" wp14:anchorId="7978D941" wp14:editId="6721AB73">
            <wp:extent cx="5601970" cy="420433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1970" cy="4204335"/>
                    </a:xfrm>
                    <a:prstGeom prst="rect">
                      <a:avLst/>
                    </a:prstGeom>
                    <a:noFill/>
                    <a:ln>
                      <a:noFill/>
                    </a:ln>
                  </pic:spPr>
                </pic:pic>
              </a:graphicData>
            </a:graphic>
          </wp:inline>
        </w:drawing>
      </w:r>
      <w:r w:rsidR="006E64C3">
        <w:rPr>
          <w:rFonts w:ascii="Times New Roman" w:eastAsia="Times New Roman" w:hAnsi="Times New Roman" w:cs="Times New Roman"/>
          <w:b/>
          <w:bCs/>
          <w:sz w:val="24"/>
          <w:szCs w:val="24"/>
        </w:rPr>
        <w:br w:type="column"/>
      </w:r>
      <w:r w:rsidR="006E64C3" w:rsidRPr="006E64C3">
        <w:rPr>
          <w:noProof/>
        </w:rPr>
        <w:lastRenderedPageBreak/>
        <w:drawing>
          <wp:inline distT="0" distB="0" distL="0" distR="0" wp14:anchorId="7E82F6D3" wp14:editId="1669A51F">
            <wp:extent cx="5943600" cy="4011676"/>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011676"/>
                    </a:xfrm>
                    <a:prstGeom prst="rect">
                      <a:avLst/>
                    </a:prstGeom>
                    <a:noFill/>
                    <a:ln>
                      <a:noFill/>
                    </a:ln>
                  </pic:spPr>
                </pic:pic>
              </a:graphicData>
            </a:graphic>
          </wp:inline>
        </w:drawing>
      </w:r>
      <w:r w:rsidR="006E64C3">
        <w:rPr>
          <w:rFonts w:ascii="Times New Roman" w:eastAsia="Times New Roman" w:hAnsi="Times New Roman" w:cs="Times New Roman"/>
          <w:b/>
          <w:bCs/>
          <w:sz w:val="24"/>
          <w:szCs w:val="24"/>
        </w:rPr>
        <w:br w:type="column"/>
      </w:r>
      <w:r w:rsidR="006E64C3" w:rsidRPr="006E64C3">
        <w:rPr>
          <w:noProof/>
        </w:rPr>
        <w:lastRenderedPageBreak/>
        <w:drawing>
          <wp:inline distT="0" distB="0" distL="0" distR="0" wp14:anchorId="4263A085" wp14:editId="2ADA2E14">
            <wp:extent cx="5024120" cy="3447415"/>
            <wp:effectExtent l="0" t="0" r="508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24120" cy="3447415"/>
                    </a:xfrm>
                    <a:prstGeom prst="rect">
                      <a:avLst/>
                    </a:prstGeom>
                    <a:noFill/>
                    <a:ln>
                      <a:noFill/>
                    </a:ln>
                  </pic:spPr>
                </pic:pic>
              </a:graphicData>
            </a:graphic>
          </wp:inline>
        </w:drawing>
      </w:r>
      <w:r w:rsidR="006E64C3">
        <w:rPr>
          <w:rFonts w:ascii="Times New Roman" w:eastAsia="Times New Roman" w:hAnsi="Times New Roman" w:cs="Times New Roman"/>
          <w:b/>
          <w:bCs/>
          <w:sz w:val="24"/>
          <w:szCs w:val="24"/>
        </w:rPr>
        <w:br w:type="column"/>
      </w:r>
      <w:r w:rsidR="006E64C3" w:rsidRPr="006B52B6">
        <w:rPr>
          <w:rFonts w:ascii="Times New Roman" w:hAnsi="Times New Roman" w:cs="Times New Roman"/>
          <w:b/>
          <w:sz w:val="24"/>
          <w:szCs w:val="24"/>
        </w:rPr>
        <w:lastRenderedPageBreak/>
        <w:t xml:space="preserve">Appendix </w:t>
      </w:r>
      <w:r w:rsidR="006E64C3">
        <w:rPr>
          <w:rFonts w:ascii="Times New Roman" w:hAnsi="Times New Roman" w:cs="Times New Roman"/>
          <w:b/>
          <w:sz w:val="24"/>
          <w:szCs w:val="24"/>
        </w:rPr>
        <w:t>B</w:t>
      </w:r>
      <w:r w:rsidR="006E64C3" w:rsidRPr="006B52B6">
        <w:rPr>
          <w:rFonts w:ascii="Times New Roman" w:hAnsi="Times New Roman" w:cs="Times New Roman"/>
          <w:b/>
          <w:sz w:val="24"/>
          <w:szCs w:val="24"/>
        </w:rPr>
        <w:t>: Tables by IPM Region</w:t>
      </w:r>
      <w:r w:rsidR="006E64C3">
        <w:rPr>
          <w:rFonts w:ascii="Times New Roman" w:hAnsi="Times New Roman" w:cs="Times New Roman"/>
          <w:b/>
          <w:sz w:val="24"/>
          <w:szCs w:val="24"/>
        </w:rPr>
        <w:t xml:space="preserve"> for CPP Rate-Based Scenario in 202</w:t>
      </w:r>
      <w:r w:rsidR="00D90828">
        <w:rPr>
          <w:rFonts w:ascii="Times New Roman" w:hAnsi="Times New Roman" w:cs="Times New Roman"/>
          <w:b/>
          <w:sz w:val="24"/>
          <w:szCs w:val="24"/>
        </w:rPr>
        <w:t>5</w:t>
      </w:r>
      <w:r w:rsidR="006E64C3" w:rsidRPr="006B52B6">
        <w:rPr>
          <w:rFonts w:ascii="Times New Roman" w:hAnsi="Times New Roman" w:cs="Times New Roman"/>
          <w:b/>
          <w:sz w:val="24"/>
          <w:szCs w:val="24"/>
        </w:rPr>
        <w:t xml:space="preserve"> </w:t>
      </w:r>
    </w:p>
    <w:p w14:paraId="158EE268" w14:textId="77777777" w:rsidR="009A62C7" w:rsidRPr="006B52B6" w:rsidRDefault="009A62C7" w:rsidP="009A62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(Note: All Results Cumulative through Projection Year)</w:t>
      </w:r>
    </w:p>
    <w:p w14:paraId="2B5ADCDD" w14:textId="7C39DB4D" w:rsidR="006E64C3" w:rsidRPr="006B52B6" w:rsidRDefault="006E64C3" w:rsidP="006E64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r w:rsidRPr="006B52B6">
        <w:rPr>
          <w:rFonts w:ascii="Times New Roman" w:hAnsi="Times New Roman" w:cs="Times New Roman"/>
          <w:b/>
          <w:sz w:val="24"/>
          <w:szCs w:val="24"/>
        </w:rPr>
        <w:t>1. Projected Operational Capacity</w:t>
      </w:r>
    </w:p>
    <w:p w14:paraId="57D7D390" w14:textId="6C7254D5" w:rsidR="006E64C3" w:rsidRPr="006B52B6" w:rsidRDefault="006E64C3" w:rsidP="006E64C3">
      <w:pPr>
        <w:spacing w:line="36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B2</w:t>
      </w:r>
      <w:r w:rsidRPr="006B52B6">
        <w:rPr>
          <w:rFonts w:ascii="Times New Roman" w:hAnsi="Times New Roman" w:cs="Times New Roman"/>
          <w:b/>
          <w:sz w:val="24"/>
          <w:szCs w:val="24"/>
        </w:rPr>
        <w:t xml:space="preserve"> </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sidRPr="006B52B6">
        <w:rPr>
          <w:rFonts w:ascii="Times New Roman" w:hAnsi="Times New Roman" w:cs="Times New Roman"/>
          <w:b/>
          <w:sz w:val="24"/>
          <w:szCs w:val="24"/>
        </w:rPr>
        <w:t>Summary of Summer Peak Loads and Reserve Capacity</w:t>
      </w:r>
    </w:p>
    <w:p w14:paraId="0DDC2DE2" w14:textId="5FA2B2ED" w:rsidR="006E64C3" w:rsidRPr="006B52B6" w:rsidRDefault="006E64C3" w:rsidP="006E64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r w:rsidRPr="006B52B6">
        <w:rPr>
          <w:rFonts w:ascii="Times New Roman" w:hAnsi="Times New Roman" w:cs="Times New Roman"/>
          <w:b/>
          <w:sz w:val="24"/>
          <w:szCs w:val="24"/>
        </w:rPr>
        <w:t>3. Summary of Target and Projected Reserve Margins</w:t>
      </w:r>
    </w:p>
    <w:p w14:paraId="52D8E029" w14:textId="2D0B849A" w:rsidR="006E64C3" w:rsidRPr="006B52B6" w:rsidRDefault="006E64C3" w:rsidP="006E64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r w:rsidRPr="006B52B6">
        <w:rPr>
          <w:rFonts w:ascii="Times New Roman" w:hAnsi="Times New Roman" w:cs="Times New Roman"/>
          <w:b/>
          <w:sz w:val="24"/>
          <w:szCs w:val="24"/>
        </w:rPr>
        <w:t>4. Policy Case Retired Capacity Incremental to Base Case</w:t>
      </w:r>
    </w:p>
    <w:p w14:paraId="651C7369" w14:textId="22F0DB37" w:rsidR="006E64C3" w:rsidRPr="006B52B6" w:rsidRDefault="006E64C3" w:rsidP="006E64C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w:t>
      </w:r>
      <w:r w:rsidRPr="006B52B6">
        <w:rPr>
          <w:rFonts w:ascii="Times New Roman" w:hAnsi="Times New Roman" w:cs="Times New Roman"/>
          <w:b/>
          <w:sz w:val="24"/>
          <w:szCs w:val="24"/>
        </w:rPr>
        <w:t>5. New Capacity in Policy Case Incremental to Base Case</w:t>
      </w:r>
    </w:p>
    <w:p w14:paraId="0F848047" w14:textId="37E56527" w:rsidR="006E64C3" w:rsidRDefault="006E64C3" w:rsidP="006E64C3">
      <w:pPr>
        <w:spacing w:line="360" w:lineRule="auto"/>
        <w:jc w:val="center"/>
        <w:rPr>
          <w:rFonts w:ascii="Times New Roman" w:eastAsia="Times New Roman" w:hAnsi="Times New Roman" w:cs="Times New Roman"/>
          <w:b/>
          <w:bCs/>
          <w:sz w:val="24"/>
          <w:szCs w:val="24"/>
        </w:rPr>
      </w:pPr>
      <w:r>
        <w:rPr>
          <w:rFonts w:ascii="Times New Roman" w:hAnsi="Times New Roman" w:cs="Times New Roman"/>
          <w:b/>
          <w:sz w:val="24"/>
          <w:szCs w:val="24"/>
        </w:rPr>
        <w:t>B</w:t>
      </w:r>
      <w:r w:rsidRPr="006B52B6">
        <w:rPr>
          <w:rFonts w:ascii="Times New Roman" w:hAnsi="Times New Roman" w:cs="Times New Roman"/>
          <w:b/>
          <w:sz w:val="24"/>
          <w:szCs w:val="24"/>
        </w:rPr>
        <w:t>6.</w:t>
      </w:r>
      <w:r w:rsidRPr="006B52B6">
        <w:rPr>
          <w:rFonts w:ascii="Times New Roman" w:eastAsia="Times New Roman" w:hAnsi="Times New Roman" w:cs="Times New Roman"/>
          <w:b/>
          <w:bCs/>
          <w:sz w:val="24"/>
          <w:szCs w:val="24"/>
        </w:rPr>
        <w:t xml:space="preserve"> Net Reserves Sent by NERC Assessment Region</w:t>
      </w:r>
    </w:p>
    <w:p w14:paraId="3FB6F5FF" w14:textId="02233B7C" w:rsidR="003C3753" w:rsidRPr="006B52B6" w:rsidRDefault="006E64C3" w:rsidP="003C3753">
      <w:pPr>
        <w:spacing w:line="360" w:lineRule="auto"/>
        <w:jc w:val="center"/>
        <w:rPr>
          <w:rFonts w:ascii="Times New Roman" w:hAnsi="Times New Roman" w:cs="Times New Roman"/>
          <w:b/>
          <w:sz w:val="24"/>
          <w:szCs w:val="24"/>
        </w:rPr>
      </w:pPr>
      <w:r>
        <w:rPr>
          <w:rFonts w:ascii="Times New Roman" w:eastAsia="Times New Roman" w:hAnsi="Times New Roman" w:cs="Times New Roman"/>
          <w:b/>
          <w:bCs/>
          <w:sz w:val="24"/>
          <w:szCs w:val="24"/>
        </w:rPr>
        <w:br w:type="column"/>
      </w:r>
      <w:r w:rsidRPr="006E64C3">
        <w:rPr>
          <w:noProof/>
        </w:rPr>
        <w:lastRenderedPageBreak/>
        <w:drawing>
          <wp:inline distT="0" distB="0" distL="0" distR="0" wp14:anchorId="3A31B85B" wp14:editId="67044775">
            <wp:extent cx="5943600" cy="373897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38971"/>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Pr="006E64C3">
        <w:rPr>
          <w:noProof/>
        </w:rPr>
        <w:lastRenderedPageBreak/>
        <w:drawing>
          <wp:inline distT="0" distB="0" distL="0" distR="0" wp14:anchorId="1392FE4A" wp14:editId="60A50887">
            <wp:extent cx="4498340" cy="41306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98340" cy="4130675"/>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3C3753" w:rsidRPr="003C3753">
        <w:rPr>
          <w:noProof/>
        </w:rPr>
        <w:lastRenderedPageBreak/>
        <w:drawing>
          <wp:inline distT="0" distB="0" distL="0" distR="0" wp14:anchorId="44021C2F" wp14:editId="322B5770">
            <wp:extent cx="5181600" cy="4824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4824095"/>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3C3753" w:rsidRPr="003C3753">
        <w:rPr>
          <w:noProof/>
        </w:rPr>
        <w:lastRenderedPageBreak/>
        <w:drawing>
          <wp:inline distT="0" distB="0" distL="0" distR="0" wp14:anchorId="1B8EDA5E" wp14:editId="68E420CE">
            <wp:extent cx="5601970" cy="420433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1970" cy="4204335"/>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3C3753" w:rsidRPr="003C3753">
        <w:rPr>
          <w:noProof/>
        </w:rPr>
        <w:lastRenderedPageBreak/>
        <w:drawing>
          <wp:inline distT="0" distB="0" distL="0" distR="0" wp14:anchorId="7A15157F" wp14:editId="14FB1199">
            <wp:extent cx="5943600" cy="401167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011676"/>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3C3753" w:rsidRPr="003C3753">
        <w:rPr>
          <w:noProof/>
        </w:rPr>
        <w:lastRenderedPageBreak/>
        <w:drawing>
          <wp:inline distT="0" distB="0" distL="0" distR="0" wp14:anchorId="0A793C61" wp14:editId="33BACA06">
            <wp:extent cx="5024120" cy="3447415"/>
            <wp:effectExtent l="0" t="0" r="508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4120" cy="3447415"/>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3C3753" w:rsidRPr="006B52B6">
        <w:rPr>
          <w:rFonts w:ascii="Times New Roman" w:hAnsi="Times New Roman" w:cs="Times New Roman"/>
          <w:b/>
          <w:sz w:val="24"/>
          <w:szCs w:val="24"/>
        </w:rPr>
        <w:lastRenderedPageBreak/>
        <w:t xml:space="preserve">Appendix </w:t>
      </w:r>
      <w:r w:rsidR="003C3753">
        <w:rPr>
          <w:rFonts w:ascii="Times New Roman" w:hAnsi="Times New Roman" w:cs="Times New Roman"/>
          <w:b/>
          <w:sz w:val="24"/>
          <w:szCs w:val="24"/>
        </w:rPr>
        <w:t>C</w:t>
      </w:r>
      <w:r w:rsidR="003C3753" w:rsidRPr="006B52B6">
        <w:rPr>
          <w:rFonts w:ascii="Times New Roman" w:hAnsi="Times New Roman" w:cs="Times New Roman"/>
          <w:b/>
          <w:sz w:val="24"/>
          <w:szCs w:val="24"/>
        </w:rPr>
        <w:t>: Tables by IPM Region</w:t>
      </w:r>
      <w:r w:rsidR="003C3753">
        <w:rPr>
          <w:rFonts w:ascii="Times New Roman" w:hAnsi="Times New Roman" w:cs="Times New Roman"/>
          <w:b/>
          <w:sz w:val="24"/>
          <w:szCs w:val="24"/>
        </w:rPr>
        <w:t xml:space="preserve"> for CPP Rate-Based</w:t>
      </w:r>
      <w:r w:rsidR="00D90828">
        <w:rPr>
          <w:rFonts w:ascii="Times New Roman" w:hAnsi="Times New Roman" w:cs="Times New Roman"/>
          <w:b/>
          <w:sz w:val="24"/>
          <w:szCs w:val="24"/>
        </w:rPr>
        <w:t xml:space="preserve"> Scenario in 203</w:t>
      </w:r>
      <w:r w:rsidR="003C3753">
        <w:rPr>
          <w:rFonts w:ascii="Times New Roman" w:hAnsi="Times New Roman" w:cs="Times New Roman"/>
          <w:b/>
          <w:sz w:val="24"/>
          <w:szCs w:val="24"/>
        </w:rPr>
        <w:t>0</w:t>
      </w:r>
      <w:r w:rsidR="003C3753" w:rsidRPr="006B52B6">
        <w:rPr>
          <w:rFonts w:ascii="Times New Roman" w:hAnsi="Times New Roman" w:cs="Times New Roman"/>
          <w:b/>
          <w:sz w:val="24"/>
          <w:szCs w:val="24"/>
        </w:rPr>
        <w:t xml:space="preserve"> </w:t>
      </w:r>
    </w:p>
    <w:p w14:paraId="259068CE" w14:textId="77777777" w:rsidR="009A62C7" w:rsidRPr="006B52B6" w:rsidRDefault="009A62C7" w:rsidP="009A62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(Note: All Results Cumulative through Projection Year)</w:t>
      </w:r>
    </w:p>
    <w:p w14:paraId="690813B9" w14:textId="760403A9" w:rsidR="003C3753" w:rsidRPr="006B52B6" w:rsidRDefault="003C3753" w:rsidP="003C37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r w:rsidRPr="006B52B6">
        <w:rPr>
          <w:rFonts w:ascii="Times New Roman" w:hAnsi="Times New Roman" w:cs="Times New Roman"/>
          <w:b/>
          <w:sz w:val="24"/>
          <w:szCs w:val="24"/>
        </w:rPr>
        <w:t>1. Projected Operational Capacity</w:t>
      </w:r>
    </w:p>
    <w:p w14:paraId="75E9831C" w14:textId="70F6CA0E" w:rsidR="003C3753" w:rsidRPr="006B52B6" w:rsidRDefault="003C3753" w:rsidP="003C37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C2. </w:t>
      </w:r>
      <w:r w:rsidRPr="006B52B6">
        <w:rPr>
          <w:rFonts w:ascii="Times New Roman" w:hAnsi="Times New Roman" w:cs="Times New Roman"/>
          <w:b/>
          <w:sz w:val="24"/>
          <w:szCs w:val="24"/>
        </w:rPr>
        <w:t>Summary of Summer Peak Loads and Reserve Capacity</w:t>
      </w:r>
    </w:p>
    <w:p w14:paraId="1A57C063" w14:textId="399E492A" w:rsidR="003C3753" w:rsidRPr="006B52B6" w:rsidRDefault="003C3753" w:rsidP="003C37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r w:rsidRPr="006B52B6">
        <w:rPr>
          <w:rFonts w:ascii="Times New Roman" w:hAnsi="Times New Roman" w:cs="Times New Roman"/>
          <w:b/>
          <w:sz w:val="24"/>
          <w:szCs w:val="24"/>
        </w:rPr>
        <w:t>3. Summary of Target and Projected Reserve Margins</w:t>
      </w:r>
    </w:p>
    <w:p w14:paraId="337C4924" w14:textId="5595F672" w:rsidR="003C3753" w:rsidRPr="006B52B6" w:rsidRDefault="003C3753" w:rsidP="003C37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r w:rsidRPr="006B52B6">
        <w:rPr>
          <w:rFonts w:ascii="Times New Roman" w:hAnsi="Times New Roman" w:cs="Times New Roman"/>
          <w:b/>
          <w:sz w:val="24"/>
          <w:szCs w:val="24"/>
        </w:rPr>
        <w:t>4. Policy Case Retired Capacity Incremental to Base Case</w:t>
      </w:r>
    </w:p>
    <w:p w14:paraId="420EC63D" w14:textId="5D759E20" w:rsidR="003C3753" w:rsidRPr="006B52B6" w:rsidRDefault="003C3753" w:rsidP="003C37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w:t>
      </w:r>
      <w:r w:rsidRPr="006B52B6">
        <w:rPr>
          <w:rFonts w:ascii="Times New Roman" w:hAnsi="Times New Roman" w:cs="Times New Roman"/>
          <w:b/>
          <w:sz w:val="24"/>
          <w:szCs w:val="24"/>
        </w:rPr>
        <w:t>5. New Capacity in Policy Case Incremental to Base Case</w:t>
      </w:r>
    </w:p>
    <w:p w14:paraId="4BD7FC09" w14:textId="27D6A7F9" w:rsidR="003C3753" w:rsidRDefault="003C3753" w:rsidP="003C3753">
      <w:pPr>
        <w:spacing w:line="360" w:lineRule="auto"/>
        <w:jc w:val="center"/>
        <w:rPr>
          <w:rFonts w:ascii="Times New Roman" w:eastAsia="Times New Roman" w:hAnsi="Times New Roman" w:cs="Times New Roman"/>
          <w:b/>
          <w:bCs/>
          <w:sz w:val="24"/>
          <w:szCs w:val="24"/>
        </w:rPr>
      </w:pPr>
      <w:r>
        <w:rPr>
          <w:rFonts w:ascii="Times New Roman" w:hAnsi="Times New Roman" w:cs="Times New Roman"/>
          <w:b/>
          <w:sz w:val="24"/>
          <w:szCs w:val="24"/>
        </w:rPr>
        <w:t>C</w:t>
      </w:r>
      <w:r w:rsidRPr="006B52B6">
        <w:rPr>
          <w:rFonts w:ascii="Times New Roman" w:hAnsi="Times New Roman" w:cs="Times New Roman"/>
          <w:b/>
          <w:sz w:val="24"/>
          <w:szCs w:val="24"/>
        </w:rPr>
        <w:t>6.</w:t>
      </w:r>
      <w:r w:rsidRPr="006B52B6">
        <w:rPr>
          <w:rFonts w:ascii="Times New Roman" w:eastAsia="Times New Roman" w:hAnsi="Times New Roman" w:cs="Times New Roman"/>
          <w:b/>
          <w:bCs/>
          <w:sz w:val="24"/>
          <w:szCs w:val="24"/>
        </w:rPr>
        <w:t xml:space="preserve"> Net Reserves Sent by NERC Assessment Region</w:t>
      </w:r>
    </w:p>
    <w:p w14:paraId="5D2E2949" w14:textId="729E85C4" w:rsidR="001E6353" w:rsidRPr="006B52B6" w:rsidRDefault="006E64C3" w:rsidP="001E6353">
      <w:pPr>
        <w:spacing w:line="360" w:lineRule="auto"/>
        <w:jc w:val="center"/>
        <w:rPr>
          <w:rFonts w:ascii="Times New Roman" w:hAnsi="Times New Roman" w:cs="Times New Roman"/>
          <w:b/>
          <w:sz w:val="24"/>
          <w:szCs w:val="24"/>
        </w:rPr>
      </w:pPr>
      <w:r>
        <w:rPr>
          <w:rFonts w:ascii="Times New Roman" w:eastAsia="Times New Roman" w:hAnsi="Times New Roman" w:cs="Times New Roman"/>
          <w:b/>
          <w:bCs/>
          <w:sz w:val="24"/>
          <w:szCs w:val="24"/>
        </w:rPr>
        <w:br w:type="column"/>
      </w:r>
      <w:r w:rsidR="003C3753" w:rsidRPr="003C3753">
        <w:rPr>
          <w:noProof/>
        </w:rPr>
        <w:lastRenderedPageBreak/>
        <w:drawing>
          <wp:inline distT="0" distB="0" distL="0" distR="0" wp14:anchorId="0E1B462A" wp14:editId="48DAF8F5">
            <wp:extent cx="5943600" cy="373897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738971"/>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3C3753" w:rsidRPr="003C3753">
        <w:rPr>
          <w:noProof/>
        </w:rPr>
        <w:lastRenderedPageBreak/>
        <w:drawing>
          <wp:inline distT="0" distB="0" distL="0" distR="0" wp14:anchorId="1845DC0F" wp14:editId="216BF43B">
            <wp:extent cx="4498340" cy="41306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8340" cy="4130675"/>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3C3753" w:rsidRPr="003C3753">
        <w:rPr>
          <w:noProof/>
        </w:rPr>
        <w:lastRenderedPageBreak/>
        <w:drawing>
          <wp:inline distT="0" distB="0" distL="0" distR="0" wp14:anchorId="4EBC31BA" wp14:editId="5F9B97C8">
            <wp:extent cx="5943600" cy="4679122"/>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79122"/>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3C3753" w:rsidRPr="003C3753">
        <w:rPr>
          <w:noProof/>
        </w:rPr>
        <w:lastRenderedPageBreak/>
        <w:drawing>
          <wp:inline distT="0" distB="0" distL="0" distR="0" wp14:anchorId="3058483C" wp14:editId="0B0F593A">
            <wp:extent cx="5601970" cy="42043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1970" cy="4204335"/>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3C3753" w:rsidRPr="003C3753">
        <w:rPr>
          <w:noProof/>
        </w:rPr>
        <w:lastRenderedPageBreak/>
        <w:drawing>
          <wp:inline distT="0" distB="0" distL="0" distR="0" wp14:anchorId="335F13D0" wp14:editId="0A1686A2">
            <wp:extent cx="5943600" cy="4011676"/>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011676"/>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3C3753" w:rsidRPr="003C3753">
        <w:rPr>
          <w:noProof/>
        </w:rPr>
        <w:lastRenderedPageBreak/>
        <w:drawing>
          <wp:inline distT="0" distB="0" distL="0" distR="0" wp14:anchorId="25FFD51B" wp14:editId="4B63F298">
            <wp:extent cx="5024120" cy="3447415"/>
            <wp:effectExtent l="0" t="0" r="508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4120" cy="3447415"/>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1E6353" w:rsidRPr="006B52B6">
        <w:rPr>
          <w:rFonts w:ascii="Times New Roman" w:hAnsi="Times New Roman" w:cs="Times New Roman"/>
          <w:b/>
          <w:sz w:val="24"/>
          <w:szCs w:val="24"/>
        </w:rPr>
        <w:lastRenderedPageBreak/>
        <w:t xml:space="preserve">Appendix </w:t>
      </w:r>
      <w:r w:rsidR="001E6353">
        <w:rPr>
          <w:rFonts w:ascii="Times New Roman" w:hAnsi="Times New Roman" w:cs="Times New Roman"/>
          <w:b/>
          <w:sz w:val="24"/>
          <w:szCs w:val="24"/>
        </w:rPr>
        <w:t>D</w:t>
      </w:r>
      <w:r w:rsidR="001E6353" w:rsidRPr="006B52B6">
        <w:rPr>
          <w:rFonts w:ascii="Times New Roman" w:hAnsi="Times New Roman" w:cs="Times New Roman"/>
          <w:b/>
          <w:sz w:val="24"/>
          <w:szCs w:val="24"/>
        </w:rPr>
        <w:t>: Tables by IPM Region</w:t>
      </w:r>
      <w:r w:rsidR="001E6353">
        <w:rPr>
          <w:rFonts w:ascii="Times New Roman" w:hAnsi="Times New Roman" w:cs="Times New Roman"/>
          <w:b/>
          <w:sz w:val="24"/>
          <w:szCs w:val="24"/>
        </w:rPr>
        <w:t xml:space="preserve"> for CPP </w:t>
      </w:r>
      <w:r w:rsidR="00D90828">
        <w:rPr>
          <w:rFonts w:ascii="Times New Roman" w:hAnsi="Times New Roman" w:cs="Times New Roman"/>
          <w:b/>
          <w:sz w:val="24"/>
          <w:szCs w:val="24"/>
        </w:rPr>
        <w:t>Mass</w:t>
      </w:r>
      <w:r w:rsidR="001E6353">
        <w:rPr>
          <w:rFonts w:ascii="Times New Roman" w:hAnsi="Times New Roman" w:cs="Times New Roman"/>
          <w:b/>
          <w:sz w:val="24"/>
          <w:szCs w:val="24"/>
        </w:rPr>
        <w:t>-Based Scenario in 2020</w:t>
      </w:r>
      <w:r w:rsidR="001E6353" w:rsidRPr="006B52B6">
        <w:rPr>
          <w:rFonts w:ascii="Times New Roman" w:hAnsi="Times New Roman" w:cs="Times New Roman"/>
          <w:b/>
          <w:sz w:val="24"/>
          <w:szCs w:val="24"/>
        </w:rPr>
        <w:t xml:space="preserve"> </w:t>
      </w:r>
    </w:p>
    <w:p w14:paraId="30116314" w14:textId="77777777" w:rsidR="009A62C7" w:rsidRPr="006B52B6" w:rsidRDefault="009A62C7" w:rsidP="009A62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(Note: All Results Cumulative through Projection Year)</w:t>
      </w:r>
    </w:p>
    <w:p w14:paraId="4EF2CF94" w14:textId="17E20907" w:rsidR="001E6353" w:rsidRPr="006B52B6" w:rsidRDefault="001E6353" w:rsidP="001E63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r w:rsidRPr="006B52B6">
        <w:rPr>
          <w:rFonts w:ascii="Times New Roman" w:hAnsi="Times New Roman" w:cs="Times New Roman"/>
          <w:b/>
          <w:sz w:val="24"/>
          <w:szCs w:val="24"/>
        </w:rPr>
        <w:t>1. Projected Operational Capacity</w:t>
      </w:r>
    </w:p>
    <w:p w14:paraId="5412367C" w14:textId="52BE5612" w:rsidR="001E6353" w:rsidRPr="006B52B6" w:rsidRDefault="001E6353" w:rsidP="001E63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D2. </w:t>
      </w:r>
      <w:r w:rsidRPr="006B52B6">
        <w:rPr>
          <w:rFonts w:ascii="Times New Roman" w:hAnsi="Times New Roman" w:cs="Times New Roman"/>
          <w:b/>
          <w:sz w:val="24"/>
          <w:szCs w:val="24"/>
        </w:rPr>
        <w:t>Summary of Summer Peak Loads and Reserve Capacity</w:t>
      </w:r>
    </w:p>
    <w:p w14:paraId="59C10518" w14:textId="695B5029" w:rsidR="001E6353" w:rsidRPr="006B52B6" w:rsidRDefault="001E6353" w:rsidP="001E63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r w:rsidRPr="006B52B6">
        <w:rPr>
          <w:rFonts w:ascii="Times New Roman" w:hAnsi="Times New Roman" w:cs="Times New Roman"/>
          <w:b/>
          <w:sz w:val="24"/>
          <w:szCs w:val="24"/>
        </w:rPr>
        <w:t>3. Summary of Target and Projected Reserve Margins</w:t>
      </w:r>
    </w:p>
    <w:p w14:paraId="5CED3F96" w14:textId="1A3C5DA8" w:rsidR="001E6353" w:rsidRPr="006B52B6" w:rsidRDefault="001E6353" w:rsidP="001E63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r w:rsidRPr="006B52B6">
        <w:rPr>
          <w:rFonts w:ascii="Times New Roman" w:hAnsi="Times New Roman" w:cs="Times New Roman"/>
          <w:b/>
          <w:sz w:val="24"/>
          <w:szCs w:val="24"/>
        </w:rPr>
        <w:t>4. Policy Case Retired Capacity Incremental to Base Case</w:t>
      </w:r>
    </w:p>
    <w:p w14:paraId="14AD3D7A" w14:textId="2378BA2D" w:rsidR="001E6353" w:rsidRPr="006B52B6" w:rsidRDefault="001E6353" w:rsidP="001E635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r w:rsidRPr="006B52B6">
        <w:rPr>
          <w:rFonts w:ascii="Times New Roman" w:hAnsi="Times New Roman" w:cs="Times New Roman"/>
          <w:b/>
          <w:sz w:val="24"/>
          <w:szCs w:val="24"/>
        </w:rPr>
        <w:t>5. New Capacity in Policy Case Incremental to Base Case</w:t>
      </w:r>
    </w:p>
    <w:p w14:paraId="551C3EF2" w14:textId="55D75102" w:rsidR="001E6353" w:rsidRDefault="0021423F" w:rsidP="001E6353">
      <w:pPr>
        <w:spacing w:line="360" w:lineRule="auto"/>
        <w:jc w:val="center"/>
        <w:rPr>
          <w:rFonts w:ascii="Times New Roman" w:eastAsia="Times New Roman" w:hAnsi="Times New Roman" w:cs="Times New Roman"/>
          <w:b/>
          <w:bCs/>
          <w:sz w:val="24"/>
          <w:szCs w:val="24"/>
        </w:rPr>
      </w:pPr>
      <w:r>
        <w:rPr>
          <w:rFonts w:ascii="Times New Roman" w:hAnsi="Times New Roman" w:cs="Times New Roman"/>
          <w:b/>
          <w:sz w:val="24"/>
          <w:szCs w:val="24"/>
        </w:rPr>
        <w:t>D</w:t>
      </w:r>
      <w:r w:rsidR="001E6353" w:rsidRPr="006B52B6">
        <w:rPr>
          <w:rFonts w:ascii="Times New Roman" w:hAnsi="Times New Roman" w:cs="Times New Roman"/>
          <w:b/>
          <w:sz w:val="24"/>
          <w:szCs w:val="24"/>
        </w:rPr>
        <w:t>6.</w:t>
      </w:r>
      <w:r w:rsidR="001E6353" w:rsidRPr="006B52B6">
        <w:rPr>
          <w:rFonts w:ascii="Times New Roman" w:eastAsia="Times New Roman" w:hAnsi="Times New Roman" w:cs="Times New Roman"/>
          <w:b/>
          <w:bCs/>
          <w:sz w:val="24"/>
          <w:szCs w:val="24"/>
        </w:rPr>
        <w:t xml:space="preserve"> Net Reserves Sent by NERC Assessment Region</w:t>
      </w:r>
    </w:p>
    <w:p w14:paraId="795F1AFE" w14:textId="665D5903" w:rsidR="00780F33" w:rsidRPr="006B52B6" w:rsidRDefault="001E6353" w:rsidP="006B52B6">
      <w:pPr>
        <w:spacing w:line="360" w:lineRule="auto"/>
        <w:jc w:val="center"/>
        <w:rPr>
          <w:rFonts w:ascii="Times New Roman" w:hAnsi="Times New Roman" w:cs="Times New Roman"/>
          <w:b/>
          <w:sz w:val="24"/>
          <w:szCs w:val="24"/>
        </w:rPr>
      </w:pPr>
      <w:r>
        <w:rPr>
          <w:rFonts w:ascii="Times New Roman" w:eastAsia="Times New Roman" w:hAnsi="Times New Roman" w:cs="Times New Roman"/>
          <w:b/>
          <w:bCs/>
          <w:sz w:val="24"/>
          <w:szCs w:val="24"/>
        </w:rPr>
        <w:br w:type="column"/>
      </w:r>
      <w:r w:rsidR="00D90828" w:rsidRPr="00D90828">
        <w:rPr>
          <w:noProof/>
        </w:rPr>
        <w:lastRenderedPageBreak/>
        <w:drawing>
          <wp:inline distT="0" distB="0" distL="0" distR="0" wp14:anchorId="18783FD7" wp14:editId="00812E13">
            <wp:extent cx="5943600" cy="373897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738971"/>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D90828" w:rsidRPr="00D90828">
        <w:rPr>
          <w:noProof/>
        </w:rPr>
        <w:lastRenderedPageBreak/>
        <w:drawing>
          <wp:inline distT="0" distB="0" distL="0" distR="0" wp14:anchorId="6A653A92" wp14:editId="1996632B">
            <wp:extent cx="4498340" cy="4130675"/>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98340" cy="4130675"/>
                    </a:xfrm>
                    <a:prstGeom prst="rect">
                      <a:avLst/>
                    </a:prstGeom>
                    <a:noFill/>
                    <a:ln>
                      <a:noFill/>
                    </a:ln>
                  </pic:spPr>
                </pic:pic>
              </a:graphicData>
            </a:graphic>
          </wp:inline>
        </w:drawing>
      </w:r>
      <w:r>
        <w:rPr>
          <w:rFonts w:ascii="Times New Roman" w:eastAsia="Times New Roman" w:hAnsi="Times New Roman" w:cs="Times New Roman"/>
          <w:b/>
          <w:bCs/>
          <w:sz w:val="24"/>
          <w:szCs w:val="24"/>
        </w:rPr>
        <w:br w:type="column"/>
      </w:r>
      <w:r w:rsidR="00D90828" w:rsidRPr="00D90828">
        <w:rPr>
          <w:noProof/>
        </w:rPr>
        <w:lastRenderedPageBreak/>
        <w:drawing>
          <wp:inline distT="0" distB="0" distL="0" distR="0" wp14:anchorId="3ECFE9EB" wp14:editId="0D83C31C">
            <wp:extent cx="5943600" cy="4679122"/>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679122"/>
                    </a:xfrm>
                    <a:prstGeom prst="rect">
                      <a:avLst/>
                    </a:prstGeom>
                    <a:noFill/>
                    <a:ln>
                      <a:noFill/>
                    </a:ln>
                  </pic:spPr>
                </pic:pic>
              </a:graphicData>
            </a:graphic>
          </wp:inline>
        </w:drawing>
      </w:r>
      <w:r w:rsidR="006E64C3">
        <w:rPr>
          <w:rFonts w:ascii="Times New Roman" w:eastAsia="Times New Roman" w:hAnsi="Times New Roman" w:cs="Times New Roman"/>
          <w:b/>
          <w:bCs/>
          <w:sz w:val="24"/>
          <w:szCs w:val="24"/>
        </w:rPr>
        <w:br w:type="column"/>
      </w:r>
      <w:r w:rsidR="00D90828" w:rsidRPr="00D90828">
        <w:rPr>
          <w:noProof/>
        </w:rPr>
        <w:lastRenderedPageBreak/>
        <w:drawing>
          <wp:inline distT="0" distB="0" distL="0" distR="0" wp14:anchorId="2AA55D28" wp14:editId="7BF0F7BF">
            <wp:extent cx="5601970" cy="420433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1970" cy="4204335"/>
                    </a:xfrm>
                    <a:prstGeom prst="rect">
                      <a:avLst/>
                    </a:prstGeom>
                    <a:noFill/>
                    <a:ln>
                      <a:noFill/>
                    </a:ln>
                  </pic:spPr>
                </pic:pic>
              </a:graphicData>
            </a:graphic>
          </wp:inline>
        </w:drawing>
      </w:r>
    </w:p>
    <w:p w14:paraId="35E57E8D" w14:textId="7C5F58A2" w:rsidR="0021423F" w:rsidRPr="006B52B6" w:rsidRDefault="001E6353" w:rsidP="00214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br w:type="column"/>
      </w:r>
      <w:r w:rsidR="00D90828" w:rsidRPr="00D90828">
        <w:rPr>
          <w:noProof/>
        </w:rPr>
        <w:lastRenderedPageBreak/>
        <w:drawing>
          <wp:inline distT="0" distB="0" distL="0" distR="0" wp14:anchorId="4BEC3E05" wp14:editId="0095BDA5">
            <wp:extent cx="5943600" cy="4011676"/>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011676"/>
                    </a:xfrm>
                    <a:prstGeom prst="rect">
                      <a:avLst/>
                    </a:prstGeom>
                    <a:noFill/>
                    <a:ln>
                      <a:noFill/>
                    </a:ln>
                  </pic:spPr>
                </pic:pic>
              </a:graphicData>
            </a:graphic>
          </wp:inline>
        </w:drawing>
      </w:r>
      <w:r>
        <w:rPr>
          <w:rFonts w:ascii="Times New Roman" w:hAnsi="Times New Roman" w:cs="Times New Roman"/>
          <w:b/>
          <w:sz w:val="24"/>
          <w:szCs w:val="24"/>
        </w:rPr>
        <w:br w:type="column"/>
      </w:r>
      <w:r w:rsidR="0021423F" w:rsidRPr="00D90828">
        <w:rPr>
          <w:noProof/>
        </w:rPr>
        <w:lastRenderedPageBreak/>
        <w:drawing>
          <wp:inline distT="0" distB="0" distL="0" distR="0" wp14:anchorId="6955A0E0" wp14:editId="1509AAB0">
            <wp:extent cx="5024120" cy="3447415"/>
            <wp:effectExtent l="0" t="0" r="508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4120" cy="3447415"/>
                    </a:xfrm>
                    <a:prstGeom prst="rect">
                      <a:avLst/>
                    </a:prstGeom>
                    <a:noFill/>
                    <a:ln>
                      <a:noFill/>
                    </a:ln>
                  </pic:spPr>
                </pic:pic>
              </a:graphicData>
            </a:graphic>
          </wp:inline>
        </w:drawing>
      </w:r>
      <w:r w:rsidR="00BB4DFF">
        <w:br w:type="column"/>
      </w:r>
      <w:r w:rsidR="0021423F" w:rsidRPr="006B52B6">
        <w:rPr>
          <w:rFonts w:ascii="Times New Roman" w:hAnsi="Times New Roman" w:cs="Times New Roman"/>
          <w:b/>
          <w:sz w:val="24"/>
          <w:szCs w:val="24"/>
        </w:rPr>
        <w:lastRenderedPageBreak/>
        <w:t xml:space="preserve">Appendix </w:t>
      </w:r>
      <w:r w:rsidR="0021423F">
        <w:rPr>
          <w:rFonts w:ascii="Times New Roman" w:hAnsi="Times New Roman" w:cs="Times New Roman"/>
          <w:b/>
          <w:sz w:val="24"/>
          <w:szCs w:val="24"/>
        </w:rPr>
        <w:t>E</w:t>
      </w:r>
      <w:r w:rsidR="0021423F" w:rsidRPr="006B52B6">
        <w:rPr>
          <w:rFonts w:ascii="Times New Roman" w:hAnsi="Times New Roman" w:cs="Times New Roman"/>
          <w:b/>
          <w:sz w:val="24"/>
          <w:szCs w:val="24"/>
        </w:rPr>
        <w:t>: Tables by IPM Region</w:t>
      </w:r>
      <w:r w:rsidR="0021423F">
        <w:rPr>
          <w:rFonts w:ascii="Times New Roman" w:hAnsi="Times New Roman" w:cs="Times New Roman"/>
          <w:b/>
          <w:sz w:val="24"/>
          <w:szCs w:val="24"/>
        </w:rPr>
        <w:t xml:space="preserve"> for CPP Mass-Based Scenario in 2020</w:t>
      </w:r>
      <w:r w:rsidR="0021423F" w:rsidRPr="006B52B6">
        <w:rPr>
          <w:rFonts w:ascii="Times New Roman" w:hAnsi="Times New Roman" w:cs="Times New Roman"/>
          <w:b/>
          <w:sz w:val="24"/>
          <w:szCs w:val="24"/>
        </w:rPr>
        <w:t xml:space="preserve"> </w:t>
      </w:r>
    </w:p>
    <w:p w14:paraId="2612D19B" w14:textId="77777777" w:rsidR="009A62C7" w:rsidRPr="006B52B6" w:rsidRDefault="009A62C7" w:rsidP="009A62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(Note: All Results Cumulative through Projection Year)</w:t>
      </w:r>
    </w:p>
    <w:p w14:paraId="4034B094" w14:textId="314E60F9" w:rsidR="0021423F" w:rsidRPr="006B52B6" w:rsidRDefault="0021423F" w:rsidP="00214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r w:rsidRPr="006B52B6">
        <w:rPr>
          <w:rFonts w:ascii="Times New Roman" w:hAnsi="Times New Roman" w:cs="Times New Roman"/>
          <w:b/>
          <w:sz w:val="24"/>
          <w:szCs w:val="24"/>
        </w:rPr>
        <w:t>1. Projected Operational Capacity</w:t>
      </w:r>
    </w:p>
    <w:p w14:paraId="4066F0F0" w14:textId="225E52A1" w:rsidR="0021423F" w:rsidRPr="006B52B6" w:rsidRDefault="0021423F" w:rsidP="00214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E2. </w:t>
      </w:r>
      <w:r w:rsidRPr="006B52B6">
        <w:rPr>
          <w:rFonts w:ascii="Times New Roman" w:hAnsi="Times New Roman" w:cs="Times New Roman"/>
          <w:b/>
          <w:sz w:val="24"/>
          <w:szCs w:val="24"/>
        </w:rPr>
        <w:t>Summary of Summer Peak Loads and Reserve Capacity</w:t>
      </w:r>
    </w:p>
    <w:p w14:paraId="4835F27E" w14:textId="3C2F1662" w:rsidR="0021423F" w:rsidRPr="006B52B6" w:rsidRDefault="0021423F" w:rsidP="00214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r w:rsidRPr="006B52B6">
        <w:rPr>
          <w:rFonts w:ascii="Times New Roman" w:hAnsi="Times New Roman" w:cs="Times New Roman"/>
          <w:b/>
          <w:sz w:val="24"/>
          <w:szCs w:val="24"/>
        </w:rPr>
        <w:t>3. Summary of Target and Projected Reserve Margins</w:t>
      </w:r>
    </w:p>
    <w:p w14:paraId="58A4944E" w14:textId="7A8DB5FE" w:rsidR="0021423F" w:rsidRPr="006B52B6" w:rsidRDefault="0021423F" w:rsidP="00214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r w:rsidRPr="006B52B6">
        <w:rPr>
          <w:rFonts w:ascii="Times New Roman" w:hAnsi="Times New Roman" w:cs="Times New Roman"/>
          <w:b/>
          <w:sz w:val="24"/>
          <w:szCs w:val="24"/>
        </w:rPr>
        <w:t>4. Policy Case Retired Capacity Incremental to Base Case</w:t>
      </w:r>
    </w:p>
    <w:p w14:paraId="3CDA4795" w14:textId="739F8AAF" w:rsidR="0021423F" w:rsidRPr="006B52B6" w:rsidRDefault="0021423F" w:rsidP="00214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E</w:t>
      </w:r>
      <w:r w:rsidRPr="006B52B6">
        <w:rPr>
          <w:rFonts w:ascii="Times New Roman" w:hAnsi="Times New Roman" w:cs="Times New Roman"/>
          <w:b/>
          <w:sz w:val="24"/>
          <w:szCs w:val="24"/>
        </w:rPr>
        <w:t>5. New Capacity in Policy Case Incremental to Base Case</w:t>
      </w:r>
    </w:p>
    <w:p w14:paraId="1CF8F167" w14:textId="530B4758" w:rsidR="0021423F" w:rsidRDefault="0021423F" w:rsidP="0021423F">
      <w:pPr>
        <w:spacing w:line="360" w:lineRule="auto"/>
        <w:jc w:val="center"/>
        <w:rPr>
          <w:rFonts w:ascii="Times New Roman" w:eastAsia="Times New Roman" w:hAnsi="Times New Roman" w:cs="Times New Roman"/>
          <w:b/>
          <w:bCs/>
          <w:sz w:val="24"/>
          <w:szCs w:val="24"/>
        </w:rPr>
      </w:pPr>
      <w:r>
        <w:rPr>
          <w:rFonts w:ascii="Times New Roman" w:hAnsi="Times New Roman" w:cs="Times New Roman"/>
          <w:b/>
          <w:sz w:val="24"/>
          <w:szCs w:val="24"/>
        </w:rPr>
        <w:t>E</w:t>
      </w:r>
      <w:r w:rsidRPr="006B52B6">
        <w:rPr>
          <w:rFonts w:ascii="Times New Roman" w:hAnsi="Times New Roman" w:cs="Times New Roman"/>
          <w:b/>
          <w:sz w:val="24"/>
          <w:szCs w:val="24"/>
        </w:rPr>
        <w:t>6.</w:t>
      </w:r>
      <w:r w:rsidRPr="006B52B6">
        <w:rPr>
          <w:rFonts w:ascii="Times New Roman" w:eastAsia="Times New Roman" w:hAnsi="Times New Roman" w:cs="Times New Roman"/>
          <w:b/>
          <w:bCs/>
          <w:sz w:val="24"/>
          <w:szCs w:val="24"/>
        </w:rPr>
        <w:t xml:space="preserve"> Net Reserves Sent by NERC Assessment Region</w:t>
      </w:r>
    </w:p>
    <w:p w14:paraId="43E4CD8E" w14:textId="156AFC24" w:rsidR="0021423F" w:rsidRPr="006B52B6" w:rsidRDefault="0021423F" w:rsidP="0021423F">
      <w:pPr>
        <w:spacing w:line="360" w:lineRule="auto"/>
        <w:jc w:val="center"/>
        <w:rPr>
          <w:rFonts w:ascii="Times New Roman" w:hAnsi="Times New Roman" w:cs="Times New Roman"/>
          <w:b/>
          <w:sz w:val="24"/>
          <w:szCs w:val="24"/>
        </w:rPr>
      </w:pPr>
      <w:r>
        <w:br w:type="column"/>
      </w:r>
      <w:r w:rsidRPr="0021423F">
        <w:rPr>
          <w:noProof/>
        </w:rPr>
        <w:lastRenderedPageBreak/>
        <w:drawing>
          <wp:inline distT="0" distB="0" distL="0" distR="0" wp14:anchorId="7A04D07A" wp14:editId="42FB1BA4">
            <wp:extent cx="5943600" cy="373897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738971"/>
                    </a:xfrm>
                    <a:prstGeom prst="rect">
                      <a:avLst/>
                    </a:prstGeom>
                    <a:noFill/>
                    <a:ln>
                      <a:noFill/>
                    </a:ln>
                  </pic:spPr>
                </pic:pic>
              </a:graphicData>
            </a:graphic>
          </wp:inline>
        </w:drawing>
      </w:r>
      <w:r>
        <w:br w:type="column"/>
      </w:r>
      <w:r w:rsidRPr="0021423F">
        <w:rPr>
          <w:noProof/>
        </w:rPr>
        <w:lastRenderedPageBreak/>
        <w:drawing>
          <wp:inline distT="0" distB="0" distL="0" distR="0" wp14:anchorId="7FE50DD4" wp14:editId="1C1B1674">
            <wp:extent cx="4498340" cy="413067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8340" cy="4130675"/>
                    </a:xfrm>
                    <a:prstGeom prst="rect">
                      <a:avLst/>
                    </a:prstGeom>
                    <a:noFill/>
                    <a:ln>
                      <a:noFill/>
                    </a:ln>
                  </pic:spPr>
                </pic:pic>
              </a:graphicData>
            </a:graphic>
          </wp:inline>
        </w:drawing>
      </w:r>
      <w:r>
        <w:br w:type="column"/>
      </w:r>
      <w:r w:rsidRPr="0021423F">
        <w:rPr>
          <w:noProof/>
        </w:rPr>
        <w:lastRenderedPageBreak/>
        <w:drawing>
          <wp:inline distT="0" distB="0" distL="0" distR="0" wp14:anchorId="4399F477" wp14:editId="37E8B443">
            <wp:extent cx="5943600" cy="4679122"/>
            <wp:effectExtent l="0" t="0" r="0" b="762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4679122"/>
                    </a:xfrm>
                    <a:prstGeom prst="rect">
                      <a:avLst/>
                    </a:prstGeom>
                    <a:noFill/>
                    <a:ln>
                      <a:noFill/>
                    </a:ln>
                  </pic:spPr>
                </pic:pic>
              </a:graphicData>
            </a:graphic>
          </wp:inline>
        </w:drawing>
      </w:r>
      <w:r>
        <w:br w:type="column"/>
      </w:r>
      <w:r w:rsidRPr="0021423F">
        <w:rPr>
          <w:noProof/>
        </w:rPr>
        <w:lastRenderedPageBreak/>
        <w:drawing>
          <wp:inline distT="0" distB="0" distL="0" distR="0" wp14:anchorId="1B4971EC" wp14:editId="64D55D49">
            <wp:extent cx="5601970" cy="4204335"/>
            <wp:effectExtent l="0" t="0" r="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1970" cy="4204335"/>
                    </a:xfrm>
                    <a:prstGeom prst="rect">
                      <a:avLst/>
                    </a:prstGeom>
                    <a:noFill/>
                    <a:ln>
                      <a:noFill/>
                    </a:ln>
                  </pic:spPr>
                </pic:pic>
              </a:graphicData>
            </a:graphic>
          </wp:inline>
        </w:drawing>
      </w:r>
      <w:r>
        <w:br w:type="column"/>
      </w:r>
      <w:r w:rsidRPr="0021423F">
        <w:rPr>
          <w:noProof/>
        </w:rPr>
        <w:lastRenderedPageBreak/>
        <w:drawing>
          <wp:inline distT="0" distB="0" distL="0" distR="0" wp14:anchorId="0866AD90" wp14:editId="3C7AA98B">
            <wp:extent cx="5943600" cy="4011676"/>
            <wp:effectExtent l="0" t="0" r="0"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011676"/>
                    </a:xfrm>
                    <a:prstGeom prst="rect">
                      <a:avLst/>
                    </a:prstGeom>
                    <a:noFill/>
                    <a:ln>
                      <a:noFill/>
                    </a:ln>
                  </pic:spPr>
                </pic:pic>
              </a:graphicData>
            </a:graphic>
          </wp:inline>
        </w:drawing>
      </w:r>
      <w:r>
        <w:br w:type="column"/>
      </w:r>
      <w:r w:rsidRPr="0021423F">
        <w:rPr>
          <w:noProof/>
        </w:rPr>
        <w:lastRenderedPageBreak/>
        <w:drawing>
          <wp:inline distT="0" distB="0" distL="0" distR="0" wp14:anchorId="6084CCAE" wp14:editId="2AD701C0">
            <wp:extent cx="5024120" cy="3447415"/>
            <wp:effectExtent l="0" t="0" r="508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24120" cy="3447415"/>
                    </a:xfrm>
                    <a:prstGeom prst="rect">
                      <a:avLst/>
                    </a:prstGeom>
                    <a:noFill/>
                    <a:ln>
                      <a:noFill/>
                    </a:ln>
                  </pic:spPr>
                </pic:pic>
              </a:graphicData>
            </a:graphic>
          </wp:inline>
        </w:drawing>
      </w:r>
      <w:r>
        <w:br w:type="column"/>
      </w:r>
      <w:r w:rsidRPr="006B52B6">
        <w:rPr>
          <w:rFonts w:ascii="Times New Roman" w:hAnsi="Times New Roman" w:cs="Times New Roman"/>
          <w:b/>
          <w:sz w:val="24"/>
          <w:szCs w:val="24"/>
        </w:rPr>
        <w:lastRenderedPageBreak/>
        <w:t xml:space="preserve">Appendix </w:t>
      </w:r>
      <w:r>
        <w:rPr>
          <w:rFonts w:ascii="Times New Roman" w:hAnsi="Times New Roman" w:cs="Times New Roman"/>
          <w:b/>
          <w:sz w:val="24"/>
          <w:szCs w:val="24"/>
        </w:rPr>
        <w:t>F</w:t>
      </w:r>
      <w:r w:rsidRPr="006B52B6">
        <w:rPr>
          <w:rFonts w:ascii="Times New Roman" w:hAnsi="Times New Roman" w:cs="Times New Roman"/>
          <w:b/>
          <w:sz w:val="24"/>
          <w:szCs w:val="24"/>
        </w:rPr>
        <w:t>: Tables by IPM Region</w:t>
      </w:r>
      <w:r>
        <w:rPr>
          <w:rFonts w:ascii="Times New Roman" w:hAnsi="Times New Roman" w:cs="Times New Roman"/>
          <w:b/>
          <w:sz w:val="24"/>
          <w:szCs w:val="24"/>
        </w:rPr>
        <w:t xml:space="preserve"> for CPP Mass-Based Scenario in 2020</w:t>
      </w:r>
      <w:r w:rsidRPr="006B52B6">
        <w:rPr>
          <w:rFonts w:ascii="Times New Roman" w:hAnsi="Times New Roman" w:cs="Times New Roman"/>
          <w:b/>
          <w:sz w:val="24"/>
          <w:szCs w:val="24"/>
        </w:rPr>
        <w:t xml:space="preserve"> </w:t>
      </w:r>
    </w:p>
    <w:p w14:paraId="3AFFEAE5" w14:textId="77777777" w:rsidR="009A62C7" w:rsidRPr="006B52B6" w:rsidRDefault="009A62C7" w:rsidP="009A62C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(Note: All Results Cumulative through Projection Year)</w:t>
      </w:r>
    </w:p>
    <w:p w14:paraId="3BAEA12B" w14:textId="4001A601" w:rsidR="0021423F" w:rsidRPr="006B52B6" w:rsidRDefault="0021423F" w:rsidP="00214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w:t>
      </w:r>
      <w:r w:rsidRPr="006B52B6">
        <w:rPr>
          <w:rFonts w:ascii="Times New Roman" w:hAnsi="Times New Roman" w:cs="Times New Roman"/>
          <w:b/>
          <w:sz w:val="24"/>
          <w:szCs w:val="24"/>
        </w:rPr>
        <w:t>1. Projected Operational Capacity</w:t>
      </w:r>
    </w:p>
    <w:p w14:paraId="3569CDA2" w14:textId="2DF20639" w:rsidR="0021423F" w:rsidRPr="006B52B6" w:rsidRDefault="0021423F" w:rsidP="00214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F2. </w:t>
      </w:r>
      <w:r w:rsidRPr="006B52B6">
        <w:rPr>
          <w:rFonts w:ascii="Times New Roman" w:hAnsi="Times New Roman" w:cs="Times New Roman"/>
          <w:b/>
          <w:sz w:val="24"/>
          <w:szCs w:val="24"/>
        </w:rPr>
        <w:t>Summary of Summer Peak Loads and Reserve Capacity</w:t>
      </w:r>
    </w:p>
    <w:p w14:paraId="37027F9E" w14:textId="5645C3CB" w:rsidR="0021423F" w:rsidRPr="006B52B6" w:rsidRDefault="0021423F" w:rsidP="00214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w:t>
      </w:r>
      <w:r w:rsidRPr="006B52B6">
        <w:rPr>
          <w:rFonts w:ascii="Times New Roman" w:hAnsi="Times New Roman" w:cs="Times New Roman"/>
          <w:b/>
          <w:sz w:val="24"/>
          <w:szCs w:val="24"/>
        </w:rPr>
        <w:t>3. Summary of Target and Projected Reserve Margins</w:t>
      </w:r>
    </w:p>
    <w:p w14:paraId="75E699FA" w14:textId="2434D15E" w:rsidR="0021423F" w:rsidRPr="006B52B6" w:rsidRDefault="0021423F" w:rsidP="00214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w:t>
      </w:r>
      <w:r w:rsidRPr="006B52B6">
        <w:rPr>
          <w:rFonts w:ascii="Times New Roman" w:hAnsi="Times New Roman" w:cs="Times New Roman"/>
          <w:b/>
          <w:sz w:val="24"/>
          <w:szCs w:val="24"/>
        </w:rPr>
        <w:t>4. Policy Case Retired Capacity Incremental to Base Case</w:t>
      </w:r>
    </w:p>
    <w:p w14:paraId="2AADF3E6" w14:textId="4CDBF75C" w:rsidR="0021423F" w:rsidRPr="006B52B6" w:rsidRDefault="0021423F" w:rsidP="0021423F">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w:t>
      </w:r>
      <w:r w:rsidRPr="006B52B6">
        <w:rPr>
          <w:rFonts w:ascii="Times New Roman" w:hAnsi="Times New Roman" w:cs="Times New Roman"/>
          <w:b/>
          <w:sz w:val="24"/>
          <w:szCs w:val="24"/>
        </w:rPr>
        <w:t>5. New Capacity in Policy Case Incremental to Base Case</w:t>
      </w:r>
    </w:p>
    <w:p w14:paraId="6E727D91" w14:textId="6F8FFBCD" w:rsidR="0021423F" w:rsidRDefault="0021423F" w:rsidP="0021423F">
      <w:pPr>
        <w:spacing w:line="360" w:lineRule="auto"/>
        <w:jc w:val="center"/>
        <w:rPr>
          <w:rFonts w:ascii="Times New Roman" w:eastAsia="Times New Roman" w:hAnsi="Times New Roman" w:cs="Times New Roman"/>
          <w:b/>
          <w:bCs/>
          <w:sz w:val="24"/>
          <w:szCs w:val="24"/>
        </w:rPr>
      </w:pPr>
      <w:r>
        <w:rPr>
          <w:rFonts w:ascii="Times New Roman" w:hAnsi="Times New Roman" w:cs="Times New Roman"/>
          <w:b/>
          <w:sz w:val="24"/>
          <w:szCs w:val="24"/>
        </w:rPr>
        <w:t>F</w:t>
      </w:r>
      <w:r w:rsidRPr="006B52B6">
        <w:rPr>
          <w:rFonts w:ascii="Times New Roman" w:hAnsi="Times New Roman" w:cs="Times New Roman"/>
          <w:b/>
          <w:sz w:val="24"/>
          <w:szCs w:val="24"/>
        </w:rPr>
        <w:t>6.</w:t>
      </w:r>
      <w:r w:rsidRPr="006B52B6">
        <w:rPr>
          <w:rFonts w:ascii="Times New Roman" w:eastAsia="Times New Roman" w:hAnsi="Times New Roman" w:cs="Times New Roman"/>
          <w:b/>
          <w:bCs/>
          <w:sz w:val="24"/>
          <w:szCs w:val="24"/>
        </w:rPr>
        <w:t xml:space="preserve"> Net Reserves Sent by NERC Assessment Region</w:t>
      </w:r>
    </w:p>
    <w:p w14:paraId="110C5FA7" w14:textId="353D7119" w:rsidR="00C929EF" w:rsidRPr="006B52B6" w:rsidRDefault="0021423F" w:rsidP="0021423F">
      <w:pPr>
        <w:rPr>
          <w:rFonts w:ascii="Times New Roman" w:hAnsi="Times New Roman" w:cs="Times New Roman"/>
          <w:sz w:val="24"/>
          <w:szCs w:val="24"/>
        </w:rPr>
      </w:pPr>
      <w:r>
        <w:br w:type="column"/>
      </w:r>
      <w:r w:rsidRPr="0021423F">
        <w:rPr>
          <w:noProof/>
        </w:rPr>
        <w:lastRenderedPageBreak/>
        <w:drawing>
          <wp:inline distT="0" distB="0" distL="0" distR="0" wp14:anchorId="4DB80D5E" wp14:editId="19921894">
            <wp:extent cx="5943600" cy="3738971"/>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738971"/>
                    </a:xfrm>
                    <a:prstGeom prst="rect">
                      <a:avLst/>
                    </a:prstGeom>
                    <a:noFill/>
                    <a:ln>
                      <a:noFill/>
                    </a:ln>
                  </pic:spPr>
                </pic:pic>
              </a:graphicData>
            </a:graphic>
          </wp:inline>
        </w:drawing>
      </w:r>
      <w:r>
        <w:br w:type="column"/>
      </w:r>
      <w:r w:rsidRPr="0021423F">
        <w:rPr>
          <w:noProof/>
        </w:rPr>
        <w:lastRenderedPageBreak/>
        <w:drawing>
          <wp:inline distT="0" distB="0" distL="0" distR="0" wp14:anchorId="6A2BFFE8" wp14:editId="5318A4FB">
            <wp:extent cx="4498340" cy="4130675"/>
            <wp:effectExtent l="0" t="0" r="0"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98340" cy="4130675"/>
                    </a:xfrm>
                    <a:prstGeom prst="rect">
                      <a:avLst/>
                    </a:prstGeom>
                    <a:noFill/>
                    <a:ln>
                      <a:noFill/>
                    </a:ln>
                  </pic:spPr>
                </pic:pic>
              </a:graphicData>
            </a:graphic>
          </wp:inline>
        </w:drawing>
      </w:r>
      <w:r>
        <w:br w:type="column"/>
      </w:r>
      <w:r w:rsidRPr="0021423F">
        <w:rPr>
          <w:noProof/>
        </w:rPr>
        <w:lastRenderedPageBreak/>
        <w:drawing>
          <wp:inline distT="0" distB="0" distL="0" distR="0" wp14:anchorId="6ACD36EC" wp14:editId="7FB04FCB">
            <wp:extent cx="5943600" cy="4679122"/>
            <wp:effectExtent l="0" t="0" r="0"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679122"/>
                    </a:xfrm>
                    <a:prstGeom prst="rect">
                      <a:avLst/>
                    </a:prstGeom>
                    <a:noFill/>
                    <a:ln>
                      <a:noFill/>
                    </a:ln>
                  </pic:spPr>
                </pic:pic>
              </a:graphicData>
            </a:graphic>
          </wp:inline>
        </w:drawing>
      </w:r>
      <w:r>
        <w:br w:type="column"/>
      </w:r>
      <w:r w:rsidRPr="0021423F">
        <w:rPr>
          <w:noProof/>
        </w:rPr>
        <w:lastRenderedPageBreak/>
        <w:drawing>
          <wp:inline distT="0" distB="0" distL="0" distR="0" wp14:anchorId="1330D2CD" wp14:editId="7D565EC3">
            <wp:extent cx="5601970" cy="4204335"/>
            <wp:effectExtent l="0" t="0" r="0" b="571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1970" cy="4204335"/>
                    </a:xfrm>
                    <a:prstGeom prst="rect">
                      <a:avLst/>
                    </a:prstGeom>
                    <a:noFill/>
                    <a:ln>
                      <a:noFill/>
                    </a:ln>
                  </pic:spPr>
                </pic:pic>
              </a:graphicData>
            </a:graphic>
          </wp:inline>
        </w:drawing>
      </w:r>
      <w:r>
        <w:br w:type="column"/>
      </w:r>
      <w:r w:rsidRPr="0021423F">
        <w:rPr>
          <w:noProof/>
        </w:rPr>
        <w:lastRenderedPageBreak/>
        <w:drawing>
          <wp:inline distT="0" distB="0" distL="0" distR="0" wp14:anchorId="6266FFC8" wp14:editId="6315FF48">
            <wp:extent cx="5943600" cy="4011676"/>
            <wp:effectExtent l="0" t="0" r="0" b="825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011676"/>
                    </a:xfrm>
                    <a:prstGeom prst="rect">
                      <a:avLst/>
                    </a:prstGeom>
                    <a:noFill/>
                    <a:ln>
                      <a:noFill/>
                    </a:ln>
                  </pic:spPr>
                </pic:pic>
              </a:graphicData>
            </a:graphic>
          </wp:inline>
        </w:drawing>
      </w:r>
      <w:r>
        <w:br w:type="column"/>
      </w:r>
      <w:r w:rsidRPr="0021423F">
        <w:rPr>
          <w:noProof/>
        </w:rPr>
        <w:lastRenderedPageBreak/>
        <w:drawing>
          <wp:inline distT="0" distB="0" distL="0" distR="0" wp14:anchorId="182DDDA1" wp14:editId="34453CEC">
            <wp:extent cx="5024120" cy="3447415"/>
            <wp:effectExtent l="0" t="0" r="5080" b="63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4120" cy="3447415"/>
                    </a:xfrm>
                    <a:prstGeom prst="rect">
                      <a:avLst/>
                    </a:prstGeom>
                    <a:noFill/>
                    <a:ln>
                      <a:noFill/>
                    </a:ln>
                  </pic:spPr>
                </pic:pic>
              </a:graphicData>
            </a:graphic>
          </wp:inline>
        </w:drawing>
      </w:r>
      <w:r>
        <w:br w:type="column"/>
      </w:r>
    </w:p>
    <w:p w14:paraId="577E6728" w14:textId="357C9D17" w:rsidR="00554203" w:rsidRPr="006B52B6" w:rsidRDefault="00554203" w:rsidP="006B52B6">
      <w:pPr>
        <w:spacing w:line="360" w:lineRule="auto"/>
        <w:jc w:val="center"/>
        <w:rPr>
          <w:rFonts w:ascii="Times New Roman" w:hAnsi="Times New Roman" w:cs="Times New Roman"/>
          <w:b/>
          <w:sz w:val="24"/>
          <w:szCs w:val="24"/>
        </w:rPr>
      </w:pPr>
      <w:r w:rsidRPr="006B52B6">
        <w:rPr>
          <w:rFonts w:ascii="Times New Roman" w:hAnsi="Times New Roman" w:cs="Times New Roman"/>
          <w:b/>
          <w:sz w:val="24"/>
          <w:szCs w:val="24"/>
        </w:rPr>
        <w:t>Appendix C: Maps</w:t>
      </w:r>
    </w:p>
    <w:p w14:paraId="27485129" w14:textId="77777777" w:rsidR="00554203" w:rsidRPr="006B52B6" w:rsidRDefault="00554203" w:rsidP="006B52B6">
      <w:pPr>
        <w:spacing w:line="360" w:lineRule="auto"/>
        <w:jc w:val="center"/>
        <w:rPr>
          <w:rFonts w:ascii="Times New Roman" w:hAnsi="Times New Roman" w:cs="Times New Roman"/>
          <w:b/>
          <w:sz w:val="24"/>
          <w:szCs w:val="24"/>
        </w:rPr>
      </w:pPr>
      <w:r w:rsidRPr="006B52B6">
        <w:rPr>
          <w:rFonts w:ascii="Times New Roman" w:hAnsi="Times New Roman" w:cs="Times New Roman"/>
          <w:b/>
          <w:sz w:val="24"/>
          <w:szCs w:val="24"/>
        </w:rPr>
        <w:t>C1. IPM Regions</w:t>
      </w:r>
    </w:p>
    <w:p w14:paraId="1C5E4D64" w14:textId="77777777" w:rsidR="00554203" w:rsidRPr="006B52B6" w:rsidRDefault="00554203" w:rsidP="006B52B6">
      <w:pPr>
        <w:spacing w:line="360" w:lineRule="auto"/>
        <w:jc w:val="center"/>
        <w:rPr>
          <w:rFonts w:ascii="Times New Roman" w:hAnsi="Times New Roman" w:cs="Times New Roman"/>
          <w:b/>
          <w:sz w:val="24"/>
          <w:szCs w:val="24"/>
        </w:rPr>
      </w:pPr>
      <w:r w:rsidRPr="006B52B6">
        <w:rPr>
          <w:rFonts w:ascii="Times New Roman" w:hAnsi="Times New Roman" w:cs="Times New Roman"/>
          <w:b/>
          <w:sz w:val="24"/>
          <w:szCs w:val="24"/>
        </w:rPr>
        <w:t xml:space="preserve">C2. </w:t>
      </w:r>
      <w:r w:rsidR="000277E0">
        <w:rPr>
          <w:rFonts w:ascii="Times New Roman" w:hAnsi="Times New Roman" w:cs="Times New Roman"/>
          <w:b/>
          <w:sz w:val="24"/>
          <w:szCs w:val="24"/>
        </w:rPr>
        <w:t xml:space="preserve">. </w:t>
      </w:r>
      <w:r w:rsidRPr="006B52B6">
        <w:rPr>
          <w:rFonts w:ascii="Times New Roman" w:hAnsi="Times New Roman" w:cs="Times New Roman"/>
          <w:b/>
          <w:sz w:val="24"/>
          <w:szCs w:val="24"/>
        </w:rPr>
        <w:t>NERC Assessment Regions</w:t>
      </w:r>
    </w:p>
    <w:p w14:paraId="68CBB158" w14:textId="77777777" w:rsidR="00554203" w:rsidRPr="006B52B6" w:rsidRDefault="00554203" w:rsidP="00554203">
      <w:pPr>
        <w:jc w:val="center"/>
        <w:rPr>
          <w:rFonts w:ascii="Times New Roman" w:hAnsi="Times New Roman" w:cs="Times New Roman"/>
          <w:b/>
          <w:sz w:val="24"/>
          <w:szCs w:val="24"/>
        </w:rPr>
      </w:pPr>
    </w:p>
    <w:p w14:paraId="695F69C3" w14:textId="77777777" w:rsidR="00BD7AFA" w:rsidRPr="006B52B6" w:rsidRDefault="00BD7AFA" w:rsidP="000C1FA3">
      <w:pPr>
        <w:rPr>
          <w:rFonts w:ascii="Times New Roman" w:hAnsi="Times New Roman" w:cs="Times New Roman"/>
          <w:b/>
          <w:sz w:val="24"/>
          <w:szCs w:val="24"/>
        </w:rPr>
        <w:sectPr w:rsidR="00BD7AFA" w:rsidRPr="006B52B6" w:rsidSect="00EC65CF">
          <w:footerReference w:type="default" r:id="rId44"/>
          <w:pgSz w:w="12240" w:h="15840"/>
          <w:pgMar w:top="1440" w:right="1440" w:bottom="1440" w:left="1440" w:header="720" w:footer="270" w:gutter="0"/>
          <w:cols w:space="720"/>
          <w:docGrid w:linePitch="360"/>
        </w:sectPr>
      </w:pPr>
    </w:p>
    <w:p w14:paraId="0C695428" w14:textId="77777777" w:rsidR="00CD4EA5" w:rsidRPr="006B52B6" w:rsidRDefault="000D2C45" w:rsidP="00CD4EA5">
      <w:pPr>
        <w:jc w:val="center"/>
        <w:rPr>
          <w:rFonts w:ascii="Times New Roman" w:hAnsi="Times New Roman" w:cs="Times New Roman"/>
          <w:b/>
          <w:noProof/>
          <w:sz w:val="24"/>
          <w:szCs w:val="24"/>
        </w:rPr>
      </w:pPr>
      <w:r w:rsidRPr="006B52B6">
        <w:rPr>
          <w:rFonts w:ascii="Times New Roman" w:hAnsi="Times New Roman" w:cs="Times New Roman"/>
          <w:b/>
          <w:noProof/>
          <w:sz w:val="24"/>
          <w:szCs w:val="24"/>
        </w:rPr>
        <w:lastRenderedPageBreak/>
        <w:t xml:space="preserve">C1:  </w:t>
      </w:r>
      <w:r w:rsidR="00110EEE" w:rsidRPr="006B52B6">
        <w:rPr>
          <w:rFonts w:ascii="Times New Roman" w:hAnsi="Times New Roman" w:cs="Times New Roman"/>
          <w:b/>
          <w:noProof/>
          <w:sz w:val="24"/>
          <w:szCs w:val="24"/>
        </w:rPr>
        <w:t>IPM v5.13 Regions</w:t>
      </w:r>
      <w:r w:rsidR="00373B7F" w:rsidRPr="006B52B6">
        <w:rPr>
          <w:rFonts w:ascii="Times New Roman" w:hAnsi="Times New Roman" w:cs="Times New Roman"/>
          <w:b/>
          <w:noProof/>
          <w:sz w:val="24"/>
          <w:szCs w:val="24"/>
        </w:rPr>
        <w:drawing>
          <wp:inline distT="0" distB="0" distL="0" distR="0" wp14:anchorId="0B2175F9" wp14:editId="1DB7998A">
            <wp:extent cx="7820025" cy="4943475"/>
            <wp:effectExtent l="19050" t="0" r="9525" b="0"/>
            <wp:docPr id="2" name="Picture 2" descr="C:\Documents and Settings\owner\My Documents\Epa\IPMExtracts\IPM5.12\ModelRegions\Model Regions v5.12\ICF20120928SYK002_IPM_US_Reg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owner\My Documents\Epa\IPMExtracts\IPM5.12\ModelRegions\Model Regions v5.12\ICF20120928SYK002_IPM_US_Regions.jpg"/>
                    <pic:cNvPicPr>
                      <a:picLocks noChangeAspect="1" noChangeArrowheads="1"/>
                    </pic:cNvPicPr>
                  </pic:nvPicPr>
                  <pic:blipFill>
                    <a:blip r:embed="rId45" cstate="print"/>
                    <a:srcRect l="2315" t="11085" r="2662" b="11173"/>
                    <a:stretch>
                      <a:fillRect/>
                    </a:stretch>
                  </pic:blipFill>
                  <pic:spPr bwMode="auto">
                    <a:xfrm>
                      <a:off x="0" y="0"/>
                      <a:ext cx="7820025" cy="4943475"/>
                    </a:xfrm>
                    <a:prstGeom prst="rect">
                      <a:avLst/>
                    </a:prstGeom>
                    <a:noFill/>
                    <a:ln w="9525">
                      <a:noFill/>
                      <a:miter lim="800000"/>
                      <a:headEnd/>
                      <a:tailEnd/>
                    </a:ln>
                  </pic:spPr>
                </pic:pic>
              </a:graphicData>
            </a:graphic>
          </wp:inline>
        </w:drawing>
      </w:r>
    </w:p>
    <w:p w14:paraId="3FCE2EBD" w14:textId="77777777" w:rsidR="000D2C45" w:rsidRPr="006B52B6" w:rsidRDefault="000D2C45" w:rsidP="00CD4EA5">
      <w:pPr>
        <w:jc w:val="center"/>
        <w:rPr>
          <w:rFonts w:ascii="Times New Roman" w:hAnsi="Times New Roman" w:cs="Times New Roman"/>
          <w:b/>
          <w:noProof/>
          <w:sz w:val="24"/>
          <w:szCs w:val="24"/>
        </w:rPr>
      </w:pPr>
    </w:p>
    <w:p w14:paraId="63E3E8F1" w14:textId="77777777" w:rsidR="000D2C45" w:rsidRPr="006B52B6" w:rsidRDefault="000D2C45" w:rsidP="000D2C45">
      <w:pPr>
        <w:rPr>
          <w:rFonts w:ascii="Times New Roman" w:hAnsi="Times New Roman" w:cs="Times New Roman"/>
          <w:sz w:val="24"/>
          <w:szCs w:val="24"/>
        </w:rPr>
      </w:pPr>
      <w:r w:rsidRPr="006B52B6">
        <w:rPr>
          <w:rFonts w:ascii="Times New Roman" w:hAnsi="Times New Roman" w:cs="Times New Roman"/>
          <w:b/>
          <w:noProof/>
          <w:sz w:val="24"/>
          <w:szCs w:val="24"/>
        </w:rPr>
        <w:br w:type="column"/>
      </w:r>
      <w:r w:rsidR="005B3378">
        <w:rPr>
          <w:rFonts w:ascii="Times New Roman" w:hAnsi="Times New Roman" w:cs="Times New Roman"/>
          <w:noProof/>
          <w:sz w:val="24"/>
          <w:szCs w:val="24"/>
        </w:rPr>
        <w:lastRenderedPageBreak/>
        <mc:AlternateContent>
          <mc:Choice Requires="wps">
            <w:drawing>
              <wp:anchor distT="45720" distB="45720" distL="114300" distR="114300" simplePos="0" relativeHeight="251659264" behindDoc="0" locked="0" layoutInCell="1" allowOverlap="1" wp14:anchorId="278A12EF" wp14:editId="77051F75">
                <wp:simplePos x="0" y="0"/>
                <wp:positionH relativeFrom="page">
                  <wp:posOffset>614680</wp:posOffset>
                </wp:positionH>
                <wp:positionV relativeFrom="paragraph">
                  <wp:posOffset>0</wp:posOffset>
                </wp:positionV>
                <wp:extent cx="9124950" cy="6640195"/>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0" cy="6640195"/>
                        </a:xfrm>
                        <a:prstGeom prst="rect">
                          <a:avLst/>
                        </a:prstGeom>
                        <a:solidFill>
                          <a:srgbClr val="FFFFFF"/>
                        </a:solidFill>
                        <a:ln w="9525">
                          <a:solidFill>
                            <a:srgbClr val="000000"/>
                          </a:solidFill>
                          <a:miter lim="800000"/>
                          <a:headEnd/>
                          <a:tailEnd/>
                        </a:ln>
                      </wps:spPr>
                      <wps:txbx>
                        <w:txbxContent>
                          <w:p w14:paraId="1D8E64A6" w14:textId="77777777" w:rsidR="001B139A" w:rsidRPr="00661A76" w:rsidRDefault="001B139A" w:rsidP="000C1FA3">
                            <w:pPr>
                              <w:jc w:val="center"/>
                              <w:rPr>
                                <w:b/>
                                <w:sz w:val="36"/>
                                <w:szCs w:val="36"/>
                              </w:rPr>
                            </w:pPr>
                            <w:r>
                              <w:rPr>
                                <w:b/>
                                <w:sz w:val="36"/>
                                <w:szCs w:val="36"/>
                              </w:rPr>
                              <w:t xml:space="preserve">C2:  </w:t>
                            </w:r>
                            <w:r w:rsidRPr="00661A76">
                              <w:rPr>
                                <w:b/>
                                <w:sz w:val="36"/>
                                <w:szCs w:val="36"/>
                              </w:rPr>
                              <w:t>NERC Assessment Areas in Long Term Reliability Assessment.</w:t>
                            </w:r>
                          </w:p>
                          <w:p w14:paraId="7AB7E96E" w14:textId="77777777" w:rsidR="001B139A" w:rsidRDefault="001B139A" w:rsidP="000C1FA3">
                            <w:pPr>
                              <w:jc w:val="center"/>
                            </w:pPr>
                            <w:r>
                              <w:rPr>
                                <w:noProof/>
                              </w:rPr>
                              <w:drawing>
                                <wp:inline distT="0" distB="0" distL="0" distR="0" wp14:anchorId="6059FB1B" wp14:editId="7703297A">
                                  <wp:extent cx="7452696" cy="57557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59434" cy="5760917"/>
                                          </a:xfrm>
                                          <a:prstGeom prst="rect">
                                            <a:avLst/>
                                          </a:prstGeom>
                                          <a:noFill/>
                                          <a:ln>
                                            <a:noFill/>
                                          </a:ln>
                                        </pic:spPr>
                                      </pic:pic>
                                    </a:graphicData>
                                  </a:graphic>
                                </wp:inline>
                              </w:drawing>
                            </w:r>
                          </w:p>
                          <w:p w14:paraId="7C83097C" w14:textId="77777777" w:rsidR="001B139A" w:rsidRPr="00661A76" w:rsidRDefault="001B139A" w:rsidP="000D2C45">
                            <w:pPr>
                              <w:rPr>
                                <w:sz w:val="24"/>
                                <w:szCs w:val="24"/>
                              </w:rPr>
                            </w:pPr>
                            <w:r w:rsidRPr="00661A76">
                              <w:rPr>
                                <w:sz w:val="24"/>
                                <w:szCs w:val="24"/>
                              </w:rPr>
                              <w:t>Source: NERC 2012 Long Term Reliability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78A12EF" id="_x0000_t202" coordsize="21600,21600" o:spt="202" path="m,l,21600r21600,l21600,xe">
                <v:stroke joinstyle="miter"/>
                <v:path gradientshapeok="t" o:connecttype="rect"/>
              </v:shapetype>
              <v:shape id="Text Box 2" o:spid="_x0000_s1026" type="#_x0000_t202" style="position:absolute;margin-left:48.4pt;margin-top:0;width:718.5pt;height:522.8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">
                <v:textbox>
                  <w:txbxContent>
                    <w:p w14:paraId="1D8E64A6" w14:textId="77777777" w:rsidR="001B139A" w:rsidRPr="00661A76" w:rsidRDefault="001B139A" w:rsidP="000C1FA3">
                      <w:pPr>
                        <w:jc w:val="center"/>
                        <w:rPr>
                          <w:b/>
                          <w:sz w:val="36"/>
                          <w:szCs w:val="36"/>
                        </w:rPr>
                      </w:pPr>
                      <w:r>
                        <w:rPr>
                          <w:b/>
                          <w:sz w:val="36"/>
                          <w:szCs w:val="36"/>
                        </w:rPr>
                        <w:t xml:space="preserve">C2:  </w:t>
                      </w:r>
                      <w:r w:rsidRPr="00661A76">
                        <w:rPr>
                          <w:b/>
                          <w:sz w:val="36"/>
                          <w:szCs w:val="36"/>
                        </w:rPr>
                        <w:t>NERC Assessment Areas in Long Term Reliability Assessment.</w:t>
                      </w:r>
                    </w:p>
                    <w:p w14:paraId="7AB7E96E" w14:textId="77777777" w:rsidR="001B139A" w:rsidRDefault="001B139A" w:rsidP="000C1FA3">
                      <w:pPr>
                        <w:jc w:val="center"/>
                      </w:pPr>
                      <w:r>
                        <w:rPr>
                          <w:noProof/>
                        </w:rPr>
                        <w:drawing>
                          <wp:inline distT="0" distB="0" distL="0" distR="0" wp14:anchorId="6059FB1B" wp14:editId="7703297A">
                            <wp:extent cx="7452696" cy="57557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459434" cy="5760917"/>
                                    </a:xfrm>
                                    <a:prstGeom prst="rect">
                                      <a:avLst/>
                                    </a:prstGeom>
                                    <a:noFill/>
                                    <a:ln>
                                      <a:noFill/>
                                    </a:ln>
                                  </pic:spPr>
                                </pic:pic>
                              </a:graphicData>
                            </a:graphic>
                          </wp:inline>
                        </w:drawing>
                      </w:r>
                    </w:p>
                    <w:p w14:paraId="7C83097C" w14:textId="77777777" w:rsidR="001B139A" w:rsidRPr="00661A76" w:rsidRDefault="001B139A" w:rsidP="000D2C45">
                      <w:pPr>
                        <w:rPr>
                          <w:sz w:val="24"/>
                          <w:szCs w:val="24"/>
                        </w:rPr>
                      </w:pPr>
                      <w:r w:rsidRPr="00661A76">
                        <w:rPr>
                          <w:sz w:val="24"/>
                          <w:szCs w:val="24"/>
                        </w:rPr>
                        <w:t>Source: NERC 2012 Long Term Reliability Assessment</w:t>
                      </w:r>
                    </w:p>
                  </w:txbxContent>
                </v:textbox>
                <w10:wrap type="square" anchorx="page"/>
              </v:shape>
            </w:pict>
          </mc:Fallback>
        </mc:AlternateContent>
      </w:r>
    </w:p>
    <w:p w14:paraId="396C4F0D" w14:textId="77777777" w:rsidR="000D2C45" w:rsidRPr="006B52B6" w:rsidRDefault="000D2C45" w:rsidP="00CD4EA5">
      <w:pPr>
        <w:jc w:val="center"/>
        <w:rPr>
          <w:rFonts w:ascii="Times New Roman" w:hAnsi="Times New Roman" w:cs="Times New Roman"/>
          <w:b/>
          <w:sz w:val="24"/>
          <w:szCs w:val="24"/>
        </w:rPr>
      </w:pPr>
    </w:p>
    <w:sectPr w:rsidR="000D2C45" w:rsidRPr="006B52B6" w:rsidSect="00BD7AF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EC2D5" w14:textId="77777777" w:rsidR="00F45B21" w:rsidRDefault="00F45B21" w:rsidP="00031AA0">
      <w:pPr>
        <w:spacing w:after="0" w:line="240" w:lineRule="auto"/>
      </w:pPr>
      <w:r>
        <w:separator/>
      </w:r>
    </w:p>
  </w:endnote>
  <w:endnote w:type="continuationSeparator" w:id="0">
    <w:p w14:paraId="3BA847C3" w14:textId="77777777" w:rsidR="00F45B21" w:rsidRDefault="00F45B21" w:rsidP="00031A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2403157"/>
      <w:docPartObj>
        <w:docPartGallery w:val="Page Numbers (Bottom of Page)"/>
        <w:docPartUnique/>
      </w:docPartObj>
    </w:sdtPr>
    <w:sdtEndPr/>
    <w:sdtContent>
      <w:p w14:paraId="75395106" w14:textId="77777777" w:rsidR="001B139A" w:rsidRDefault="001B139A">
        <w:pPr>
          <w:pStyle w:val="Footer"/>
          <w:jc w:val="center"/>
        </w:pPr>
        <w:r>
          <w:fldChar w:fldCharType="begin"/>
        </w:r>
        <w:r>
          <w:instrText xml:space="preserve"> PAGE   \* MERGEFORMAT </w:instrText>
        </w:r>
        <w:r>
          <w:fldChar w:fldCharType="separate"/>
        </w:r>
        <w:r w:rsidR="00537086">
          <w:rPr>
            <w:noProof/>
          </w:rPr>
          <w:t>22</w:t>
        </w:r>
        <w:r>
          <w:fldChar w:fldCharType="end"/>
        </w:r>
      </w:p>
    </w:sdtContent>
  </w:sdt>
  <w:p w14:paraId="32E64EAA" w14:textId="77777777" w:rsidR="001B139A" w:rsidRDefault="001B13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60BEF" w14:textId="77777777" w:rsidR="00F45B21" w:rsidRDefault="00F45B21" w:rsidP="00031AA0">
      <w:pPr>
        <w:spacing w:after="0" w:line="240" w:lineRule="auto"/>
      </w:pPr>
      <w:r>
        <w:separator/>
      </w:r>
    </w:p>
  </w:footnote>
  <w:footnote w:type="continuationSeparator" w:id="0">
    <w:p w14:paraId="5CE281D0" w14:textId="77777777" w:rsidR="00F45B21" w:rsidRDefault="00F45B21" w:rsidP="00031AA0">
      <w:pPr>
        <w:spacing w:after="0" w:line="240" w:lineRule="auto"/>
      </w:pPr>
      <w:r>
        <w:continuationSeparator/>
      </w:r>
    </w:p>
  </w:footnote>
  <w:footnote w:id="1">
    <w:p w14:paraId="46C76CA6" w14:textId="17069047" w:rsidR="00754378" w:rsidRPr="00E064EA" w:rsidRDefault="00754378">
      <w:pPr>
        <w:pStyle w:val="FootnoteText"/>
        <w:rPr>
          <w:rFonts w:ascii="Times New Roman" w:hAnsi="Times New Roman" w:cs="Times New Roman"/>
        </w:rPr>
      </w:pPr>
      <w:r w:rsidRPr="00E064EA">
        <w:rPr>
          <w:rStyle w:val="FootnoteReference"/>
          <w:rFonts w:ascii="Times New Roman" w:hAnsi="Times New Roman" w:cs="Times New Roman"/>
        </w:rPr>
        <w:footnoteRef/>
      </w:r>
      <w:r w:rsidRPr="00E064EA">
        <w:rPr>
          <w:rFonts w:ascii="Times New Roman" w:hAnsi="Times New Roman" w:cs="Times New Roman"/>
        </w:rPr>
        <w:t xml:space="preserve"> As analyzed in this document, power regions correspond to aggregates of IPM regions corresponding to NERC assessment areas.</w:t>
      </w:r>
    </w:p>
  </w:footnote>
  <w:footnote w:id="2">
    <w:p w14:paraId="375B22F0" w14:textId="071EF554" w:rsidR="009B53F5" w:rsidRPr="00E064EA" w:rsidRDefault="009B53F5" w:rsidP="009B53F5">
      <w:pPr>
        <w:pStyle w:val="FootnoteText"/>
        <w:rPr>
          <w:rFonts w:ascii="Times New Roman" w:hAnsi="Times New Roman" w:cs="Times New Roman"/>
        </w:rPr>
      </w:pPr>
      <w:r w:rsidRPr="00E064EA">
        <w:rPr>
          <w:rStyle w:val="FootnoteReference"/>
          <w:rFonts w:ascii="Times New Roman" w:hAnsi="Times New Roman" w:cs="Times New Roman"/>
        </w:rPr>
        <w:footnoteRef/>
      </w:r>
      <w:r w:rsidRPr="00E064EA">
        <w:rPr>
          <w:rFonts w:ascii="Times New Roman" w:hAnsi="Times New Roman" w:cs="Times New Roman"/>
        </w:rPr>
        <w:t xml:space="preserve"> Both the base and policy cases start from input data on the expected state of the fleet of power plants in 2016 and assume certain planned retirements and additions happen by the end of 2015; the analysis focuses on the impacts of retirements that are projected by the IPM model in the</w:t>
      </w:r>
      <w:r w:rsidR="00E064EA">
        <w:rPr>
          <w:rFonts w:ascii="Times New Roman" w:hAnsi="Times New Roman" w:cs="Times New Roman"/>
        </w:rPr>
        <w:t xml:space="preserve"> 2020,</w:t>
      </w:r>
      <w:r w:rsidRPr="00E064EA">
        <w:rPr>
          <w:rFonts w:ascii="Times New Roman" w:hAnsi="Times New Roman" w:cs="Times New Roman"/>
        </w:rPr>
        <w:t xml:space="preserve"> 2025 and 2030. See the documentation of the NEEDS </w:t>
      </w:r>
      <w:proofErr w:type="gramStart"/>
      <w:r w:rsidRPr="00E064EA">
        <w:rPr>
          <w:rFonts w:ascii="Times New Roman" w:hAnsi="Times New Roman" w:cs="Times New Roman"/>
        </w:rPr>
        <w:t>data base</w:t>
      </w:r>
      <w:proofErr w:type="gramEnd"/>
      <w:r w:rsidRPr="00E064EA">
        <w:rPr>
          <w:rFonts w:ascii="Times New Roman" w:hAnsi="Times New Roman" w:cs="Times New Roman"/>
        </w:rPr>
        <w:t xml:space="preserve"> at </w:t>
      </w:r>
      <w:hyperlink r:id="rId1" w:history="1">
        <w:r w:rsidRPr="00E064EA">
          <w:rPr>
            <w:rStyle w:val="Hyperlink"/>
            <w:rFonts w:ascii="Times New Roman" w:hAnsi="Times New Roman" w:cs="Times New Roman"/>
          </w:rPr>
          <w:t>epa.gov/</w:t>
        </w:r>
        <w:proofErr w:type="spellStart"/>
        <w:r w:rsidRPr="00E064EA">
          <w:rPr>
            <w:rStyle w:val="Hyperlink"/>
            <w:rFonts w:ascii="Times New Roman" w:hAnsi="Times New Roman" w:cs="Times New Roman"/>
          </w:rPr>
          <w:t>powersectormodeling</w:t>
        </w:r>
        <w:proofErr w:type="spellEnd"/>
      </w:hyperlink>
      <w:r w:rsidRPr="00E064EA">
        <w:rPr>
          <w:rFonts w:ascii="Times New Roman" w:hAnsi="Times New Roman" w:cs="Times New Roman"/>
        </w:rPr>
        <w:t xml:space="preserve"> for information on what retirements and additions are assumed to occur by the end of 2015.</w:t>
      </w:r>
    </w:p>
  </w:footnote>
  <w:footnote w:id="3">
    <w:p w14:paraId="3E58301F" w14:textId="77777777" w:rsidR="009B53F5" w:rsidRPr="00E064EA" w:rsidRDefault="009B53F5" w:rsidP="009B53F5">
      <w:pPr>
        <w:pStyle w:val="FootnoteText"/>
        <w:rPr>
          <w:rFonts w:ascii="Times New Roman" w:hAnsi="Times New Roman" w:cs="Times New Roman"/>
        </w:rPr>
      </w:pPr>
      <w:r w:rsidRPr="00E064EA">
        <w:rPr>
          <w:rStyle w:val="FootnoteReference"/>
          <w:rFonts w:ascii="Times New Roman" w:hAnsi="Times New Roman" w:cs="Times New Roman"/>
        </w:rPr>
        <w:footnoteRef/>
      </w:r>
      <w:r w:rsidRPr="00E064EA">
        <w:rPr>
          <w:rFonts w:ascii="Times New Roman" w:hAnsi="Times New Roman" w:cs="Times New Roman"/>
        </w:rPr>
        <w:t xml:space="preserve"> See final rule Regulatory Impact Analysis for more detail on the power sector impacts of the final CPP.</w:t>
      </w:r>
    </w:p>
  </w:footnote>
  <w:footnote w:id="4">
    <w:p w14:paraId="3A4E127D" w14:textId="36E3A7A5" w:rsidR="0066061A" w:rsidRDefault="0066061A">
      <w:pPr>
        <w:pStyle w:val="FootnoteText"/>
      </w:pPr>
      <w:r>
        <w:rPr>
          <w:rStyle w:val="FootnoteReference"/>
        </w:rPr>
        <w:footnoteRef/>
      </w:r>
      <w:r>
        <w:t xml:space="preserve"> </w:t>
      </w:r>
      <w:r w:rsidRPr="007C52DE">
        <w:rPr>
          <w:rFonts w:ascii="Times New Roman" w:hAnsi="Times New Roman" w:cs="Times New Roman"/>
        </w:rPr>
        <w:t>Detailed information and documentation of EPA’s Base Case using IPM (v5.13), including all the underlying assumptions, data sources, and architecture parameters can be found on EPA’s website at: http://www.epa.gov/powersectormodeling/BaseCasev513.html</w:t>
      </w:r>
    </w:p>
  </w:footnote>
  <w:footnote w:id="5">
    <w:p w14:paraId="6CF31747" w14:textId="4689C788" w:rsidR="001B139A" w:rsidRDefault="001B139A">
      <w:pPr>
        <w:pStyle w:val="FootnoteText"/>
      </w:pPr>
      <w:r>
        <w:rPr>
          <w:rStyle w:val="FootnoteReference"/>
        </w:rPr>
        <w:footnoteRef/>
      </w:r>
      <w:r>
        <w:t xml:space="preserve"> S</w:t>
      </w:r>
      <w:r w:rsidRPr="00491961">
        <w:t>ee Chapter 3 of the RIA for additional detail on the scenarios analyzed.</w:t>
      </w:r>
    </w:p>
  </w:footnote>
  <w:footnote w:id="6">
    <w:p w14:paraId="5F44A7A0" w14:textId="77777777" w:rsidR="001B139A" w:rsidRPr="007C52DE" w:rsidRDefault="001B139A">
      <w:pPr>
        <w:pStyle w:val="FootnoteText"/>
        <w:rPr>
          <w:rFonts w:ascii="Times New Roman" w:hAnsi="Times New Roman" w:cs="Times New Roman"/>
        </w:rPr>
      </w:pPr>
      <w:r w:rsidRPr="007C52DE">
        <w:rPr>
          <w:rStyle w:val="FootnoteReference"/>
          <w:rFonts w:ascii="Times New Roman" w:hAnsi="Times New Roman" w:cs="Times New Roman"/>
        </w:rPr>
        <w:footnoteRef/>
      </w:r>
      <w:r w:rsidRPr="007C52DE">
        <w:rPr>
          <w:rFonts w:ascii="Times New Roman" w:hAnsi="Times New Roman" w:cs="Times New Roman"/>
        </w:rPr>
        <w:t xml:space="preserve"> Operational capacity is any existing, new or retrofitted capacity that is not retired.</w:t>
      </w:r>
    </w:p>
  </w:footnote>
  <w:footnote w:id="7">
    <w:p w14:paraId="67DF8315" w14:textId="77777777" w:rsidR="001B139A" w:rsidRPr="007C52DE" w:rsidRDefault="001B139A" w:rsidP="00A56021">
      <w:pPr>
        <w:pStyle w:val="FootnoteText"/>
        <w:rPr>
          <w:rFonts w:ascii="Times New Roman" w:hAnsi="Times New Roman" w:cs="Times New Roman"/>
        </w:rPr>
      </w:pPr>
      <w:r w:rsidRPr="007C52DE">
        <w:rPr>
          <w:rStyle w:val="FootnoteReference"/>
          <w:rFonts w:ascii="Times New Roman" w:hAnsi="Times New Roman" w:cs="Times New Roman"/>
        </w:rPr>
        <w:footnoteRef/>
      </w:r>
      <w:r w:rsidRPr="007C52DE">
        <w:rPr>
          <w:rFonts w:ascii="Times New Roman" w:hAnsi="Times New Roman" w:cs="Times New Roman"/>
        </w:rPr>
        <w:t xml:space="preserve"> Numbers in this table may not sum to numbers in Table A1 due to independent rounding and small classification differences between the base and policy cases.</w:t>
      </w:r>
    </w:p>
  </w:footnote>
  <w:footnote w:id="8">
    <w:p w14:paraId="04B4B44B" w14:textId="77777777" w:rsidR="001B139A" w:rsidRPr="007C52DE" w:rsidRDefault="001B139A">
      <w:pPr>
        <w:pStyle w:val="FootnoteText"/>
        <w:rPr>
          <w:rFonts w:ascii="Times New Roman" w:hAnsi="Times New Roman" w:cs="Times New Roman"/>
        </w:rPr>
      </w:pPr>
      <w:r w:rsidRPr="007C52DE">
        <w:rPr>
          <w:rStyle w:val="FootnoteReference"/>
          <w:rFonts w:ascii="Times New Roman" w:hAnsi="Times New Roman" w:cs="Times New Roman"/>
        </w:rPr>
        <w:footnoteRef/>
      </w:r>
      <w:r w:rsidRPr="007C52DE">
        <w:rPr>
          <w:rFonts w:ascii="Times New Roman" w:hAnsi="Times New Roman" w:cs="Times New Roman"/>
        </w:rPr>
        <w:t xml:space="preserve"> Reserve margin targets are generally based on the NERC 2010 10 Year Assessments for the region, except in cases where there are </w:t>
      </w:r>
      <w:proofErr w:type="gramStart"/>
      <w:r w:rsidRPr="007C52DE">
        <w:rPr>
          <w:rFonts w:ascii="Times New Roman" w:hAnsi="Times New Roman" w:cs="Times New Roman"/>
        </w:rPr>
        <w:t>more stringent state requirements</w:t>
      </w:r>
      <w:proofErr w:type="gramEnd"/>
      <w:r w:rsidRPr="007C52DE">
        <w:rPr>
          <w:rFonts w:ascii="Times New Roman" w:hAnsi="Times New Roman" w:cs="Times New Roman"/>
        </w:rPr>
        <w:t xml:space="preserve"> or other exceptions.</w:t>
      </w:r>
    </w:p>
  </w:footnote>
  <w:footnote w:id="9">
    <w:p w14:paraId="237557CC" w14:textId="77777777" w:rsidR="001B139A" w:rsidRPr="007C52DE" w:rsidRDefault="001B139A">
      <w:pPr>
        <w:pStyle w:val="FootnoteText"/>
        <w:rPr>
          <w:rFonts w:ascii="Times New Roman" w:hAnsi="Times New Roman" w:cs="Times New Roman"/>
        </w:rPr>
      </w:pPr>
      <w:r w:rsidRPr="007C52DE">
        <w:rPr>
          <w:rStyle w:val="FootnoteReference"/>
          <w:rFonts w:ascii="Times New Roman" w:hAnsi="Times New Roman" w:cs="Times New Roman"/>
        </w:rPr>
        <w:footnoteRef/>
      </w:r>
      <w:r w:rsidRPr="007C52DE">
        <w:rPr>
          <w:rFonts w:ascii="Times New Roman" w:hAnsi="Times New Roman" w:cs="Times New Roman"/>
        </w:rPr>
        <w:t xml:space="preserve"> Regional data on operational capacity </w:t>
      </w:r>
      <w:proofErr w:type="gramStart"/>
      <w:r w:rsidRPr="007C52DE">
        <w:rPr>
          <w:rFonts w:ascii="Times New Roman" w:hAnsi="Times New Roman" w:cs="Times New Roman"/>
        </w:rPr>
        <w:t>is shown</w:t>
      </w:r>
      <w:proofErr w:type="gramEnd"/>
      <w:r w:rsidRPr="007C52DE">
        <w:rPr>
          <w:rFonts w:ascii="Times New Roman" w:hAnsi="Times New Roman" w:cs="Times New Roman"/>
        </w:rPr>
        <w:t xml:space="preserve"> in Table A1 of the Appendix.</w:t>
      </w:r>
    </w:p>
  </w:footnote>
  <w:footnote w:id="10">
    <w:p w14:paraId="6EF424DA" w14:textId="2906BC7A" w:rsidR="006E25AF" w:rsidRPr="007231C7" w:rsidRDefault="006E25AF">
      <w:pPr>
        <w:pStyle w:val="FootnoteText"/>
        <w:rPr>
          <w:rFonts w:ascii="Times New Roman" w:hAnsi="Times New Roman" w:cs="Times New Roman"/>
        </w:rPr>
      </w:pPr>
      <w:r>
        <w:rPr>
          <w:rStyle w:val="FootnoteReference"/>
        </w:rPr>
        <w:footnoteRef/>
      </w:r>
      <w:r>
        <w:t xml:space="preserve"> </w:t>
      </w:r>
      <w:r w:rsidR="007231C7">
        <w:rPr>
          <w:rFonts w:ascii="Times New Roman" w:hAnsi="Times New Roman" w:cs="Times New Roman"/>
        </w:rPr>
        <w:t xml:space="preserve">The reserve contribution to reserve capacity requirements from energy efficiency </w:t>
      </w:r>
      <w:proofErr w:type="gramStart"/>
      <w:r w:rsidR="007231C7">
        <w:rPr>
          <w:rFonts w:ascii="Times New Roman" w:hAnsi="Times New Roman" w:cs="Times New Roman"/>
        </w:rPr>
        <w:t>is determined</w:t>
      </w:r>
      <w:proofErr w:type="gramEnd"/>
      <w:r w:rsidR="007231C7">
        <w:rPr>
          <w:rFonts w:ascii="Times New Roman" w:hAnsi="Times New Roman" w:cs="Times New Roman"/>
        </w:rPr>
        <w:t xml:space="preserve"> by the reduced peak demand and the target reserve margin in each region.   For example, if peak demand in reduced by 100 MW and the reserve margin percentage in a region is 15%, the reduction in reserve capacity requirements is 115MW.</w:t>
      </w:r>
    </w:p>
  </w:footnote>
  <w:footnote w:id="11">
    <w:p w14:paraId="67B5E993" w14:textId="77777777" w:rsidR="001B139A" w:rsidRPr="007C52DE" w:rsidRDefault="001B139A">
      <w:pPr>
        <w:pStyle w:val="FootnoteText"/>
        <w:rPr>
          <w:rFonts w:ascii="Times New Roman" w:hAnsi="Times New Roman" w:cs="Times New Roman"/>
        </w:rPr>
      </w:pPr>
      <w:r w:rsidRPr="007C52DE">
        <w:rPr>
          <w:rStyle w:val="FootnoteReference"/>
          <w:rFonts w:ascii="Times New Roman" w:hAnsi="Times New Roman" w:cs="Times New Roman"/>
        </w:rPr>
        <w:footnoteRef/>
      </w:r>
      <w:r w:rsidRPr="007C52DE">
        <w:rPr>
          <w:rFonts w:ascii="Times New Roman" w:hAnsi="Times New Roman" w:cs="Times New Roman"/>
        </w:rPr>
        <w:t xml:space="preserve"> See maps of IPM regions and NERC Assessment Regions, and the table of target and projected reserve margins in the Appendix C</w:t>
      </w:r>
      <w:r>
        <w:rPr>
          <w:rFonts w:ascii="Times New Roman" w:hAnsi="Times New Roman" w:cs="Times New Roman"/>
        </w:rPr>
        <w:t xml:space="preserve">. </w:t>
      </w:r>
      <w:r w:rsidRPr="007C52DE">
        <w:rPr>
          <w:rFonts w:ascii="Times New Roman" w:hAnsi="Times New Roman" w:cs="Times New Roman"/>
        </w:rPr>
        <w:t xml:space="preserve">IPM regions </w:t>
      </w:r>
      <w:proofErr w:type="gramStart"/>
      <w:r w:rsidRPr="007C52DE">
        <w:rPr>
          <w:rFonts w:ascii="Times New Roman" w:hAnsi="Times New Roman" w:cs="Times New Roman"/>
        </w:rPr>
        <w:t>are based</w:t>
      </w:r>
      <w:proofErr w:type="gramEnd"/>
      <w:r w:rsidRPr="007C52DE">
        <w:rPr>
          <w:rFonts w:ascii="Times New Roman" w:hAnsi="Times New Roman" w:cs="Times New Roman"/>
        </w:rPr>
        <w:t xml:space="preserve"> on the regions NERC uses for regional assessments</w:t>
      </w:r>
      <w:r>
        <w:rPr>
          <w:rFonts w:ascii="Times New Roman" w:hAnsi="Times New Roman" w:cs="Times New Roman"/>
        </w:rPr>
        <w:t xml:space="preserve">. </w:t>
      </w:r>
      <w:r w:rsidRPr="007C52DE">
        <w:rPr>
          <w:rFonts w:ascii="Times New Roman" w:hAnsi="Times New Roman" w:cs="Times New Roman"/>
        </w:rPr>
        <w:t xml:space="preserve">These Assessment Regions </w:t>
      </w:r>
      <w:proofErr w:type="gramStart"/>
      <w:r w:rsidRPr="007C52DE">
        <w:rPr>
          <w:rFonts w:ascii="Times New Roman" w:hAnsi="Times New Roman" w:cs="Times New Roman"/>
        </w:rPr>
        <w:t>are used</w:t>
      </w:r>
      <w:proofErr w:type="gramEnd"/>
      <w:r w:rsidRPr="007C52DE">
        <w:rPr>
          <w:rFonts w:ascii="Times New Roman" w:hAnsi="Times New Roman" w:cs="Times New Roman"/>
        </w:rPr>
        <w:t xml:space="preserve"> for the Appendix tables in this document.</w:t>
      </w:r>
    </w:p>
  </w:footnote>
  <w:footnote w:id="12">
    <w:p w14:paraId="0FE6151C" w14:textId="1415971C" w:rsidR="001B139A" w:rsidRPr="003879A6" w:rsidRDefault="001B139A">
      <w:pPr>
        <w:pStyle w:val="FootnoteText"/>
        <w:rPr>
          <w:rFonts w:ascii="Times New Roman" w:hAnsi="Times New Roman" w:cs="Times New Roman"/>
        </w:rPr>
      </w:pPr>
      <w:r>
        <w:rPr>
          <w:rStyle w:val="FootnoteReference"/>
        </w:rPr>
        <w:footnoteRef/>
      </w:r>
      <w:r>
        <w:t xml:space="preserve"> </w:t>
      </w:r>
      <w:r w:rsidRPr="003879A6">
        <w:rPr>
          <w:rFonts w:ascii="Times New Roman" w:hAnsi="Times New Roman" w:cs="Times New Roman"/>
        </w:rPr>
        <w:t>Retirement and additions in this section are all incr</w:t>
      </w:r>
      <w:r w:rsidR="003879A6" w:rsidRPr="003879A6">
        <w:rPr>
          <w:rFonts w:ascii="Times New Roman" w:hAnsi="Times New Roman" w:cs="Times New Roman"/>
        </w:rPr>
        <w:t>emental to the base case in 2025</w:t>
      </w:r>
      <w:r w:rsidRPr="003879A6">
        <w:rPr>
          <w:rFonts w:ascii="Times New Roman" w:hAnsi="Times New Roman" w:cs="Times New Roman"/>
        </w:rPr>
        <w:t>; the</w:t>
      </w:r>
      <w:r w:rsidR="003879A6">
        <w:rPr>
          <w:rFonts w:ascii="Times New Roman" w:hAnsi="Times New Roman" w:cs="Times New Roman"/>
        </w:rPr>
        <w:t xml:space="preserve"> M</w:t>
      </w:r>
      <w:r w:rsidRPr="003879A6">
        <w:rPr>
          <w:rFonts w:ascii="Times New Roman" w:hAnsi="Times New Roman" w:cs="Times New Roman"/>
        </w:rPr>
        <w:t xml:space="preserve">W values represent model projections of responses to the imposition of the policy, not currently announced retirements or additions that </w:t>
      </w:r>
      <w:proofErr w:type="gramStart"/>
      <w:r w:rsidRPr="003879A6">
        <w:rPr>
          <w:rFonts w:ascii="Times New Roman" w:hAnsi="Times New Roman" w:cs="Times New Roman"/>
        </w:rPr>
        <w:t>are currently planned</w:t>
      </w:r>
      <w:proofErr w:type="gramEnd"/>
      <w:r w:rsidRPr="003879A6">
        <w:rPr>
          <w:rFonts w:ascii="Times New Roman" w:hAnsi="Times New Roman" w:cs="Times New Roman"/>
        </w:rPr>
        <w:t xml:space="preserve"> or under construction.</w:t>
      </w:r>
    </w:p>
  </w:footnote>
  <w:footnote w:id="13">
    <w:p w14:paraId="5783DA3A" w14:textId="7B129396" w:rsidR="00A138C3" w:rsidRPr="00E064EA" w:rsidRDefault="00A138C3">
      <w:pPr>
        <w:pStyle w:val="FootnoteText"/>
        <w:rPr>
          <w:rFonts w:ascii="Times New Roman" w:hAnsi="Times New Roman" w:cs="Times New Roman"/>
        </w:rPr>
      </w:pPr>
      <w:r w:rsidRPr="00E064EA">
        <w:rPr>
          <w:rStyle w:val="FootnoteReference"/>
          <w:rFonts w:ascii="Times New Roman" w:hAnsi="Times New Roman" w:cs="Times New Roman"/>
        </w:rPr>
        <w:footnoteRef/>
      </w:r>
      <w:r w:rsidRPr="00E064EA">
        <w:rPr>
          <w:rFonts w:ascii="Times New Roman" w:hAnsi="Times New Roman" w:cs="Times New Roman"/>
        </w:rPr>
        <w:t xml:space="preserve"> See the Resource Adequacy and Reliability Analysis for the proposed rule.  A level of 5% </w:t>
      </w:r>
      <w:proofErr w:type="gramStart"/>
      <w:r w:rsidRPr="00E064EA">
        <w:rPr>
          <w:rFonts w:ascii="Times New Roman" w:hAnsi="Times New Roman" w:cs="Times New Roman"/>
        </w:rPr>
        <w:t>was us</w:t>
      </w:r>
      <w:r w:rsidR="00F00552" w:rsidRPr="00E064EA">
        <w:rPr>
          <w:rFonts w:ascii="Times New Roman" w:hAnsi="Times New Roman" w:cs="Times New Roman"/>
        </w:rPr>
        <w:t>ed</w:t>
      </w:r>
      <w:proofErr w:type="gramEnd"/>
      <w:r w:rsidR="00F00552" w:rsidRPr="00E064EA">
        <w:rPr>
          <w:rFonts w:ascii="Times New Roman" w:hAnsi="Times New Roman" w:cs="Times New Roman"/>
        </w:rPr>
        <w:t xml:space="preserve"> as a screen in that analysis; given the length of time to plan for compliance with this rule, a 5% shift is expected to be manageable within normal system planning timeframes.</w:t>
      </w:r>
      <w:r w:rsidR="00DD0C45" w:rsidRPr="00E064EA">
        <w:rPr>
          <w:rFonts w:ascii="Times New Roman" w:hAnsi="Times New Roman" w:cs="Times New Roman"/>
        </w:rPr>
        <w:t xml:space="preserve"> In the proposed rule TSD, </w:t>
      </w:r>
      <w:r w:rsidR="001D69C9" w:rsidRPr="00E064EA">
        <w:rPr>
          <w:rFonts w:ascii="Times New Roman" w:hAnsi="Times New Roman" w:cs="Times New Roman"/>
        </w:rPr>
        <w:t xml:space="preserve">there </w:t>
      </w:r>
      <w:r w:rsidR="00DD0C45" w:rsidRPr="00E064EA">
        <w:rPr>
          <w:rFonts w:ascii="Times New Roman" w:hAnsi="Times New Roman" w:cs="Times New Roman"/>
        </w:rPr>
        <w:t>were three regions above the 5% threshold.</w:t>
      </w:r>
    </w:p>
  </w:footnote>
  <w:footnote w:id="14">
    <w:p w14:paraId="21A20B0F" w14:textId="402D39E2" w:rsidR="00F70B8D" w:rsidRPr="00E064EA" w:rsidRDefault="00F70B8D">
      <w:pPr>
        <w:pStyle w:val="FootnoteText"/>
        <w:rPr>
          <w:rFonts w:ascii="Times New Roman" w:hAnsi="Times New Roman" w:cs="Times New Roman"/>
        </w:rPr>
      </w:pPr>
      <w:r w:rsidRPr="00E064EA">
        <w:rPr>
          <w:rStyle w:val="FootnoteReference"/>
          <w:rFonts w:ascii="Times New Roman" w:hAnsi="Times New Roman" w:cs="Times New Roman"/>
        </w:rPr>
        <w:footnoteRef/>
      </w:r>
      <w:r w:rsidRPr="00E064EA">
        <w:rPr>
          <w:rFonts w:ascii="Times New Roman" w:hAnsi="Times New Roman" w:cs="Times New Roman"/>
        </w:rPr>
        <w:t xml:space="preserve"> For more detail on differences between these scenarios, including the specific scenarios modeled</w:t>
      </w:r>
      <w:r w:rsidR="00943BAC" w:rsidRPr="00E064EA">
        <w:rPr>
          <w:rFonts w:ascii="Times New Roman" w:hAnsi="Times New Roman" w:cs="Times New Roman"/>
        </w:rPr>
        <w:t>,</w:t>
      </w:r>
      <w:r w:rsidRPr="00E064EA">
        <w:rPr>
          <w:rFonts w:ascii="Times New Roman" w:hAnsi="Times New Roman" w:cs="Times New Roman"/>
        </w:rPr>
        <w:t xml:space="preserve"> the </w:t>
      </w:r>
      <w:r w:rsidR="00943BAC" w:rsidRPr="00E064EA">
        <w:rPr>
          <w:rFonts w:ascii="Times New Roman" w:hAnsi="Times New Roman" w:cs="Times New Roman"/>
        </w:rPr>
        <w:t>modeling assumptions, and impacts, see the Regulatory Impact Analysis, Chapter 3.</w:t>
      </w:r>
      <w:r w:rsidRPr="00E064EA">
        <w:rPr>
          <w:rFonts w:ascii="Times New Roman" w:hAnsi="Times New Roman" w:cs="Times New Roman"/>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EE46CF"/>
    <w:multiLevelType w:val="hybridMultilevel"/>
    <w:tmpl w:val="61EE66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nsid w:val="4F966CCB"/>
    <w:multiLevelType w:val="hybridMultilevel"/>
    <w:tmpl w:val="5B36AF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00"/>
    <w:rsid w:val="0000004B"/>
    <w:rsid w:val="00005565"/>
    <w:rsid w:val="000277E0"/>
    <w:rsid w:val="00031AA0"/>
    <w:rsid w:val="00040F05"/>
    <w:rsid w:val="00045E5B"/>
    <w:rsid w:val="00052ACB"/>
    <w:rsid w:val="000647F4"/>
    <w:rsid w:val="000725EB"/>
    <w:rsid w:val="00095227"/>
    <w:rsid w:val="0009619E"/>
    <w:rsid w:val="00096C0E"/>
    <w:rsid w:val="000B25DB"/>
    <w:rsid w:val="000C1FA3"/>
    <w:rsid w:val="000C4D4D"/>
    <w:rsid w:val="000C6FD2"/>
    <w:rsid w:val="000C7F92"/>
    <w:rsid w:val="000D2C45"/>
    <w:rsid w:val="000E3F4C"/>
    <w:rsid w:val="000E5B95"/>
    <w:rsid w:val="000F2175"/>
    <w:rsid w:val="000F27AD"/>
    <w:rsid w:val="000F6A53"/>
    <w:rsid w:val="001065EB"/>
    <w:rsid w:val="00110EEE"/>
    <w:rsid w:val="00114D4E"/>
    <w:rsid w:val="001201F4"/>
    <w:rsid w:val="00125DA9"/>
    <w:rsid w:val="0013364C"/>
    <w:rsid w:val="00134437"/>
    <w:rsid w:val="00140FF2"/>
    <w:rsid w:val="00153A1A"/>
    <w:rsid w:val="00175CA5"/>
    <w:rsid w:val="00180103"/>
    <w:rsid w:val="00196791"/>
    <w:rsid w:val="00197D24"/>
    <w:rsid w:val="001A5ACE"/>
    <w:rsid w:val="001B03F6"/>
    <w:rsid w:val="001B139A"/>
    <w:rsid w:val="001B763A"/>
    <w:rsid w:val="001C1523"/>
    <w:rsid w:val="001C6F68"/>
    <w:rsid w:val="001D34B5"/>
    <w:rsid w:val="001D69C9"/>
    <w:rsid w:val="001E6353"/>
    <w:rsid w:val="001E64AB"/>
    <w:rsid w:val="00200FCB"/>
    <w:rsid w:val="00201B82"/>
    <w:rsid w:val="00206D46"/>
    <w:rsid w:val="0021423F"/>
    <w:rsid w:val="002226E9"/>
    <w:rsid w:val="00224CA3"/>
    <w:rsid w:val="0024082B"/>
    <w:rsid w:val="00241194"/>
    <w:rsid w:val="00241591"/>
    <w:rsid w:val="00251CD8"/>
    <w:rsid w:val="00253514"/>
    <w:rsid w:val="00260D08"/>
    <w:rsid w:val="0026391F"/>
    <w:rsid w:val="002660AE"/>
    <w:rsid w:val="00267C01"/>
    <w:rsid w:val="00285881"/>
    <w:rsid w:val="002A65D5"/>
    <w:rsid w:val="002A76DB"/>
    <w:rsid w:val="002B059C"/>
    <w:rsid w:val="002B2650"/>
    <w:rsid w:val="002B72B1"/>
    <w:rsid w:val="002C1513"/>
    <w:rsid w:val="002D15C7"/>
    <w:rsid w:val="002F252B"/>
    <w:rsid w:val="00311F15"/>
    <w:rsid w:val="00320FFF"/>
    <w:rsid w:val="0032354E"/>
    <w:rsid w:val="003316E8"/>
    <w:rsid w:val="00337601"/>
    <w:rsid w:val="00341042"/>
    <w:rsid w:val="00346C3B"/>
    <w:rsid w:val="00357095"/>
    <w:rsid w:val="0036279B"/>
    <w:rsid w:val="00373B7F"/>
    <w:rsid w:val="00381409"/>
    <w:rsid w:val="003879A6"/>
    <w:rsid w:val="003A076B"/>
    <w:rsid w:val="003B2349"/>
    <w:rsid w:val="003C36D0"/>
    <w:rsid w:val="003C3753"/>
    <w:rsid w:val="003D1F73"/>
    <w:rsid w:val="003D2301"/>
    <w:rsid w:val="003E680D"/>
    <w:rsid w:val="003F6C7A"/>
    <w:rsid w:val="00414604"/>
    <w:rsid w:val="0042684C"/>
    <w:rsid w:val="00432F98"/>
    <w:rsid w:val="00446377"/>
    <w:rsid w:val="004476F2"/>
    <w:rsid w:val="00447DE6"/>
    <w:rsid w:val="0045196B"/>
    <w:rsid w:val="00464ABF"/>
    <w:rsid w:val="00470E93"/>
    <w:rsid w:val="004836A0"/>
    <w:rsid w:val="00491961"/>
    <w:rsid w:val="004B25CD"/>
    <w:rsid w:val="004B58AE"/>
    <w:rsid w:val="004B68E5"/>
    <w:rsid w:val="004E17FD"/>
    <w:rsid w:val="004E5948"/>
    <w:rsid w:val="005015E1"/>
    <w:rsid w:val="00507C07"/>
    <w:rsid w:val="00510570"/>
    <w:rsid w:val="0052663D"/>
    <w:rsid w:val="00527904"/>
    <w:rsid w:val="0053073C"/>
    <w:rsid w:val="00531300"/>
    <w:rsid w:val="00532E01"/>
    <w:rsid w:val="00533157"/>
    <w:rsid w:val="005364A3"/>
    <w:rsid w:val="00537086"/>
    <w:rsid w:val="005532CC"/>
    <w:rsid w:val="00554203"/>
    <w:rsid w:val="005624C2"/>
    <w:rsid w:val="005850A6"/>
    <w:rsid w:val="005902E1"/>
    <w:rsid w:val="005A087F"/>
    <w:rsid w:val="005A328D"/>
    <w:rsid w:val="005B3378"/>
    <w:rsid w:val="005B3A1A"/>
    <w:rsid w:val="005B71F7"/>
    <w:rsid w:val="005B7309"/>
    <w:rsid w:val="005C08FB"/>
    <w:rsid w:val="005E3F1F"/>
    <w:rsid w:val="005F0FAF"/>
    <w:rsid w:val="005F2D92"/>
    <w:rsid w:val="005F3D98"/>
    <w:rsid w:val="0061167D"/>
    <w:rsid w:val="00622500"/>
    <w:rsid w:val="0064607F"/>
    <w:rsid w:val="00646F54"/>
    <w:rsid w:val="00650E92"/>
    <w:rsid w:val="0065711E"/>
    <w:rsid w:val="0066061A"/>
    <w:rsid w:val="0066601E"/>
    <w:rsid w:val="00672A92"/>
    <w:rsid w:val="006822E5"/>
    <w:rsid w:val="006A791F"/>
    <w:rsid w:val="006B52B6"/>
    <w:rsid w:val="006B7F3D"/>
    <w:rsid w:val="006C009C"/>
    <w:rsid w:val="006C09C7"/>
    <w:rsid w:val="006C17BC"/>
    <w:rsid w:val="006C2C72"/>
    <w:rsid w:val="006D716E"/>
    <w:rsid w:val="006E1897"/>
    <w:rsid w:val="006E25AF"/>
    <w:rsid w:val="006E64C3"/>
    <w:rsid w:val="006F1E32"/>
    <w:rsid w:val="007231C7"/>
    <w:rsid w:val="0073441D"/>
    <w:rsid w:val="00734FD4"/>
    <w:rsid w:val="00746CD4"/>
    <w:rsid w:val="0075086C"/>
    <w:rsid w:val="00751934"/>
    <w:rsid w:val="00752BBA"/>
    <w:rsid w:val="00754378"/>
    <w:rsid w:val="007547F9"/>
    <w:rsid w:val="007620FD"/>
    <w:rsid w:val="00780F33"/>
    <w:rsid w:val="007A0FDE"/>
    <w:rsid w:val="007A7F78"/>
    <w:rsid w:val="007B0055"/>
    <w:rsid w:val="007B108C"/>
    <w:rsid w:val="007B2A23"/>
    <w:rsid w:val="007C52DE"/>
    <w:rsid w:val="007C58FF"/>
    <w:rsid w:val="007D4150"/>
    <w:rsid w:val="007D5E14"/>
    <w:rsid w:val="007F416E"/>
    <w:rsid w:val="008002FA"/>
    <w:rsid w:val="00810941"/>
    <w:rsid w:val="00815C97"/>
    <w:rsid w:val="00824AD0"/>
    <w:rsid w:val="00832805"/>
    <w:rsid w:val="00835085"/>
    <w:rsid w:val="00835654"/>
    <w:rsid w:val="008358A7"/>
    <w:rsid w:val="00847730"/>
    <w:rsid w:val="00850487"/>
    <w:rsid w:val="00852B9A"/>
    <w:rsid w:val="00853522"/>
    <w:rsid w:val="00856F9A"/>
    <w:rsid w:val="00857CD2"/>
    <w:rsid w:val="00860A21"/>
    <w:rsid w:val="008620D7"/>
    <w:rsid w:val="00864536"/>
    <w:rsid w:val="008704E2"/>
    <w:rsid w:val="008A1E8E"/>
    <w:rsid w:val="008A6C38"/>
    <w:rsid w:val="008A7DAC"/>
    <w:rsid w:val="008B3A24"/>
    <w:rsid w:val="008C0978"/>
    <w:rsid w:val="008C1977"/>
    <w:rsid w:val="008C2272"/>
    <w:rsid w:val="008C5799"/>
    <w:rsid w:val="008D6DE2"/>
    <w:rsid w:val="008E213B"/>
    <w:rsid w:val="008E54C6"/>
    <w:rsid w:val="008E7B69"/>
    <w:rsid w:val="008F1F71"/>
    <w:rsid w:val="008F2AC6"/>
    <w:rsid w:val="008F55FA"/>
    <w:rsid w:val="0090125B"/>
    <w:rsid w:val="0090490A"/>
    <w:rsid w:val="00910F7C"/>
    <w:rsid w:val="00912D21"/>
    <w:rsid w:val="00915B4D"/>
    <w:rsid w:val="00922A27"/>
    <w:rsid w:val="009258A8"/>
    <w:rsid w:val="0092625C"/>
    <w:rsid w:val="00943BAC"/>
    <w:rsid w:val="009549B5"/>
    <w:rsid w:val="009601CD"/>
    <w:rsid w:val="009649DF"/>
    <w:rsid w:val="00971429"/>
    <w:rsid w:val="009719ED"/>
    <w:rsid w:val="00972871"/>
    <w:rsid w:val="009819F8"/>
    <w:rsid w:val="009A62C7"/>
    <w:rsid w:val="009B4C9B"/>
    <w:rsid w:val="009B53F5"/>
    <w:rsid w:val="009C6B63"/>
    <w:rsid w:val="009D30D3"/>
    <w:rsid w:val="009E248B"/>
    <w:rsid w:val="009E5098"/>
    <w:rsid w:val="00A03741"/>
    <w:rsid w:val="00A044D6"/>
    <w:rsid w:val="00A06EDA"/>
    <w:rsid w:val="00A11BA3"/>
    <w:rsid w:val="00A138C3"/>
    <w:rsid w:val="00A13D6F"/>
    <w:rsid w:val="00A14546"/>
    <w:rsid w:val="00A2385D"/>
    <w:rsid w:val="00A238D1"/>
    <w:rsid w:val="00A253B9"/>
    <w:rsid w:val="00A30D50"/>
    <w:rsid w:val="00A36EF3"/>
    <w:rsid w:val="00A53A8D"/>
    <w:rsid w:val="00A56021"/>
    <w:rsid w:val="00A66F7E"/>
    <w:rsid w:val="00A84B8E"/>
    <w:rsid w:val="00A91BA9"/>
    <w:rsid w:val="00AA0B7A"/>
    <w:rsid w:val="00AA58CD"/>
    <w:rsid w:val="00AC3AE5"/>
    <w:rsid w:val="00AC639F"/>
    <w:rsid w:val="00AD38ED"/>
    <w:rsid w:val="00AD659B"/>
    <w:rsid w:val="00AE064E"/>
    <w:rsid w:val="00AE0D2E"/>
    <w:rsid w:val="00B01C2E"/>
    <w:rsid w:val="00B2104B"/>
    <w:rsid w:val="00B22076"/>
    <w:rsid w:val="00B33DB4"/>
    <w:rsid w:val="00B42DEF"/>
    <w:rsid w:val="00B47711"/>
    <w:rsid w:val="00B52F74"/>
    <w:rsid w:val="00B543CC"/>
    <w:rsid w:val="00B83750"/>
    <w:rsid w:val="00B92AE7"/>
    <w:rsid w:val="00B92E03"/>
    <w:rsid w:val="00BA6F23"/>
    <w:rsid w:val="00BB4293"/>
    <w:rsid w:val="00BB4DFF"/>
    <w:rsid w:val="00BC65B1"/>
    <w:rsid w:val="00BC71AD"/>
    <w:rsid w:val="00BD0C88"/>
    <w:rsid w:val="00BD292A"/>
    <w:rsid w:val="00BD7AFA"/>
    <w:rsid w:val="00BE26A5"/>
    <w:rsid w:val="00BF18C6"/>
    <w:rsid w:val="00BF6ACE"/>
    <w:rsid w:val="00C0399E"/>
    <w:rsid w:val="00C075F3"/>
    <w:rsid w:val="00C11553"/>
    <w:rsid w:val="00C1527D"/>
    <w:rsid w:val="00C16490"/>
    <w:rsid w:val="00C175F1"/>
    <w:rsid w:val="00C244D0"/>
    <w:rsid w:val="00C33E29"/>
    <w:rsid w:val="00C43D59"/>
    <w:rsid w:val="00C46117"/>
    <w:rsid w:val="00C51AD9"/>
    <w:rsid w:val="00C555B1"/>
    <w:rsid w:val="00C565B0"/>
    <w:rsid w:val="00C576FC"/>
    <w:rsid w:val="00C66128"/>
    <w:rsid w:val="00C84C47"/>
    <w:rsid w:val="00C876AB"/>
    <w:rsid w:val="00C879E9"/>
    <w:rsid w:val="00C91578"/>
    <w:rsid w:val="00C929EF"/>
    <w:rsid w:val="00CA1D3A"/>
    <w:rsid w:val="00CC364B"/>
    <w:rsid w:val="00CD1E47"/>
    <w:rsid w:val="00CD4EA5"/>
    <w:rsid w:val="00CE2E05"/>
    <w:rsid w:val="00CE6084"/>
    <w:rsid w:val="00CF73D8"/>
    <w:rsid w:val="00CF75AF"/>
    <w:rsid w:val="00D06675"/>
    <w:rsid w:val="00D20C58"/>
    <w:rsid w:val="00D21C33"/>
    <w:rsid w:val="00D30E2E"/>
    <w:rsid w:val="00D344E5"/>
    <w:rsid w:val="00D40543"/>
    <w:rsid w:val="00D51A6D"/>
    <w:rsid w:val="00D63A22"/>
    <w:rsid w:val="00D669A2"/>
    <w:rsid w:val="00D7050E"/>
    <w:rsid w:val="00D757FA"/>
    <w:rsid w:val="00D7584C"/>
    <w:rsid w:val="00D85232"/>
    <w:rsid w:val="00D90828"/>
    <w:rsid w:val="00D92F6F"/>
    <w:rsid w:val="00D976FB"/>
    <w:rsid w:val="00DA1F1A"/>
    <w:rsid w:val="00DA5279"/>
    <w:rsid w:val="00DA531B"/>
    <w:rsid w:val="00DB156F"/>
    <w:rsid w:val="00DB46DB"/>
    <w:rsid w:val="00DD0C45"/>
    <w:rsid w:val="00E02415"/>
    <w:rsid w:val="00E064EA"/>
    <w:rsid w:val="00E22A6A"/>
    <w:rsid w:val="00E36305"/>
    <w:rsid w:val="00E408E5"/>
    <w:rsid w:val="00E435D7"/>
    <w:rsid w:val="00E5242A"/>
    <w:rsid w:val="00E61D6C"/>
    <w:rsid w:val="00E62702"/>
    <w:rsid w:val="00E62D06"/>
    <w:rsid w:val="00E74863"/>
    <w:rsid w:val="00E813B1"/>
    <w:rsid w:val="00E81C1A"/>
    <w:rsid w:val="00E91493"/>
    <w:rsid w:val="00E95885"/>
    <w:rsid w:val="00E96E09"/>
    <w:rsid w:val="00EA1D8C"/>
    <w:rsid w:val="00EA2923"/>
    <w:rsid w:val="00EA3011"/>
    <w:rsid w:val="00EC0AA6"/>
    <w:rsid w:val="00EC2C65"/>
    <w:rsid w:val="00EC3B8F"/>
    <w:rsid w:val="00EC5931"/>
    <w:rsid w:val="00EC65CF"/>
    <w:rsid w:val="00ED5BBA"/>
    <w:rsid w:val="00EF7014"/>
    <w:rsid w:val="00F00552"/>
    <w:rsid w:val="00F1707A"/>
    <w:rsid w:val="00F2090C"/>
    <w:rsid w:val="00F33F62"/>
    <w:rsid w:val="00F45B21"/>
    <w:rsid w:val="00F4615B"/>
    <w:rsid w:val="00F559D6"/>
    <w:rsid w:val="00F6084E"/>
    <w:rsid w:val="00F634DA"/>
    <w:rsid w:val="00F64E43"/>
    <w:rsid w:val="00F70775"/>
    <w:rsid w:val="00F70B8D"/>
    <w:rsid w:val="00F858A0"/>
    <w:rsid w:val="00F86FFB"/>
    <w:rsid w:val="00F87651"/>
    <w:rsid w:val="00F93141"/>
    <w:rsid w:val="00F93AD4"/>
    <w:rsid w:val="00FA06B2"/>
    <w:rsid w:val="00FB13CA"/>
    <w:rsid w:val="00FB1DFF"/>
    <w:rsid w:val="00FB56F8"/>
    <w:rsid w:val="00FD1DF1"/>
    <w:rsid w:val="00FE73B3"/>
    <w:rsid w:val="00FF01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CF4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9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D1D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Footnote Text Char1 Char Char,Footnote Text Char Char Char Char,Footnote Text Char Char1,ALTS FOOTNOTE,fn,Char,Char4,Footnote Text - Preamble,Char2,Footnote Text - Preamble1,Char3,ft,f, Char, Char4, Char2, Char3"/>
    <w:basedOn w:val="Normal"/>
    <w:link w:val="FootnoteTextChar"/>
    <w:uiPriority w:val="99"/>
    <w:unhideWhenUsed/>
    <w:qFormat/>
    <w:rsid w:val="00031AA0"/>
    <w:pPr>
      <w:spacing w:after="0" w:line="240" w:lineRule="auto"/>
    </w:pPr>
    <w:rPr>
      <w:sz w:val="20"/>
      <w:szCs w:val="20"/>
    </w:rPr>
  </w:style>
  <w:style w:type="character" w:customStyle="1" w:styleId="FootnoteTextChar">
    <w:name w:val="Footnote Text Char"/>
    <w:aliases w:val="Footnote Text Char Char Char,Footnote Text Char1 Char Char Char,Footnote Text Char Char Char Char Char,Footnote Text Char Char1 Char,ALTS FOOTNOTE Char,fn Char,Char Char,Char4 Char,Footnote Text - Preamble Char,Char2 Char,Char3 Char"/>
    <w:basedOn w:val="DefaultParagraphFont"/>
    <w:link w:val="FootnoteText"/>
    <w:uiPriority w:val="99"/>
    <w:rsid w:val="00031AA0"/>
    <w:rPr>
      <w:sz w:val="20"/>
      <w:szCs w:val="20"/>
    </w:rPr>
  </w:style>
  <w:style w:type="character" w:styleId="FootnoteReference">
    <w:name w:val="footnote reference"/>
    <w:basedOn w:val="DefaultParagraphFont"/>
    <w:uiPriority w:val="99"/>
    <w:unhideWhenUsed/>
    <w:rsid w:val="00031AA0"/>
    <w:rPr>
      <w:vertAlign w:val="superscript"/>
    </w:rPr>
  </w:style>
  <w:style w:type="paragraph" w:styleId="BalloonText">
    <w:name w:val="Balloon Text"/>
    <w:basedOn w:val="Normal"/>
    <w:link w:val="BalloonTextChar"/>
    <w:uiPriority w:val="99"/>
    <w:semiHidden/>
    <w:unhideWhenUsed/>
    <w:rsid w:val="00BD7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7AFA"/>
    <w:rPr>
      <w:rFonts w:ascii="Tahoma" w:hAnsi="Tahoma" w:cs="Tahoma"/>
      <w:sz w:val="16"/>
      <w:szCs w:val="16"/>
    </w:rPr>
  </w:style>
  <w:style w:type="paragraph" w:styleId="Header">
    <w:name w:val="header"/>
    <w:basedOn w:val="Normal"/>
    <w:link w:val="HeaderChar"/>
    <w:uiPriority w:val="99"/>
    <w:unhideWhenUsed/>
    <w:rsid w:val="001336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364C"/>
  </w:style>
  <w:style w:type="paragraph" w:styleId="Footer">
    <w:name w:val="footer"/>
    <w:basedOn w:val="Normal"/>
    <w:link w:val="FooterChar"/>
    <w:uiPriority w:val="99"/>
    <w:unhideWhenUsed/>
    <w:rsid w:val="001336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364C"/>
  </w:style>
  <w:style w:type="character" w:styleId="CommentReference">
    <w:name w:val="annotation reference"/>
    <w:basedOn w:val="DefaultParagraphFont"/>
    <w:uiPriority w:val="99"/>
    <w:semiHidden/>
    <w:unhideWhenUsed/>
    <w:rsid w:val="00110EEE"/>
    <w:rPr>
      <w:sz w:val="16"/>
      <w:szCs w:val="16"/>
    </w:rPr>
  </w:style>
  <w:style w:type="paragraph" w:styleId="CommentText">
    <w:name w:val="annotation text"/>
    <w:basedOn w:val="Normal"/>
    <w:link w:val="CommentTextChar"/>
    <w:uiPriority w:val="99"/>
    <w:semiHidden/>
    <w:unhideWhenUsed/>
    <w:rsid w:val="00110EEE"/>
    <w:pPr>
      <w:spacing w:line="240" w:lineRule="auto"/>
    </w:pPr>
    <w:rPr>
      <w:sz w:val="20"/>
      <w:szCs w:val="20"/>
    </w:rPr>
  </w:style>
  <w:style w:type="character" w:customStyle="1" w:styleId="CommentTextChar">
    <w:name w:val="Comment Text Char"/>
    <w:basedOn w:val="DefaultParagraphFont"/>
    <w:link w:val="CommentText"/>
    <w:uiPriority w:val="99"/>
    <w:semiHidden/>
    <w:rsid w:val="00110EEE"/>
    <w:rPr>
      <w:sz w:val="20"/>
      <w:szCs w:val="20"/>
    </w:rPr>
  </w:style>
  <w:style w:type="paragraph" w:styleId="CommentSubject">
    <w:name w:val="annotation subject"/>
    <w:basedOn w:val="CommentText"/>
    <w:next w:val="CommentText"/>
    <w:link w:val="CommentSubjectChar"/>
    <w:uiPriority w:val="99"/>
    <w:semiHidden/>
    <w:unhideWhenUsed/>
    <w:rsid w:val="00110EEE"/>
    <w:rPr>
      <w:b/>
      <w:bCs/>
    </w:rPr>
  </w:style>
  <w:style w:type="character" w:customStyle="1" w:styleId="CommentSubjectChar">
    <w:name w:val="Comment Subject Char"/>
    <w:basedOn w:val="CommentTextChar"/>
    <w:link w:val="CommentSubject"/>
    <w:uiPriority w:val="99"/>
    <w:semiHidden/>
    <w:rsid w:val="00110EEE"/>
    <w:rPr>
      <w:b/>
      <w:bCs/>
      <w:sz w:val="20"/>
      <w:szCs w:val="20"/>
    </w:rPr>
  </w:style>
  <w:style w:type="paragraph" w:customStyle="1" w:styleId="Courier">
    <w:name w:val="Courier"/>
    <w:basedOn w:val="Normal"/>
    <w:uiPriority w:val="1"/>
    <w:qFormat/>
    <w:rsid w:val="000C4D4D"/>
    <w:rPr>
      <w:rFonts w:ascii="Courier New" w:hAnsi="Courier New" w:cs="Courier New"/>
    </w:rPr>
  </w:style>
  <w:style w:type="character" w:styleId="IntenseReference">
    <w:name w:val="Intense Reference"/>
    <w:basedOn w:val="DefaultParagraphFont"/>
    <w:uiPriority w:val="32"/>
    <w:qFormat/>
    <w:rsid w:val="00BB4293"/>
    <w:rPr>
      <w:b/>
      <w:bCs/>
      <w:smallCaps/>
      <w:color w:val="C0504D" w:themeColor="accent2"/>
      <w:spacing w:val="5"/>
      <w:u w:val="single"/>
    </w:rPr>
  </w:style>
  <w:style w:type="character" w:styleId="Hyperlink">
    <w:name w:val="Hyperlink"/>
    <w:basedOn w:val="DefaultParagraphFont"/>
    <w:uiPriority w:val="99"/>
    <w:unhideWhenUsed/>
    <w:rsid w:val="008C57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0210274">
      <w:bodyDiv w:val="1"/>
      <w:marLeft w:val="0"/>
      <w:marRight w:val="0"/>
      <w:marTop w:val="0"/>
      <w:marBottom w:val="0"/>
      <w:divBdr>
        <w:top w:val="none" w:sz="0" w:space="0" w:color="auto"/>
        <w:left w:val="none" w:sz="0" w:space="0" w:color="auto"/>
        <w:bottom w:val="none" w:sz="0" w:space="0" w:color="auto"/>
        <w:right w:val="none" w:sz="0" w:space="0" w:color="auto"/>
      </w:divBdr>
    </w:div>
    <w:div w:id="234709875">
      <w:bodyDiv w:val="1"/>
      <w:marLeft w:val="0"/>
      <w:marRight w:val="0"/>
      <w:marTop w:val="0"/>
      <w:marBottom w:val="0"/>
      <w:divBdr>
        <w:top w:val="none" w:sz="0" w:space="0" w:color="auto"/>
        <w:left w:val="none" w:sz="0" w:space="0" w:color="auto"/>
        <w:bottom w:val="none" w:sz="0" w:space="0" w:color="auto"/>
        <w:right w:val="none" w:sz="0" w:space="0" w:color="auto"/>
      </w:divBdr>
    </w:div>
    <w:div w:id="243733328">
      <w:bodyDiv w:val="1"/>
      <w:marLeft w:val="0"/>
      <w:marRight w:val="0"/>
      <w:marTop w:val="0"/>
      <w:marBottom w:val="0"/>
      <w:divBdr>
        <w:top w:val="none" w:sz="0" w:space="0" w:color="auto"/>
        <w:left w:val="none" w:sz="0" w:space="0" w:color="auto"/>
        <w:bottom w:val="none" w:sz="0" w:space="0" w:color="auto"/>
        <w:right w:val="none" w:sz="0" w:space="0" w:color="auto"/>
      </w:divBdr>
    </w:div>
    <w:div w:id="243951912">
      <w:bodyDiv w:val="1"/>
      <w:marLeft w:val="0"/>
      <w:marRight w:val="0"/>
      <w:marTop w:val="0"/>
      <w:marBottom w:val="0"/>
      <w:divBdr>
        <w:top w:val="none" w:sz="0" w:space="0" w:color="auto"/>
        <w:left w:val="none" w:sz="0" w:space="0" w:color="auto"/>
        <w:bottom w:val="none" w:sz="0" w:space="0" w:color="auto"/>
        <w:right w:val="none" w:sz="0" w:space="0" w:color="auto"/>
      </w:divBdr>
    </w:div>
    <w:div w:id="253708452">
      <w:bodyDiv w:val="1"/>
      <w:marLeft w:val="0"/>
      <w:marRight w:val="0"/>
      <w:marTop w:val="0"/>
      <w:marBottom w:val="0"/>
      <w:divBdr>
        <w:top w:val="none" w:sz="0" w:space="0" w:color="auto"/>
        <w:left w:val="none" w:sz="0" w:space="0" w:color="auto"/>
        <w:bottom w:val="none" w:sz="0" w:space="0" w:color="auto"/>
        <w:right w:val="none" w:sz="0" w:space="0" w:color="auto"/>
      </w:divBdr>
    </w:div>
    <w:div w:id="285742712">
      <w:bodyDiv w:val="1"/>
      <w:marLeft w:val="0"/>
      <w:marRight w:val="0"/>
      <w:marTop w:val="0"/>
      <w:marBottom w:val="0"/>
      <w:divBdr>
        <w:top w:val="none" w:sz="0" w:space="0" w:color="auto"/>
        <w:left w:val="none" w:sz="0" w:space="0" w:color="auto"/>
        <w:bottom w:val="none" w:sz="0" w:space="0" w:color="auto"/>
        <w:right w:val="none" w:sz="0" w:space="0" w:color="auto"/>
      </w:divBdr>
    </w:div>
    <w:div w:id="301814891">
      <w:bodyDiv w:val="1"/>
      <w:marLeft w:val="0"/>
      <w:marRight w:val="0"/>
      <w:marTop w:val="0"/>
      <w:marBottom w:val="0"/>
      <w:divBdr>
        <w:top w:val="none" w:sz="0" w:space="0" w:color="auto"/>
        <w:left w:val="none" w:sz="0" w:space="0" w:color="auto"/>
        <w:bottom w:val="none" w:sz="0" w:space="0" w:color="auto"/>
        <w:right w:val="none" w:sz="0" w:space="0" w:color="auto"/>
      </w:divBdr>
    </w:div>
    <w:div w:id="314652811">
      <w:bodyDiv w:val="1"/>
      <w:marLeft w:val="0"/>
      <w:marRight w:val="0"/>
      <w:marTop w:val="0"/>
      <w:marBottom w:val="0"/>
      <w:divBdr>
        <w:top w:val="none" w:sz="0" w:space="0" w:color="auto"/>
        <w:left w:val="none" w:sz="0" w:space="0" w:color="auto"/>
        <w:bottom w:val="none" w:sz="0" w:space="0" w:color="auto"/>
        <w:right w:val="none" w:sz="0" w:space="0" w:color="auto"/>
      </w:divBdr>
    </w:div>
    <w:div w:id="385032832">
      <w:bodyDiv w:val="1"/>
      <w:marLeft w:val="0"/>
      <w:marRight w:val="0"/>
      <w:marTop w:val="0"/>
      <w:marBottom w:val="0"/>
      <w:divBdr>
        <w:top w:val="none" w:sz="0" w:space="0" w:color="auto"/>
        <w:left w:val="none" w:sz="0" w:space="0" w:color="auto"/>
        <w:bottom w:val="none" w:sz="0" w:space="0" w:color="auto"/>
        <w:right w:val="none" w:sz="0" w:space="0" w:color="auto"/>
      </w:divBdr>
    </w:div>
    <w:div w:id="389886028">
      <w:bodyDiv w:val="1"/>
      <w:marLeft w:val="0"/>
      <w:marRight w:val="0"/>
      <w:marTop w:val="0"/>
      <w:marBottom w:val="0"/>
      <w:divBdr>
        <w:top w:val="none" w:sz="0" w:space="0" w:color="auto"/>
        <w:left w:val="none" w:sz="0" w:space="0" w:color="auto"/>
        <w:bottom w:val="none" w:sz="0" w:space="0" w:color="auto"/>
        <w:right w:val="none" w:sz="0" w:space="0" w:color="auto"/>
      </w:divBdr>
    </w:div>
    <w:div w:id="540367320">
      <w:bodyDiv w:val="1"/>
      <w:marLeft w:val="0"/>
      <w:marRight w:val="0"/>
      <w:marTop w:val="0"/>
      <w:marBottom w:val="0"/>
      <w:divBdr>
        <w:top w:val="none" w:sz="0" w:space="0" w:color="auto"/>
        <w:left w:val="none" w:sz="0" w:space="0" w:color="auto"/>
        <w:bottom w:val="none" w:sz="0" w:space="0" w:color="auto"/>
        <w:right w:val="none" w:sz="0" w:space="0" w:color="auto"/>
      </w:divBdr>
    </w:div>
    <w:div w:id="563637756">
      <w:bodyDiv w:val="1"/>
      <w:marLeft w:val="0"/>
      <w:marRight w:val="0"/>
      <w:marTop w:val="0"/>
      <w:marBottom w:val="0"/>
      <w:divBdr>
        <w:top w:val="none" w:sz="0" w:space="0" w:color="auto"/>
        <w:left w:val="none" w:sz="0" w:space="0" w:color="auto"/>
        <w:bottom w:val="none" w:sz="0" w:space="0" w:color="auto"/>
        <w:right w:val="none" w:sz="0" w:space="0" w:color="auto"/>
      </w:divBdr>
    </w:div>
    <w:div w:id="668097490">
      <w:bodyDiv w:val="1"/>
      <w:marLeft w:val="0"/>
      <w:marRight w:val="0"/>
      <w:marTop w:val="0"/>
      <w:marBottom w:val="0"/>
      <w:divBdr>
        <w:top w:val="none" w:sz="0" w:space="0" w:color="auto"/>
        <w:left w:val="none" w:sz="0" w:space="0" w:color="auto"/>
        <w:bottom w:val="none" w:sz="0" w:space="0" w:color="auto"/>
        <w:right w:val="none" w:sz="0" w:space="0" w:color="auto"/>
      </w:divBdr>
    </w:div>
    <w:div w:id="713119961">
      <w:bodyDiv w:val="1"/>
      <w:marLeft w:val="0"/>
      <w:marRight w:val="0"/>
      <w:marTop w:val="0"/>
      <w:marBottom w:val="0"/>
      <w:divBdr>
        <w:top w:val="none" w:sz="0" w:space="0" w:color="auto"/>
        <w:left w:val="none" w:sz="0" w:space="0" w:color="auto"/>
        <w:bottom w:val="none" w:sz="0" w:space="0" w:color="auto"/>
        <w:right w:val="none" w:sz="0" w:space="0" w:color="auto"/>
      </w:divBdr>
    </w:div>
    <w:div w:id="733964462">
      <w:bodyDiv w:val="1"/>
      <w:marLeft w:val="0"/>
      <w:marRight w:val="0"/>
      <w:marTop w:val="0"/>
      <w:marBottom w:val="0"/>
      <w:divBdr>
        <w:top w:val="none" w:sz="0" w:space="0" w:color="auto"/>
        <w:left w:val="none" w:sz="0" w:space="0" w:color="auto"/>
        <w:bottom w:val="none" w:sz="0" w:space="0" w:color="auto"/>
        <w:right w:val="none" w:sz="0" w:space="0" w:color="auto"/>
      </w:divBdr>
    </w:div>
    <w:div w:id="759645276">
      <w:bodyDiv w:val="1"/>
      <w:marLeft w:val="0"/>
      <w:marRight w:val="0"/>
      <w:marTop w:val="0"/>
      <w:marBottom w:val="0"/>
      <w:divBdr>
        <w:top w:val="none" w:sz="0" w:space="0" w:color="auto"/>
        <w:left w:val="none" w:sz="0" w:space="0" w:color="auto"/>
        <w:bottom w:val="none" w:sz="0" w:space="0" w:color="auto"/>
        <w:right w:val="none" w:sz="0" w:space="0" w:color="auto"/>
      </w:divBdr>
    </w:div>
    <w:div w:id="766930468">
      <w:bodyDiv w:val="1"/>
      <w:marLeft w:val="0"/>
      <w:marRight w:val="0"/>
      <w:marTop w:val="0"/>
      <w:marBottom w:val="0"/>
      <w:divBdr>
        <w:top w:val="none" w:sz="0" w:space="0" w:color="auto"/>
        <w:left w:val="none" w:sz="0" w:space="0" w:color="auto"/>
        <w:bottom w:val="none" w:sz="0" w:space="0" w:color="auto"/>
        <w:right w:val="none" w:sz="0" w:space="0" w:color="auto"/>
      </w:divBdr>
    </w:div>
    <w:div w:id="822743441">
      <w:bodyDiv w:val="1"/>
      <w:marLeft w:val="0"/>
      <w:marRight w:val="0"/>
      <w:marTop w:val="0"/>
      <w:marBottom w:val="0"/>
      <w:divBdr>
        <w:top w:val="none" w:sz="0" w:space="0" w:color="auto"/>
        <w:left w:val="none" w:sz="0" w:space="0" w:color="auto"/>
        <w:bottom w:val="none" w:sz="0" w:space="0" w:color="auto"/>
        <w:right w:val="none" w:sz="0" w:space="0" w:color="auto"/>
      </w:divBdr>
    </w:div>
    <w:div w:id="824273621">
      <w:bodyDiv w:val="1"/>
      <w:marLeft w:val="0"/>
      <w:marRight w:val="0"/>
      <w:marTop w:val="0"/>
      <w:marBottom w:val="0"/>
      <w:divBdr>
        <w:top w:val="none" w:sz="0" w:space="0" w:color="auto"/>
        <w:left w:val="none" w:sz="0" w:space="0" w:color="auto"/>
        <w:bottom w:val="none" w:sz="0" w:space="0" w:color="auto"/>
        <w:right w:val="none" w:sz="0" w:space="0" w:color="auto"/>
      </w:divBdr>
    </w:div>
    <w:div w:id="832063761">
      <w:bodyDiv w:val="1"/>
      <w:marLeft w:val="0"/>
      <w:marRight w:val="0"/>
      <w:marTop w:val="0"/>
      <w:marBottom w:val="0"/>
      <w:divBdr>
        <w:top w:val="none" w:sz="0" w:space="0" w:color="auto"/>
        <w:left w:val="none" w:sz="0" w:space="0" w:color="auto"/>
        <w:bottom w:val="none" w:sz="0" w:space="0" w:color="auto"/>
        <w:right w:val="none" w:sz="0" w:space="0" w:color="auto"/>
      </w:divBdr>
    </w:div>
    <w:div w:id="838692776">
      <w:bodyDiv w:val="1"/>
      <w:marLeft w:val="0"/>
      <w:marRight w:val="0"/>
      <w:marTop w:val="0"/>
      <w:marBottom w:val="0"/>
      <w:divBdr>
        <w:top w:val="none" w:sz="0" w:space="0" w:color="auto"/>
        <w:left w:val="none" w:sz="0" w:space="0" w:color="auto"/>
        <w:bottom w:val="none" w:sz="0" w:space="0" w:color="auto"/>
        <w:right w:val="none" w:sz="0" w:space="0" w:color="auto"/>
      </w:divBdr>
    </w:div>
    <w:div w:id="897864973">
      <w:bodyDiv w:val="1"/>
      <w:marLeft w:val="0"/>
      <w:marRight w:val="0"/>
      <w:marTop w:val="0"/>
      <w:marBottom w:val="0"/>
      <w:divBdr>
        <w:top w:val="none" w:sz="0" w:space="0" w:color="auto"/>
        <w:left w:val="none" w:sz="0" w:space="0" w:color="auto"/>
        <w:bottom w:val="none" w:sz="0" w:space="0" w:color="auto"/>
        <w:right w:val="none" w:sz="0" w:space="0" w:color="auto"/>
      </w:divBdr>
    </w:div>
    <w:div w:id="960573392">
      <w:bodyDiv w:val="1"/>
      <w:marLeft w:val="0"/>
      <w:marRight w:val="0"/>
      <w:marTop w:val="0"/>
      <w:marBottom w:val="0"/>
      <w:divBdr>
        <w:top w:val="none" w:sz="0" w:space="0" w:color="auto"/>
        <w:left w:val="none" w:sz="0" w:space="0" w:color="auto"/>
        <w:bottom w:val="none" w:sz="0" w:space="0" w:color="auto"/>
        <w:right w:val="none" w:sz="0" w:space="0" w:color="auto"/>
      </w:divBdr>
    </w:div>
    <w:div w:id="973756661">
      <w:bodyDiv w:val="1"/>
      <w:marLeft w:val="0"/>
      <w:marRight w:val="0"/>
      <w:marTop w:val="0"/>
      <w:marBottom w:val="0"/>
      <w:divBdr>
        <w:top w:val="none" w:sz="0" w:space="0" w:color="auto"/>
        <w:left w:val="none" w:sz="0" w:space="0" w:color="auto"/>
        <w:bottom w:val="none" w:sz="0" w:space="0" w:color="auto"/>
        <w:right w:val="none" w:sz="0" w:space="0" w:color="auto"/>
      </w:divBdr>
    </w:div>
    <w:div w:id="979959849">
      <w:bodyDiv w:val="1"/>
      <w:marLeft w:val="0"/>
      <w:marRight w:val="0"/>
      <w:marTop w:val="0"/>
      <w:marBottom w:val="0"/>
      <w:divBdr>
        <w:top w:val="none" w:sz="0" w:space="0" w:color="auto"/>
        <w:left w:val="none" w:sz="0" w:space="0" w:color="auto"/>
        <w:bottom w:val="none" w:sz="0" w:space="0" w:color="auto"/>
        <w:right w:val="none" w:sz="0" w:space="0" w:color="auto"/>
      </w:divBdr>
    </w:div>
    <w:div w:id="1138186390">
      <w:bodyDiv w:val="1"/>
      <w:marLeft w:val="0"/>
      <w:marRight w:val="0"/>
      <w:marTop w:val="0"/>
      <w:marBottom w:val="0"/>
      <w:divBdr>
        <w:top w:val="none" w:sz="0" w:space="0" w:color="auto"/>
        <w:left w:val="none" w:sz="0" w:space="0" w:color="auto"/>
        <w:bottom w:val="none" w:sz="0" w:space="0" w:color="auto"/>
        <w:right w:val="none" w:sz="0" w:space="0" w:color="auto"/>
      </w:divBdr>
    </w:div>
    <w:div w:id="1218055409">
      <w:bodyDiv w:val="1"/>
      <w:marLeft w:val="0"/>
      <w:marRight w:val="0"/>
      <w:marTop w:val="0"/>
      <w:marBottom w:val="0"/>
      <w:divBdr>
        <w:top w:val="none" w:sz="0" w:space="0" w:color="auto"/>
        <w:left w:val="none" w:sz="0" w:space="0" w:color="auto"/>
        <w:bottom w:val="none" w:sz="0" w:space="0" w:color="auto"/>
        <w:right w:val="none" w:sz="0" w:space="0" w:color="auto"/>
      </w:divBdr>
    </w:div>
    <w:div w:id="1441342560">
      <w:bodyDiv w:val="1"/>
      <w:marLeft w:val="0"/>
      <w:marRight w:val="0"/>
      <w:marTop w:val="0"/>
      <w:marBottom w:val="0"/>
      <w:divBdr>
        <w:top w:val="none" w:sz="0" w:space="0" w:color="auto"/>
        <w:left w:val="none" w:sz="0" w:space="0" w:color="auto"/>
        <w:bottom w:val="none" w:sz="0" w:space="0" w:color="auto"/>
        <w:right w:val="none" w:sz="0" w:space="0" w:color="auto"/>
      </w:divBdr>
    </w:div>
    <w:div w:id="1458183354">
      <w:bodyDiv w:val="1"/>
      <w:marLeft w:val="0"/>
      <w:marRight w:val="0"/>
      <w:marTop w:val="0"/>
      <w:marBottom w:val="0"/>
      <w:divBdr>
        <w:top w:val="none" w:sz="0" w:space="0" w:color="auto"/>
        <w:left w:val="none" w:sz="0" w:space="0" w:color="auto"/>
        <w:bottom w:val="none" w:sz="0" w:space="0" w:color="auto"/>
        <w:right w:val="none" w:sz="0" w:space="0" w:color="auto"/>
      </w:divBdr>
    </w:div>
    <w:div w:id="1476878150">
      <w:bodyDiv w:val="1"/>
      <w:marLeft w:val="0"/>
      <w:marRight w:val="0"/>
      <w:marTop w:val="0"/>
      <w:marBottom w:val="0"/>
      <w:divBdr>
        <w:top w:val="none" w:sz="0" w:space="0" w:color="auto"/>
        <w:left w:val="none" w:sz="0" w:space="0" w:color="auto"/>
        <w:bottom w:val="none" w:sz="0" w:space="0" w:color="auto"/>
        <w:right w:val="none" w:sz="0" w:space="0" w:color="auto"/>
      </w:divBdr>
    </w:div>
    <w:div w:id="1546485042">
      <w:bodyDiv w:val="1"/>
      <w:marLeft w:val="0"/>
      <w:marRight w:val="0"/>
      <w:marTop w:val="0"/>
      <w:marBottom w:val="0"/>
      <w:divBdr>
        <w:top w:val="none" w:sz="0" w:space="0" w:color="auto"/>
        <w:left w:val="none" w:sz="0" w:space="0" w:color="auto"/>
        <w:bottom w:val="none" w:sz="0" w:space="0" w:color="auto"/>
        <w:right w:val="none" w:sz="0" w:space="0" w:color="auto"/>
      </w:divBdr>
    </w:div>
    <w:div w:id="1570774190">
      <w:bodyDiv w:val="1"/>
      <w:marLeft w:val="0"/>
      <w:marRight w:val="0"/>
      <w:marTop w:val="0"/>
      <w:marBottom w:val="0"/>
      <w:divBdr>
        <w:top w:val="none" w:sz="0" w:space="0" w:color="auto"/>
        <w:left w:val="none" w:sz="0" w:space="0" w:color="auto"/>
        <w:bottom w:val="none" w:sz="0" w:space="0" w:color="auto"/>
        <w:right w:val="none" w:sz="0" w:space="0" w:color="auto"/>
      </w:divBdr>
    </w:div>
    <w:div w:id="1611743105">
      <w:bodyDiv w:val="1"/>
      <w:marLeft w:val="0"/>
      <w:marRight w:val="0"/>
      <w:marTop w:val="0"/>
      <w:marBottom w:val="0"/>
      <w:divBdr>
        <w:top w:val="none" w:sz="0" w:space="0" w:color="auto"/>
        <w:left w:val="none" w:sz="0" w:space="0" w:color="auto"/>
        <w:bottom w:val="none" w:sz="0" w:space="0" w:color="auto"/>
        <w:right w:val="none" w:sz="0" w:space="0" w:color="auto"/>
      </w:divBdr>
    </w:div>
    <w:div w:id="1731421426">
      <w:bodyDiv w:val="1"/>
      <w:marLeft w:val="0"/>
      <w:marRight w:val="0"/>
      <w:marTop w:val="0"/>
      <w:marBottom w:val="0"/>
      <w:divBdr>
        <w:top w:val="none" w:sz="0" w:space="0" w:color="auto"/>
        <w:left w:val="none" w:sz="0" w:space="0" w:color="auto"/>
        <w:bottom w:val="none" w:sz="0" w:space="0" w:color="auto"/>
        <w:right w:val="none" w:sz="0" w:space="0" w:color="auto"/>
      </w:divBdr>
    </w:div>
    <w:div w:id="1790857379">
      <w:bodyDiv w:val="1"/>
      <w:marLeft w:val="0"/>
      <w:marRight w:val="0"/>
      <w:marTop w:val="0"/>
      <w:marBottom w:val="0"/>
      <w:divBdr>
        <w:top w:val="none" w:sz="0" w:space="0" w:color="auto"/>
        <w:left w:val="none" w:sz="0" w:space="0" w:color="auto"/>
        <w:bottom w:val="none" w:sz="0" w:space="0" w:color="auto"/>
        <w:right w:val="none" w:sz="0" w:space="0" w:color="auto"/>
      </w:divBdr>
    </w:div>
    <w:div w:id="1822698266">
      <w:bodyDiv w:val="1"/>
      <w:marLeft w:val="0"/>
      <w:marRight w:val="0"/>
      <w:marTop w:val="0"/>
      <w:marBottom w:val="0"/>
      <w:divBdr>
        <w:top w:val="none" w:sz="0" w:space="0" w:color="auto"/>
        <w:left w:val="none" w:sz="0" w:space="0" w:color="auto"/>
        <w:bottom w:val="none" w:sz="0" w:space="0" w:color="auto"/>
        <w:right w:val="none" w:sz="0" w:space="0" w:color="auto"/>
      </w:divBdr>
    </w:div>
    <w:div w:id="1894581015">
      <w:bodyDiv w:val="1"/>
      <w:marLeft w:val="0"/>
      <w:marRight w:val="0"/>
      <w:marTop w:val="0"/>
      <w:marBottom w:val="0"/>
      <w:divBdr>
        <w:top w:val="none" w:sz="0" w:space="0" w:color="auto"/>
        <w:left w:val="none" w:sz="0" w:space="0" w:color="auto"/>
        <w:bottom w:val="none" w:sz="0" w:space="0" w:color="auto"/>
        <w:right w:val="none" w:sz="0" w:space="0" w:color="auto"/>
      </w:divBdr>
    </w:div>
    <w:div w:id="1917011528">
      <w:bodyDiv w:val="1"/>
      <w:marLeft w:val="0"/>
      <w:marRight w:val="0"/>
      <w:marTop w:val="0"/>
      <w:marBottom w:val="0"/>
      <w:divBdr>
        <w:top w:val="none" w:sz="0" w:space="0" w:color="auto"/>
        <w:left w:val="none" w:sz="0" w:space="0" w:color="auto"/>
        <w:bottom w:val="none" w:sz="0" w:space="0" w:color="auto"/>
        <w:right w:val="none" w:sz="0" w:space="0" w:color="auto"/>
      </w:divBdr>
    </w:div>
    <w:div w:id="2004891827">
      <w:bodyDiv w:val="1"/>
      <w:marLeft w:val="0"/>
      <w:marRight w:val="0"/>
      <w:marTop w:val="0"/>
      <w:marBottom w:val="0"/>
      <w:divBdr>
        <w:top w:val="none" w:sz="0" w:space="0" w:color="auto"/>
        <w:left w:val="none" w:sz="0" w:space="0" w:color="auto"/>
        <w:bottom w:val="none" w:sz="0" w:space="0" w:color="auto"/>
        <w:right w:val="none" w:sz="0" w:space="0" w:color="auto"/>
      </w:divBdr>
    </w:div>
    <w:div w:id="2089425235">
      <w:bodyDiv w:val="1"/>
      <w:marLeft w:val="0"/>
      <w:marRight w:val="0"/>
      <w:marTop w:val="0"/>
      <w:marBottom w:val="0"/>
      <w:divBdr>
        <w:top w:val="none" w:sz="0" w:space="0" w:color="auto"/>
        <w:left w:val="none" w:sz="0" w:space="0" w:color="auto"/>
        <w:bottom w:val="none" w:sz="0" w:space="0" w:color="auto"/>
        <w:right w:val="none" w:sz="0" w:space="0" w:color="auto"/>
      </w:divBdr>
    </w:div>
    <w:div w:id="2115512361">
      <w:bodyDiv w:val="1"/>
      <w:marLeft w:val="0"/>
      <w:marRight w:val="0"/>
      <w:marTop w:val="0"/>
      <w:marBottom w:val="0"/>
      <w:divBdr>
        <w:top w:val="none" w:sz="0" w:space="0" w:color="auto"/>
        <w:left w:val="none" w:sz="0" w:space="0" w:color="auto"/>
        <w:bottom w:val="none" w:sz="0" w:space="0" w:color="auto"/>
        <w:right w:val="none" w:sz="0" w:space="0" w:color="auto"/>
      </w:divBdr>
    </w:div>
    <w:div w:id="2130395621">
      <w:bodyDiv w:val="1"/>
      <w:marLeft w:val="0"/>
      <w:marRight w:val="0"/>
      <w:marTop w:val="0"/>
      <w:marBottom w:val="0"/>
      <w:divBdr>
        <w:top w:val="none" w:sz="0" w:space="0" w:color="auto"/>
        <w:left w:val="none" w:sz="0" w:space="0" w:color="auto"/>
        <w:bottom w:val="none" w:sz="0" w:space="0" w:color="auto"/>
        <w:right w:val="none" w:sz="0" w:space="0" w:color="auto"/>
      </w:divBdr>
    </w:div>
    <w:div w:id="213617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380.jpeg"/><Relationship Id="rId50"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7.jpeg"/><Relationship Id="rId53" Type="http://schemas.openxmlformats.org/officeDocument/2006/relationships/customXml" Target="../customXml/item5.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footer" Target="footer1.xm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8.jpeg"/><Relationship Id="rId20" Type="http://schemas.openxmlformats.org/officeDocument/2006/relationships/image" Target="media/image13.emf"/><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epa.gov/powersectormodel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29f62856-1543-49d4-a736-4569d363f533"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510F8BBD51855A4A99A6A45DD1F00FCD" ma:contentTypeVersion="11" ma:contentTypeDescription="Create a new document." ma:contentTypeScope="" ma:versionID="2af04eb9371e8af5ae284ac8ad2d29e3">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fdfc7f89-361c-4da3-9eb1-c903ad39280a" xmlns:ns6="4ac6f653-1ec0-4368-b61c-4ecc36cd00bb" targetNamespace="http://schemas.microsoft.com/office/2006/metadata/properties" ma:root="true" ma:fieldsID="7364ebd1c60adb729c1df89b86ccf2c5" ns1:_="" ns2:_="" ns3:_="" ns4:_="" ns5:_="" ns6:_="">
    <xsd:import namespace="http://schemas.microsoft.com/sharepoint/v3"/>
    <xsd:import namespace="4ffa91fb-a0ff-4ac5-b2db-65c790d184a4"/>
    <xsd:import namespace="http://schemas.microsoft.com/sharepoint.v3"/>
    <xsd:import namespace="http://schemas.microsoft.com/sharepoint/v3/fields"/>
    <xsd:import namespace="fdfc7f89-361c-4da3-9eb1-c903ad39280a"/>
    <xsd:import namespace="4ac6f653-1ec0-4368-b61c-4ecc36cd00bb"/>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6:Status" minOccurs="0"/>
                <xsd:element ref="ns6:Uploaded" minOccurs="0"/>
                <xsd:element ref="ns5: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aec54597-794d-48fd-aaaa-4eaa50f4ff1d}" ma:internalName="TaxCatchAllLabel" ma:readOnly="true" ma:showField="CatchAllDataLabel" ma:web="7d8dd676-26ca-4e08-b90f-b4e0026a58ac">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aec54597-794d-48fd-aaaa-4eaa50f4ff1d}" ma:internalName="TaxCatchAll" ma:showField="CatchAllData" ma:web="7d8dd676-26ca-4e08-b90f-b4e0026a58ac">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c7f89-361c-4da3-9eb1-c903ad39280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c6f653-1ec0-4368-b61c-4ecc36cd00bb" elementFormDefault="qualified">
    <xsd:import namespace="http://schemas.microsoft.com/office/2006/documentManagement/types"/>
    <xsd:import namespace="http://schemas.microsoft.com/office/infopath/2007/PartnerControls"/>
    <xsd:element name="Status" ma:index="30" nillable="true" ma:displayName="Status" ma:default="Final" ma:format="Dropdown" ma:internalName="Status">
      <xsd:simpleType>
        <xsd:restriction base="dms:Choice">
          <xsd:enumeration value="Final"/>
          <xsd:enumeration value="Draft"/>
        </xsd:restriction>
      </xsd:simpleType>
    </xsd:element>
    <xsd:element name="Uploaded" ma:index="31" nillable="true" ma:displayName="Uploaded" ma:default="0"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Status xmlns="4ac6f653-1ec0-4368-b61c-4ecc36cd00bb">Final</Status>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External_x0020_Contributor xmlns="4ffa91fb-a0ff-4ac5-b2db-65c790d184a4" xsi:nil="true"/>
    <TaxKeywordTaxHTField xmlns="4ffa91fb-a0ff-4ac5-b2db-65c790d184a4">
      <Terms xmlns="http://schemas.microsoft.com/office/infopath/2007/PartnerControls"/>
    </TaxKeywordTaxHTField>
    <Uploaded xmlns="4ac6f653-1ec0-4368-b61c-4ecc36cd00bb">false</Uploaded>
    <Record xmlns="4ffa91fb-a0ff-4ac5-b2db-65c790d184a4">Shared</Record>
    <Rights xmlns="4ffa91fb-a0ff-4ac5-b2db-65c790d184a4" xsi:nil="true"/>
    <Document_x0020_Creation_x0020_Date xmlns="4ffa91fb-a0ff-4ac5-b2db-65c790d184a4">2015-08-03T04:00:00+00:00</Document_x0020_Creation_x0020_Date>
    <EPA_x0020_Office xmlns="4ffa91fb-a0ff-4ac5-b2db-65c790d184a4">OAR-OAP</EPA_x0020_Office>
    <CategoryDescription xmlns="http://schemas.microsoft.com/sharepoint.v3" xsi:nil="true"/>
    <Identifier xmlns="4ffa91fb-a0ff-4ac5-b2db-65c790d184a4" xsi:nil="true"/>
    <_Coverage xmlns="http://schemas.microsoft.com/sharepoint/v3/fields" xsi:nil="true"/>
    <Creator xmlns="4ffa91fb-a0ff-4ac5-b2db-65c790d184a4">
      <UserInfo>
        <DisplayName>Friedman, Kristina</DisplayName>
        <AccountId>1903</AccountId>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documentManagement>
</p:properties>
</file>

<file path=customXml/itemProps1.xml><?xml version="1.0" encoding="utf-8"?>
<ds:datastoreItem xmlns:ds="http://schemas.openxmlformats.org/officeDocument/2006/customXml" ds:itemID="{1D1591AA-0607-4AB3-B60A-6D81E4940E51}"/>
</file>

<file path=customXml/itemProps2.xml><?xml version="1.0" encoding="utf-8"?>
<ds:datastoreItem xmlns:ds="http://schemas.openxmlformats.org/officeDocument/2006/customXml" ds:itemID="{278FDF3D-6781-42E6-97CF-592485E74C3D}"/>
</file>

<file path=customXml/itemProps3.xml><?xml version="1.0" encoding="utf-8"?>
<ds:datastoreItem xmlns:ds="http://schemas.openxmlformats.org/officeDocument/2006/customXml" ds:itemID="{6C39CB7C-A0F5-4663-980A-5EB174621578}"/>
</file>

<file path=customXml/itemProps4.xml><?xml version="1.0" encoding="utf-8"?>
<ds:datastoreItem xmlns:ds="http://schemas.openxmlformats.org/officeDocument/2006/customXml" ds:itemID="{D13E2FB3-08A8-4FC1-95EC-90D7CA979B52}"/>
</file>

<file path=customXml/itemProps5.xml><?xml version="1.0" encoding="utf-8"?>
<ds:datastoreItem xmlns:ds="http://schemas.openxmlformats.org/officeDocument/2006/customXml" ds:itemID="{CCE8181A-000F-41D9-AA59-3ADEC620EABF}"/>
</file>

<file path=docProps/app.xml><?xml version="1.0" encoding="utf-8"?>
<Properties xmlns="http://schemas.openxmlformats.org/officeDocument/2006/extended-properties" xmlns:vt="http://schemas.openxmlformats.org/officeDocument/2006/docPropsVTypes">
  <Template>Normal.dotm</Template>
  <TotalTime>0</TotalTime>
  <Pages>57</Pages>
  <Words>3747</Words>
  <Characters>21364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Resource_Adequacy_and_Reliability_FinalTSD_8.3.15</dc:title>
  <dc:creator/>
  <cp:keywords/>
  <cp:lastModifiedBy/>
  <cp:revision>1</cp:revision>
  <dcterms:created xsi:type="dcterms:W3CDTF">2015-08-03T22:26:00Z</dcterms:created>
  <dcterms:modified xsi:type="dcterms:W3CDTF">2015-08-03T22:26:00Z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0x010100510F8BBD51855A4A99A6A45DD1F00FCD</vt:lpwstr>
  </property>
  <property fmtid="{D5CDD505-2E9C-101B-9397-08002B2CF9AE}" pid="4" name="TaxKeyword">
    <vt:lpwstr/>
  </property>
  <property fmtid="{D5CDD505-2E9C-101B-9397-08002B2CF9AE}" pid="5" name="Document Type">
    <vt:lpwstr/>
  </property>
  <property fmtid="{D5CDD505-2E9C-101B-9397-08002B2CF9AE}" pid="6" name="EPA Subject">
    <vt:lpwstr/>
  </property>
</Properties>
</file>