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commentsExtended.xml" ContentType="application/vnd.openxmlformats-officedocument.wordprocessingml.commentsExtended+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2DD7F" w14:textId="77777777" w:rsidR="00CB5B84" w:rsidRDefault="00CB5B84" w:rsidP="00AB6C96">
      <w:pPr>
        <w:spacing w:after="60"/>
        <w:jc w:val="center"/>
        <w:rPr>
          <w:rFonts w:asciiTheme="majorHAnsi" w:hAnsiTheme="majorHAnsi"/>
          <w:b/>
          <w:sz w:val="32"/>
          <w:szCs w:val="32"/>
        </w:rPr>
      </w:pPr>
    </w:p>
    <w:p w14:paraId="44C82F79" w14:textId="77777777" w:rsidR="002B110B" w:rsidRDefault="002B110B" w:rsidP="00AB6C96">
      <w:pPr>
        <w:spacing w:after="60"/>
        <w:jc w:val="center"/>
        <w:rPr>
          <w:rFonts w:asciiTheme="majorHAnsi" w:hAnsiTheme="majorHAnsi"/>
          <w:b/>
          <w:sz w:val="32"/>
          <w:szCs w:val="32"/>
        </w:rPr>
      </w:pPr>
    </w:p>
    <w:p w14:paraId="4ED202BB" w14:textId="77777777" w:rsidR="002B110B" w:rsidRDefault="002B110B" w:rsidP="00AB6C96">
      <w:pPr>
        <w:spacing w:after="60"/>
        <w:jc w:val="center"/>
        <w:rPr>
          <w:rFonts w:asciiTheme="majorHAnsi" w:hAnsiTheme="majorHAnsi"/>
          <w:b/>
          <w:sz w:val="32"/>
          <w:szCs w:val="32"/>
        </w:rPr>
      </w:pPr>
    </w:p>
    <w:p w14:paraId="69BFAE9A" w14:textId="77777777" w:rsidR="002B110B" w:rsidRDefault="002B110B" w:rsidP="00AB6C96">
      <w:pPr>
        <w:spacing w:after="60"/>
        <w:jc w:val="center"/>
        <w:rPr>
          <w:rFonts w:asciiTheme="majorHAnsi" w:hAnsiTheme="majorHAnsi"/>
          <w:b/>
          <w:sz w:val="32"/>
          <w:szCs w:val="32"/>
        </w:rPr>
      </w:pPr>
    </w:p>
    <w:p w14:paraId="799A2EA5" w14:textId="77777777" w:rsidR="002B110B" w:rsidRDefault="002B110B" w:rsidP="00AB6C96">
      <w:pPr>
        <w:spacing w:after="60"/>
        <w:jc w:val="center"/>
        <w:rPr>
          <w:rFonts w:asciiTheme="majorHAnsi" w:hAnsiTheme="majorHAnsi"/>
          <w:b/>
          <w:sz w:val="32"/>
          <w:szCs w:val="32"/>
        </w:rPr>
      </w:pPr>
    </w:p>
    <w:p w14:paraId="2AFC74F1" w14:textId="77777777" w:rsidR="002B110B" w:rsidRDefault="002B110B" w:rsidP="00AB6C96">
      <w:pPr>
        <w:spacing w:after="60"/>
        <w:jc w:val="center"/>
        <w:rPr>
          <w:rFonts w:asciiTheme="majorHAnsi" w:hAnsiTheme="majorHAnsi"/>
          <w:b/>
          <w:sz w:val="32"/>
          <w:szCs w:val="32"/>
        </w:rPr>
      </w:pPr>
    </w:p>
    <w:p w14:paraId="321F04EA" w14:textId="77777777" w:rsidR="00B637A4" w:rsidRDefault="00B637A4" w:rsidP="00AB6C96">
      <w:pPr>
        <w:spacing w:after="60"/>
        <w:jc w:val="center"/>
        <w:rPr>
          <w:rFonts w:asciiTheme="majorHAnsi" w:hAnsiTheme="majorHAnsi"/>
          <w:b/>
          <w:sz w:val="32"/>
          <w:szCs w:val="32"/>
        </w:rPr>
      </w:pPr>
    </w:p>
    <w:p w14:paraId="6B0C43CC" w14:textId="77777777" w:rsidR="00B637A4" w:rsidRDefault="00B637A4" w:rsidP="00AB6C96">
      <w:pPr>
        <w:spacing w:after="60"/>
        <w:jc w:val="center"/>
        <w:rPr>
          <w:rFonts w:asciiTheme="majorHAnsi" w:hAnsiTheme="majorHAnsi"/>
          <w:b/>
          <w:sz w:val="32"/>
          <w:szCs w:val="32"/>
        </w:rPr>
      </w:pPr>
    </w:p>
    <w:p w14:paraId="5091CB31" w14:textId="77777777" w:rsidR="00B22636" w:rsidRPr="008D6F4E" w:rsidRDefault="00B22636" w:rsidP="00AB6C96">
      <w:pPr>
        <w:spacing w:after="60"/>
        <w:jc w:val="center"/>
        <w:rPr>
          <w:rFonts w:asciiTheme="majorHAnsi" w:hAnsiTheme="majorHAnsi"/>
          <w:b/>
          <w:sz w:val="32"/>
          <w:szCs w:val="32"/>
        </w:rPr>
      </w:pPr>
      <w:r w:rsidRPr="008D6F4E">
        <w:rPr>
          <w:rFonts w:asciiTheme="majorHAnsi" w:hAnsiTheme="majorHAnsi"/>
          <w:b/>
          <w:sz w:val="32"/>
          <w:szCs w:val="32"/>
        </w:rPr>
        <w:t>Evaluation Measurement and Verification (EM&amp;V) Guidance</w:t>
      </w:r>
    </w:p>
    <w:p w14:paraId="042CE7CD" w14:textId="77777777" w:rsidR="00B22636" w:rsidRPr="008D6F4E" w:rsidRDefault="00B22636" w:rsidP="00AB6C96">
      <w:pPr>
        <w:spacing w:after="60"/>
        <w:jc w:val="center"/>
        <w:rPr>
          <w:rFonts w:asciiTheme="majorHAnsi" w:hAnsiTheme="majorHAnsi"/>
          <w:b/>
          <w:sz w:val="32"/>
          <w:szCs w:val="32"/>
        </w:rPr>
      </w:pPr>
      <w:proofErr w:type="gramStart"/>
      <w:r>
        <w:rPr>
          <w:rFonts w:asciiTheme="majorHAnsi" w:hAnsiTheme="majorHAnsi"/>
          <w:b/>
          <w:sz w:val="32"/>
          <w:szCs w:val="32"/>
        </w:rPr>
        <w:t>f</w:t>
      </w:r>
      <w:r w:rsidRPr="008D6F4E">
        <w:rPr>
          <w:rFonts w:asciiTheme="majorHAnsi" w:hAnsiTheme="majorHAnsi"/>
          <w:b/>
          <w:sz w:val="32"/>
          <w:szCs w:val="32"/>
        </w:rPr>
        <w:t>or</w:t>
      </w:r>
      <w:proofErr w:type="gramEnd"/>
      <w:r w:rsidR="004040EB">
        <w:rPr>
          <w:rFonts w:asciiTheme="majorHAnsi" w:hAnsiTheme="majorHAnsi"/>
          <w:b/>
          <w:sz w:val="32"/>
          <w:szCs w:val="32"/>
        </w:rPr>
        <w:t xml:space="preserve"> </w:t>
      </w:r>
      <w:r w:rsidRPr="008D6F4E">
        <w:rPr>
          <w:rFonts w:asciiTheme="majorHAnsi" w:hAnsiTheme="majorHAnsi"/>
          <w:b/>
          <w:sz w:val="32"/>
          <w:szCs w:val="32"/>
        </w:rPr>
        <w:t>Demand</w:t>
      </w:r>
      <w:r>
        <w:rPr>
          <w:rFonts w:asciiTheme="majorHAnsi" w:hAnsiTheme="majorHAnsi"/>
          <w:b/>
          <w:sz w:val="32"/>
          <w:szCs w:val="32"/>
        </w:rPr>
        <w:t>-</w:t>
      </w:r>
      <w:r w:rsidRPr="008D6F4E">
        <w:rPr>
          <w:rFonts w:asciiTheme="majorHAnsi" w:hAnsiTheme="majorHAnsi"/>
          <w:b/>
          <w:sz w:val="32"/>
          <w:szCs w:val="32"/>
        </w:rPr>
        <w:t xml:space="preserve">Side </w:t>
      </w:r>
      <w:r>
        <w:rPr>
          <w:rFonts w:asciiTheme="majorHAnsi" w:hAnsiTheme="majorHAnsi"/>
          <w:b/>
          <w:sz w:val="32"/>
          <w:szCs w:val="32"/>
        </w:rPr>
        <w:t xml:space="preserve">Energy </w:t>
      </w:r>
      <w:r w:rsidRPr="008D6F4E">
        <w:rPr>
          <w:rFonts w:asciiTheme="majorHAnsi" w:hAnsiTheme="majorHAnsi"/>
          <w:b/>
          <w:sz w:val="32"/>
          <w:szCs w:val="32"/>
        </w:rPr>
        <w:t xml:space="preserve">Efficiency </w:t>
      </w:r>
      <w:r w:rsidR="004040EB">
        <w:rPr>
          <w:rFonts w:asciiTheme="majorHAnsi" w:hAnsiTheme="majorHAnsi"/>
          <w:b/>
          <w:sz w:val="32"/>
          <w:szCs w:val="32"/>
        </w:rPr>
        <w:t>(EE)</w:t>
      </w:r>
    </w:p>
    <w:p w14:paraId="49C56483" w14:textId="77777777" w:rsidR="00B22636" w:rsidRDefault="00B22636" w:rsidP="00AB6C96">
      <w:pPr>
        <w:rPr>
          <w:rFonts w:asciiTheme="majorHAnsi" w:hAnsiTheme="majorHAnsi"/>
          <w:sz w:val="32"/>
          <w:szCs w:val="32"/>
        </w:rPr>
      </w:pPr>
    </w:p>
    <w:p w14:paraId="27BA0786" w14:textId="77777777" w:rsidR="002A5E91" w:rsidRPr="008D6F4E" w:rsidRDefault="002A5E91" w:rsidP="00AB6C96">
      <w:pPr>
        <w:rPr>
          <w:rFonts w:asciiTheme="majorHAnsi" w:hAnsiTheme="majorHAnsi"/>
          <w:sz w:val="32"/>
          <w:szCs w:val="32"/>
        </w:rPr>
      </w:pPr>
    </w:p>
    <w:p w14:paraId="34ADC28B" w14:textId="77777777" w:rsidR="00B22636" w:rsidRPr="008D6F4E" w:rsidRDefault="00B22636" w:rsidP="00AB6C96">
      <w:pPr>
        <w:jc w:val="center"/>
        <w:rPr>
          <w:rFonts w:asciiTheme="majorHAnsi" w:hAnsiTheme="majorHAnsi"/>
          <w:b/>
          <w:sz w:val="32"/>
          <w:szCs w:val="32"/>
        </w:rPr>
      </w:pPr>
      <w:r w:rsidRPr="008D6F4E">
        <w:rPr>
          <w:rFonts w:asciiTheme="majorHAnsi" w:hAnsiTheme="majorHAnsi"/>
          <w:b/>
          <w:sz w:val="32"/>
          <w:szCs w:val="32"/>
        </w:rPr>
        <w:t>U.S. Environmental Protection Agency</w:t>
      </w:r>
    </w:p>
    <w:p w14:paraId="090D16E1" w14:textId="77777777" w:rsidR="00B22636" w:rsidRPr="008D6F4E" w:rsidRDefault="00B22636" w:rsidP="00AB6C96">
      <w:pPr>
        <w:rPr>
          <w:rFonts w:asciiTheme="majorHAnsi" w:hAnsiTheme="majorHAnsi"/>
          <w:sz w:val="32"/>
          <w:szCs w:val="32"/>
        </w:rPr>
      </w:pPr>
    </w:p>
    <w:p w14:paraId="56337B0C" w14:textId="77777777" w:rsidR="00B22636" w:rsidRDefault="00B22636" w:rsidP="00AB6C96">
      <w:pPr>
        <w:rPr>
          <w:rFonts w:asciiTheme="majorHAnsi" w:hAnsiTheme="majorHAnsi"/>
          <w:sz w:val="32"/>
          <w:szCs w:val="32"/>
        </w:rPr>
      </w:pPr>
    </w:p>
    <w:p w14:paraId="100455E0" w14:textId="77777777" w:rsidR="004040EB" w:rsidRDefault="004040EB" w:rsidP="00AB6C96">
      <w:pPr>
        <w:rPr>
          <w:rFonts w:asciiTheme="majorHAnsi" w:hAnsiTheme="majorHAnsi"/>
          <w:sz w:val="32"/>
          <w:szCs w:val="32"/>
        </w:rPr>
      </w:pPr>
    </w:p>
    <w:p w14:paraId="115F360A" w14:textId="77777777" w:rsidR="00B637A4" w:rsidRDefault="00B637A4" w:rsidP="00AB6C96">
      <w:pPr>
        <w:rPr>
          <w:rFonts w:asciiTheme="majorHAnsi" w:hAnsiTheme="majorHAnsi"/>
          <w:sz w:val="32"/>
          <w:szCs w:val="32"/>
        </w:rPr>
      </w:pPr>
    </w:p>
    <w:p w14:paraId="0CA8D1F0" w14:textId="77777777" w:rsidR="00B637A4" w:rsidRDefault="00B637A4" w:rsidP="00AB6C96">
      <w:pPr>
        <w:rPr>
          <w:rFonts w:asciiTheme="majorHAnsi" w:hAnsiTheme="majorHAnsi"/>
          <w:sz w:val="32"/>
          <w:szCs w:val="32"/>
        </w:rPr>
      </w:pPr>
    </w:p>
    <w:p w14:paraId="438A8F6C" w14:textId="77777777" w:rsidR="00B637A4" w:rsidRDefault="00B637A4" w:rsidP="00AB6C96">
      <w:pPr>
        <w:rPr>
          <w:rFonts w:asciiTheme="majorHAnsi" w:hAnsiTheme="majorHAnsi"/>
          <w:sz w:val="32"/>
          <w:szCs w:val="32"/>
        </w:rPr>
      </w:pPr>
    </w:p>
    <w:p w14:paraId="35ACF4A8" w14:textId="77777777" w:rsidR="00B637A4" w:rsidRDefault="00B637A4" w:rsidP="00AB6C96">
      <w:pPr>
        <w:rPr>
          <w:rFonts w:asciiTheme="majorHAnsi" w:hAnsiTheme="majorHAnsi"/>
          <w:sz w:val="32"/>
          <w:szCs w:val="32"/>
        </w:rPr>
      </w:pPr>
    </w:p>
    <w:p w14:paraId="4732A361" w14:textId="77777777" w:rsidR="00B637A4" w:rsidRDefault="00B637A4" w:rsidP="00AB6C96">
      <w:pPr>
        <w:rPr>
          <w:rFonts w:asciiTheme="majorHAnsi" w:hAnsiTheme="majorHAnsi"/>
          <w:sz w:val="32"/>
          <w:szCs w:val="32"/>
        </w:rPr>
      </w:pPr>
    </w:p>
    <w:p w14:paraId="7CB28B9D" w14:textId="77777777" w:rsidR="00B637A4" w:rsidRDefault="00B637A4" w:rsidP="00AB6C96">
      <w:pPr>
        <w:rPr>
          <w:rFonts w:asciiTheme="majorHAnsi" w:hAnsiTheme="majorHAnsi"/>
          <w:sz w:val="32"/>
          <w:szCs w:val="32"/>
        </w:rPr>
      </w:pPr>
    </w:p>
    <w:p w14:paraId="68A2FBE5" w14:textId="77777777" w:rsidR="004040EB" w:rsidRPr="008D6F4E" w:rsidRDefault="004040EB" w:rsidP="00AB6C96">
      <w:pPr>
        <w:rPr>
          <w:rFonts w:asciiTheme="majorHAnsi" w:hAnsiTheme="majorHAnsi"/>
          <w:sz w:val="32"/>
          <w:szCs w:val="32"/>
        </w:rPr>
      </w:pPr>
    </w:p>
    <w:p w14:paraId="4FA675C1" w14:textId="77777777" w:rsidR="00B22636" w:rsidRDefault="00B22636" w:rsidP="00AB6C96">
      <w:pPr>
        <w:rPr>
          <w:rFonts w:asciiTheme="majorHAnsi" w:hAnsiTheme="majorHAnsi"/>
          <w:sz w:val="32"/>
          <w:szCs w:val="32"/>
        </w:rPr>
      </w:pPr>
    </w:p>
    <w:p w14:paraId="400046BA" w14:textId="77777777" w:rsidR="00B637A4" w:rsidRDefault="00B637A4" w:rsidP="00AB6C96">
      <w:pPr>
        <w:rPr>
          <w:rFonts w:asciiTheme="majorHAnsi" w:hAnsiTheme="majorHAnsi"/>
          <w:sz w:val="32"/>
          <w:szCs w:val="32"/>
        </w:rPr>
      </w:pPr>
    </w:p>
    <w:p w14:paraId="65A630B3" w14:textId="77777777" w:rsidR="00B637A4" w:rsidRDefault="00B637A4" w:rsidP="00AB6C96">
      <w:pPr>
        <w:rPr>
          <w:rFonts w:asciiTheme="majorHAnsi" w:hAnsiTheme="majorHAnsi"/>
          <w:sz w:val="32"/>
          <w:szCs w:val="32"/>
        </w:rPr>
      </w:pPr>
    </w:p>
    <w:p w14:paraId="33A728C8" w14:textId="77777777" w:rsidR="00B637A4" w:rsidRPr="008D6F4E" w:rsidRDefault="00B637A4" w:rsidP="00AB6C96">
      <w:pPr>
        <w:rPr>
          <w:rFonts w:asciiTheme="majorHAnsi" w:hAnsiTheme="majorHAnsi"/>
          <w:sz w:val="32"/>
          <w:szCs w:val="32"/>
        </w:rPr>
      </w:pPr>
    </w:p>
    <w:p w14:paraId="2ED44DC2" w14:textId="6C5733AC" w:rsidR="00B22636" w:rsidRPr="008D6F4E" w:rsidRDefault="00B22636" w:rsidP="00AB6C96">
      <w:pPr>
        <w:jc w:val="center"/>
        <w:rPr>
          <w:rFonts w:asciiTheme="majorHAnsi" w:hAnsiTheme="majorHAnsi"/>
          <w:b/>
          <w:sz w:val="32"/>
          <w:szCs w:val="32"/>
        </w:rPr>
      </w:pPr>
      <w:r w:rsidRPr="008D6F4E">
        <w:rPr>
          <w:rFonts w:asciiTheme="majorHAnsi" w:hAnsiTheme="majorHAnsi"/>
          <w:b/>
          <w:sz w:val="32"/>
          <w:szCs w:val="32"/>
        </w:rPr>
        <w:t>DRAFT</w:t>
      </w:r>
      <w:r w:rsidR="00AC4956">
        <w:rPr>
          <w:rFonts w:asciiTheme="majorHAnsi" w:hAnsiTheme="majorHAnsi"/>
          <w:b/>
          <w:sz w:val="32"/>
          <w:szCs w:val="32"/>
        </w:rPr>
        <w:t xml:space="preserve"> FOR PUBLIC INPUT</w:t>
      </w:r>
    </w:p>
    <w:p w14:paraId="21B7E1CC" w14:textId="77777777" w:rsidR="00B22636" w:rsidRPr="008D6F4E" w:rsidRDefault="00B22636" w:rsidP="00AB6C96">
      <w:pPr>
        <w:jc w:val="center"/>
        <w:rPr>
          <w:rFonts w:asciiTheme="majorHAnsi" w:hAnsiTheme="majorHAnsi"/>
          <w:b/>
          <w:sz w:val="32"/>
          <w:szCs w:val="32"/>
        </w:rPr>
      </w:pPr>
    </w:p>
    <w:p w14:paraId="265E0C2E" w14:textId="15542EAB" w:rsidR="00B22636" w:rsidRDefault="00AC4956" w:rsidP="00AB6C96">
      <w:pPr>
        <w:jc w:val="center"/>
        <w:rPr>
          <w:rFonts w:asciiTheme="majorHAnsi" w:hAnsiTheme="majorHAnsi"/>
          <w:b/>
          <w:sz w:val="32"/>
          <w:szCs w:val="32"/>
        </w:rPr>
      </w:pPr>
      <w:r>
        <w:rPr>
          <w:rFonts w:asciiTheme="majorHAnsi" w:hAnsiTheme="majorHAnsi"/>
          <w:b/>
          <w:sz w:val="32"/>
          <w:szCs w:val="32"/>
        </w:rPr>
        <w:t xml:space="preserve">August </w:t>
      </w:r>
      <w:r w:rsidR="00315927">
        <w:rPr>
          <w:rFonts w:asciiTheme="majorHAnsi" w:hAnsiTheme="majorHAnsi"/>
          <w:b/>
          <w:sz w:val="32"/>
          <w:szCs w:val="32"/>
        </w:rPr>
        <w:t>3</w:t>
      </w:r>
      <w:r>
        <w:rPr>
          <w:rFonts w:asciiTheme="majorHAnsi" w:hAnsiTheme="majorHAnsi"/>
          <w:b/>
          <w:sz w:val="32"/>
          <w:szCs w:val="32"/>
        </w:rPr>
        <w:t>, 2015</w:t>
      </w:r>
    </w:p>
    <w:p w14:paraId="0105F59D" w14:textId="77777777" w:rsidR="00B22636" w:rsidRDefault="00B22636" w:rsidP="00AB6C96">
      <w:pPr>
        <w:jc w:val="center"/>
        <w:rPr>
          <w:rFonts w:asciiTheme="majorHAnsi" w:hAnsiTheme="majorHAnsi"/>
          <w:b/>
          <w:sz w:val="32"/>
          <w:szCs w:val="32"/>
        </w:rPr>
      </w:pPr>
    </w:p>
    <w:p w14:paraId="5CAC44A7" w14:textId="77777777" w:rsidR="00B22636" w:rsidRPr="008D6F4E" w:rsidRDefault="00B22636" w:rsidP="00AB6C96">
      <w:pPr>
        <w:jc w:val="center"/>
        <w:rPr>
          <w:rFonts w:asciiTheme="majorHAnsi" w:hAnsiTheme="majorHAnsi"/>
          <w:b/>
          <w:sz w:val="32"/>
          <w:szCs w:val="32"/>
        </w:rPr>
      </w:pPr>
    </w:p>
    <w:p w14:paraId="57D2927C" w14:textId="77777777" w:rsidR="00B22636" w:rsidRDefault="00B22636" w:rsidP="00AB6C96">
      <w:pPr>
        <w:jc w:val="center"/>
        <w:rPr>
          <w:b/>
          <w:sz w:val="36"/>
        </w:rPr>
        <w:sectPr w:rsidR="00B22636" w:rsidSect="00AD3C72">
          <w:headerReference w:type="default" r:id="rId8"/>
          <w:footerReference w:type="even" r:id="rId9"/>
          <w:footerReference w:type="default" r:id="rId10"/>
          <w:pgSz w:w="12240" w:h="15840"/>
          <w:pgMar w:top="1440" w:right="1440" w:bottom="1440" w:left="1440" w:header="720" w:footer="720" w:gutter="0"/>
          <w:pgNumType w:fmt="lowerRoman"/>
          <w:cols w:space="720"/>
        </w:sectPr>
      </w:pPr>
    </w:p>
    <w:p w14:paraId="444A7FDB" w14:textId="77777777" w:rsidR="00B22636" w:rsidRPr="00896A51" w:rsidRDefault="00B22636" w:rsidP="00AB6C96">
      <w:pPr>
        <w:spacing w:before="240" w:after="360"/>
        <w:rPr>
          <w:szCs w:val="28"/>
        </w:rPr>
      </w:pPr>
      <w:r w:rsidRPr="00CB6FBA">
        <w:rPr>
          <w:b/>
          <w:sz w:val="28"/>
          <w:szCs w:val="28"/>
        </w:rPr>
        <w:lastRenderedPageBreak/>
        <w:t>Contents</w:t>
      </w:r>
      <w:r w:rsidR="00C95CD7">
        <w:rPr>
          <w:b/>
          <w:sz w:val="28"/>
          <w:szCs w:val="28"/>
        </w:rPr>
        <w:t xml:space="preserve"> </w:t>
      </w:r>
    </w:p>
    <w:p w14:paraId="7917C21B" w14:textId="786CFD3F" w:rsidR="003660A6" w:rsidRPr="00896011" w:rsidRDefault="00975EC6">
      <w:pPr>
        <w:pStyle w:val="TOC1"/>
        <w:rPr>
          <w:rFonts w:asciiTheme="minorHAnsi" w:hAnsiTheme="minorHAnsi" w:cstheme="minorBidi"/>
          <w:b w:val="0"/>
          <w:noProof/>
          <w:szCs w:val="22"/>
        </w:rPr>
      </w:pPr>
      <w:r>
        <w:rPr>
          <w:b w:val="0"/>
          <w:sz w:val="24"/>
        </w:rPr>
        <w:fldChar w:fldCharType="begin"/>
      </w:r>
      <w:r>
        <w:rPr>
          <w:b w:val="0"/>
          <w:sz w:val="24"/>
        </w:rPr>
        <w:instrText xml:space="preserve"> TOC \o "1-3" \h \z \t "Heading 6,1,Front Matter Heading,1" </w:instrText>
      </w:r>
      <w:r>
        <w:rPr>
          <w:b w:val="0"/>
          <w:sz w:val="24"/>
        </w:rPr>
        <w:fldChar w:fldCharType="separate"/>
      </w:r>
      <w:hyperlink w:anchor="_Toc426044614" w:history="1">
        <w:r w:rsidR="003660A6" w:rsidRPr="00896011">
          <w:rPr>
            <w:rStyle w:val="Hyperlink"/>
            <w:noProof/>
          </w:rPr>
          <w:t>P</w:t>
        </w:r>
        <w:r w:rsidR="00BF4DA7" w:rsidRPr="00896011">
          <w:rPr>
            <w:rStyle w:val="Hyperlink"/>
            <w:noProof/>
          </w:rPr>
          <w:t>ublic Comment Opportunity</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_Toc426044614 \h </w:instrText>
        </w:r>
        <w:r w:rsidR="003660A6" w:rsidRPr="00896011">
          <w:rPr>
            <w:noProof/>
            <w:webHidden/>
          </w:rPr>
        </w:r>
        <w:r w:rsidR="003660A6" w:rsidRPr="00896011">
          <w:rPr>
            <w:noProof/>
            <w:webHidden/>
          </w:rPr>
          <w:fldChar w:fldCharType="separate"/>
        </w:r>
        <w:r w:rsidR="003660A6" w:rsidRPr="00896011">
          <w:rPr>
            <w:noProof/>
            <w:webHidden/>
          </w:rPr>
          <w:t>iv</w:t>
        </w:r>
        <w:r w:rsidR="003660A6" w:rsidRPr="00896011">
          <w:rPr>
            <w:noProof/>
            <w:webHidden/>
          </w:rPr>
          <w:fldChar w:fldCharType="end"/>
        </w:r>
      </w:hyperlink>
    </w:p>
    <w:p w14:paraId="1F7E85F0" w14:textId="77777777" w:rsidR="003660A6" w:rsidRPr="00896011" w:rsidRDefault="00133485">
      <w:pPr>
        <w:pStyle w:val="TOC1"/>
        <w:rPr>
          <w:rFonts w:asciiTheme="minorHAnsi" w:hAnsiTheme="minorHAnsi" w:cstheme="minorBidi"/>
          <w:b w:val="0"/>
          <w:noProof/>
          <w:szCs w:val="22"/>
        </w:rPr>
      </w:pPr>
      <w:hyperlink w:anchor="_Toc426044615" w:history="1">
        <w:r w:rsidR="003660A6" w:rsidRPr="00896011">
          <w:rPr>
            <w:rStyle w:val="Hyperlink"/>
            <w:noProof/>
          </w:rPr>
          <w:t>Acronyms and Abbreviations</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_Toc426044615 \h </w:instrText>
        </w:r>
        <w:r w:rsidR="003660A6" w:rsidRPr="00896011">
          <w:rPr>
            <w:noProof/>
            <w:webHidden/>
          </w:rPr>
        </w:r>
        <w:r w:rsidR="003660A6" w:rsidRPr="00896011">
          <w:rPr>
            <w:noProof/>
            <w:webHidden/>
          </w:rPr>
          <w:fldChar w:fldCharType="separate"/>
        </w:r>
        <w:r w:rsidR="003660A6" w:rsidRPr="00896011">
          <w:rPr>
            <w:noProof/>
            <w:webHidden/>
          </w:rPr>
          <w:t>v</w:t>
        </w:r>
        <w:r w:rsidR="003660A6" w:rsidRPr="00896011">
          <w:rPr>
            <w:noProof/>
            <w:webHidden/>
          </w:rPr>
          <w:fldChar w:fldCharType="end"/>
        </w:r>
      </w:hyperlink>
    </w:p>
    <w:p w14:paraId="53E5130A" w14:textId="77777777" w:rsidR="003660A6" w:rsidRPr="00896011" w:rsidRDefault="00133485">
      <w:pPr>
        <w:pStyle w:val="TOC1"/>
        <w:rPr>
          <w:rFonts w:asciiTheme="minorHAnsi" w:hAnsiTheme="minorHAnsi" w:cstheme="minorBidi"/>
          <w:b w:val="0"/>
          <w:noProof/>
          <w:szCs w:val="22"/>
        </w:rPr>
      </w:pPr>
      <w:hyperlink w:anchor="_Toc426044616" w:history="1">
        <w:r w:rsidR="003660A6" w:rsidRPr="00896011">
          <w:rPr>
            <w:rStyle w:val="Hyperlink"/>
            <w:noProof/>
          </w:rPr>
          <w:t>1. Introduction</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_Toc426044616 \h </w:instrText>
        </w:r>
        <w:r w:rsidR="003660A6" w:rsidRPr="00896011">
          <w:rPr>
            <w:noProof/>
            <w:webHidden/>
          </w:rPr>
        </w:r>
        <w:r w:rsidR="003660A6" w:rsidRPr="00896011">
          <w:rPr>
            <w:noProof/>
            <w:webHidden/>
          </w:rPr>
          <w:fldChar w:fldCharType="separate"/>
        </w:r>
        <w:r w:rsidR="003660A6" w:rsidRPr="00896011">
          <w:rPr>
            <w:noProof/>
            <w:webHidden/>
          </w:rPr>
          <w:t>1</w:t>
        </w:r>
        <w:r w:rsidR="003660A6" w:rsidRPr="00896011">
          <w:rPr>
            <w:noProof/>
            <w:webHidden/>
          </w:rPr>
          <w:fldChar w:fldCharType="end"/>
        </w:r>
      </w:hyperlink>
    </w:p>
    <w:p w14:paraId="16185215" w14:textId="77777777" w:rsidR="003660A6" w:rsidRPr="00896011" w:rsidRDefault="00133485">
      <w:pPr>
        <w:pStyle w:val="TOC2"/>
        <w:tabs>
          <w:tab w:val="right" w:leader="dot" w:pos="9350"/>
        </w:tabs>
        <w:rPr>
          <w:rFonts w:asciiTheme="minorHAnsi" w:hAnsiTheme="minorHAnsi" w:cstheme="minorBidi"/>
          <w:b w:val="0"/>
          <w:noProof/>
        </w:rPr>
      </w:pPr>
      <w:hyperlink w:anchor="_Toc426044617" w:history="1">
        <w:r w:rsidR="003660A6" w:rsidRPr="00896011">
          <w:rPr>
            <w:rStyle w:val="Hyperlink"/>
            <w:rFonts w:eastAsia="Courier New"/>
            <w:noProof/>
          </w:rPr>
          <w:t>1.1 Experience with EM&amp;V for Demand-Side EE</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_Toc426044617 \h </w:instrText>
        </w:r>
        <w:r w:rsidR="003660A6" w:rsidRPr="00896011">
          <w:rPr>
            <w:noProof/>
            <w:webHidden/>
          </w:rPr>
        </w:r>
        <w:r w:rsidR="003660A6" w:rsidRPr="00896011">
          <w:rPr>
            <w:noProof/>
            <w:webHidden/>
          </w:rPr>
          <w:fldChar w:fldCharType="separate"/>
        </w:r>
        <w:r w:rsidR="003660A6" w:rsidRPr="00896011">
          <w:rPr>
            <w:noProof/>
            <w:webHidden/>
          </w:rPr>
          <w:t>1</w:t>
        </w:r>
        <w:r w:rsidR="003660A6" w:rsidRPr="00896011">
          <w:rPr>
            <w:noProof/>
            <w:webHidden/>
          </w:rPr>
          <w:fldChar w:fldCharType="end"/>
        </w:r>
      </w:hyperlink>
    </w:p>
    <w:p w14:paraId="3E11B53D" w14:textId="77777777" w:rsidR="003660A6" w:rsidRPr="00896011" w:rsidRDefault="00133485">
      <w:pPr>
        <w:pStyle w:val="TOC2"/>
        <w:tabs>
          <w:tab w:val="right" w:leader="dot" w:pos="9350"/>
        </w:tabs>
        <w:rPr>
          <w:rFonts w:asciiTheme="minorHAnsi" w:hAnsiTheme="minorHAnsi" w:cstheme="minorBidi"/>
          <w:b w:val="0"/>
          <w:noProof/>
        </w:rPr>
      </w:pPr>
      <w:hyperlink w:anchor="_Toc426044618" w:history="1">
        <w:r w:rsidR="003660A6" w:rsidRPr="00896011">
          <w:rPr>
            <w:rStyle w:val="Hyperlink"/>
            <w:noProof/>
          </w:rPr>
          <w:t>1.2 Determining Baselines</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_Toc426044618 \h </w:instrText>
        </w:r>
        <w:r w:rsidR="003660A6" w:rsidRPr="00896011">
          <w:rPr>
            <w:noProof/>
            <w:webHidden/>
          </w:rPr>
        </w:r>
        <w:r w:rsidR="003660A6" w:rsidRPr="00896011">
          <w:rPr>
            <w:noProof/>
            <w:webHidden/>
          </w:rPr>
          <w:fldChar w:fldCharType="separate"/>
        </w:r>
        <w:r w:rsidR="003660A6" w:rsidRPr="00896011">
          <w:rPr>
            <w:noProof/>
            <w:webHidden/>
          </w:rPr>
          <w:t>2</w:t>
        </w:r>
        <w:r w:rsidR="003660A6" w:rsidRPr="00896011">
          <w:rPr>
            <w:noProof/>
            <w:webHidden/>
          </w:rPr>
          <w:fldChar w:fldCharType="end"/>
        </w:r>
      </w:hyperlink>
    </w:p>
    <w:p w14:paraId="4862B52F" w14:textId="77777777" w:rsidR="003660A6" w:rsidRPr="00896011" w:rsidRDefault="00133485">
      <w:pPr>
        <w:pStyle w:val="TOC2"/>
        <w:tabs>
          <w:tab w:val="right" w:leader="dot" w:pos="9350"/>
        </w:tabs>
        <w:rPr>
          <w:rFonts w:asciiTheme="minorHAnsi" w:hAnsiTheme="minorHAnsi" w:cstheme="minorBidi"/>
          <w:b w:val="0"/>
          <w:noProof/>
        </w:rPr>
      </w:pPr>
      <w:hyperlink w:anchor="_Toc426044619" w:history="1">
        <w:r w:rsidR="003660A6" w:rsidRPr="00896011">
          <w:rPr>
            <w:rStyle w:val="Hyperlink"/>
            <w:rFonts w:eastAsia="Courier New"/>
            <w:noProof/>
          </w:rPr>
          <w:t>1.3 Approach to EM&amp;V in the Emission Guidelines</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_Toc426044619 \h </w:instrText>
        </w:r>
        <w:r w:rsidR="003660A6" w:rsidRPr="00896011">
          <w:rPr>
            <w:noProof/>
            <w:webHidden/>
          </w:rPr>
        </w:r>
        <w:r w:rsidR="003660A6" w:rsidRPr="00896011">
          <w:rPr>
            <w:noProof/>
            <w:webHidden/>
          </w:rPr>
          <w:fldChar w:fldCharType="separate"/>
        </w:r>
        <w:r w:rsidR="003660A6" w:rsidRPr="00896011">
          <w:rPr>
            <w:noProof/>
            <w:webHidden/>
          </w:rPr>
          <w:t>3</w:t>
        </w:r>
        <w:r w:rsidR="003660A6" w:rsidRPr="00896011">
          <w:rPr>
            <w:noProof/>
            <w:webHidden/>
          </w:rPr>
          <w:fldChar w:fldCharType="end"/>
        </w:r>
      </w:hyperlink>
    </w:p>
    <w:p w14:paraId="0DCDA59E" w14:textId="77777777" w:rsidR="003660A6" w:rsidRPr="00896011" w:rsidRDefault="00133485">
      <w:pPr>
        <w:pStyle w:val="TOC2"/>
        <w:tabs>
          <w:tab w:val="right" w:leader="dot" w:pos="9350"/>
        </w:tabs>
        <w:rPr>
          <w:rFonts w:asciiTheme="minorHAnsi" w:hAnsiTheme="minorHAnsi" w:cstheme="minorBidi"/>
          <w:b w:val="0"/>
          <w:noProof/>
        </w:rPr>
      </w:pPr>
      <w:hyperlink w:anchor="_Toc426044620" w:history="1">
        <w:r w:rsidR="003660A6" w:rsidRPr="00896011">
          <w:rPr>
            <w:rStyle w:val="Hyperlink"/>
            <w:noProof/>
          </w:rPr>
          <w:t>1.4 Applicability and Scope of this Guidance Document</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_Toc426044620 \h </w:instrText>
        </w:r>
        <w:r w:rsidR="003660A6" w:rsidRPr="00896011">
          <w:rPr>
            <w:noProof/>
            <w:webHidden/>
          </w:rPr>
        </w:r>
        <w:r w:rsidR="003660A6" w:rsidRPr="00896011">
          <w:rPr>
            <w:noProof/>
            <w:webHidden/>
          </w:rPr>
          <w:fldChar w:fldCharType="separate"/>
        </w:r>
        <w:r w:rsidR="003660A6" w:rsidRPr="00896011">
          <w:rPr>
            <w:noProof/>
            <w:webHidden/>
          </w:rPr>
          <w:t>4</w:t>
        </w:r>
        <w:r w:rsidR="003660A6" w:rsidRPr="00896011">
          <w:rPr>
            <w:noProof/>
            <w:webHidden/>
          </w:rPr>
          <w:fldChar w:fldCharType="end"/>
        </w:r>
      </w:hyperlink>
    </w:p>
    <w:p w14:paraId="25575433" w14:textId="77777777" w:rsidR="003660A6" w:rsidRPr="00896011" w:rsidRDefault="00133485">
      <w:pPr>
        <w:pStyle w:val="TOC2"/>
        <w:tabs>
          <w:tab w:val="right" w:leader="dot" w:pos="9350"/>
        </w:tabs>
        <w:rPr>
          <w:rFonts w:asciiTheme="minorHAnsi" w:hAnsiTheme="minorHAnsi" w:cstheme="minorBidi"/>
          <w:b w:val="0"/>
          <w:noProof/>
        </w:rPr>
      </w:pPr>
      <w:hyperlink w:anchor="_Toc426044621" w:history="1">
        <w:r w:rsidR="003660A6" w:rsidRPr="00896011">
          <w:rPr>
            <w:rStyle w:val="Hyperlink"/>
            <w:noProof/>
          </w:rPr>
          <w:t>1.5 How to Use this Document</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_Toc426044621 \h </w:instrText>
        </w:r>
        <w:r w:rsidR="003660A6" w:rsidRPr="00896011">
          <w:rPr>
            <w:noProof/>
            <w:webHidden/>
          </w:rPr>
        </w:r>
        <w:r w:rsidR="003660A6" w:rsidRPr="00896011">
          <w:rPr>
            <w:noProof/>
            <w:webHidden/>
          </w:rPr>
          <w:fldChar w:fldCharType="separate"/>
        </w:r>
        <w:r w:rsidR="003660A6" w:rsidRPr="00896011">
          <w:rPr>
            <w:noProof/>
            <w:webHidden/>
          </w:rPr>
          <w:t>5</w:t>
        </w:r>
        <w:r w:rsidR="003660A6" w:rsidRPr="00896011">
          <w:rPr>
            <w:noProof/>
            <w:webHidden/>
          </w:rPr>
          <w:fldChar w:fldCharType="end"/>
        </w:r>
      </w:hyperlink>
    </w:p>
    <w:p w14:paraId="2245EC0A" w14:textId="77777777" w:rsidR="003660A6" w:rsidRPr="00896011" w:rsidRDefault="00133485">
      <w:pPr>
        <w:pStyle w:val="TOC2"/>
        <w:tabs>
          <w:tab w:val="right" w:leader="dot" w:pos="9350"/>
        </w:tabs>
        <w:rPr>
          <w:rFonts w:asciiTheme="minorHAnsi" w:hAnsiTheme="minorHAnsi" w:cstheme="minorBidi"/>
          <w:b w:val="0"/>
          <w:noProof/>
        </w:rPr>
      </w:pPr>
      <w:hyperlink w:anchor="_Toc426044622" w:history="1">
        <w:r w:rsidR="003660A6" w:rsidRPr="00896011">
          <w:rPr>
            <w:rStyle w:val="Hyperlink"/>
            <w:noProof/>
          </w:rPr>
          <w:t>1.6 Intended Audience</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_Toc426044622 \h </w:instrText>
        </w:r>
        <w:r w:rsidR="003660A6" w:rsidRPr="00896011">
          <w:rPr>
            <w:noProof/>
            <w:webHidden/>
          </w:rPr>
        </w:r>
        <w:r w:rsidR="003660A6" w:rsidRPr="00896011">
          <w:rPr>
            <w:noProof/>
            <w:webHidden/>
          </w:rPr>
          <w:fldChar w:fldCharType="separate"/>
        </w:r>
        <w:r w:rsidR="003660A6" w:rsidRPr="00896011">
          <w:rPr>
            <w:noProof/>
            <w:webHidden/>
          </w:rPr>
          <w:t>6</w:t>
        </w:r>
        <w:r w:rsidR="003660A6" w:rsidRPr="00896011">
          <w:rPr>
            <w:noProof/>
            <w:webHidden/>
          </w:rPr>
          <w:fldChar w:fldCharType="end"/>
        </w:r>
      </w:hyperlink>
    </w:p>
    <w:p w14:paraId="6F7D085B" w14:textId="77777777" w:rsidR="003660A6" w:rsidRPr="00896011" w:rsidRDefault="00133485">
      <w:pPr>
        <w:pStyle w:val="TOC2"/>
        <w:tabs>
          <w:tab w:val="right" w:leader="dot" w:pos="9350"/>
        </w:tabs>
        <w:rPr>
          <w:rFonts w:asciiTheme="minorHAnsi" w:hAnsiTheme="minorHAnsi" w:cstheme="minorBidi"/>
          <w:b w:val="0"/>
          <w:noProof/>
        </w:rPr>
      </w:pPr>
      <w:hyperlink w:anchor="_Toc426044623" w:history="1">
        <w:r w:rsidR="003660A6" w:rsidRPr="00896011">
          <w:rPr>
            <w:rStyle w:val="Hyperlink"/>
            <w:noProof/>
          </w:rPr>
          <w:t xml:space="preserve">1.7 Evolving EM&amp;V Practices and Guidance Updates </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_Toc426044623 \h </w:instrText>
        </w:r>
        <w:r w:rsidR="003660A6" w:rsidRPr="00896011">
          <w:rPr>
            <w:noProof/>
            <w:webHidden/>
          </w:rPr>
        </w:r>
        <w:r w:rsidR="003660A6" w:rsidRPr="00896011">
          <w:rPr>
            <w:noProof/>
            <w:webHidden/>
          </w:rPr>
          <w:fldChar w:fldCharType="separate"/>
        </w:r>
        <w:r w:rsidR="003660A6" w:rsidRPr="00896011">
          <w:rPr>
            <w:noProof/>
            <w:webHidden/>
          </w:rPr>
          <w:t>6</w:t>
        </w:r>
        <w:r w:rsidR="003660A6" w:rsidRPr="00896011">
          <w:rPr>
            <w:noProof/>
            <w:webHidden/>
          </w:rPr>
          <w:fldChar w:fldCharType="end"/>
        </w:r>
      </w:hyperlink>
    </w:p>
    <w:p w14:paraId="2AB68B43" w14:textId="77777777" w:rsidR="003660A6" w:rsidRPr="00896011" w:rsidRDefault="00133485">
      <w:pPr>
        <w:pStyle w:val="TOC1"/>
        <w:rPr>
          <w:rFonts w:asciiTheme="minorHAnsi" w:hAnsiTheme="minorHAnsi" w:cstheme="minorBidi"/>
          <w:b w:val="0"/>
          <w:noProof/>
          <w:szCs w:val="22"/>
        </w:rPr>
      </w:pPr>
      <w:hyperlink w:anchor="_Toc426044624" w:history="1">
        <w:r w:rsidR="003660A6" w:rsidRPr="00896011">
          <w:rPr>
            <w:rStyle w:val="Hyperlink"/>
            <w:noProof/>
          </w:rPr>
          <w:t>2. EM&amp;V Guidance Applicable to All Demand-Side EE</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_Toc426044624 \h </w:instrText>
        </w:r>
        <w:r w:rsidR="003660A6" w:rsidRPr="00896011">
          <w:rPr>
            <w:noProof/>
            <w:webHidden/>
          </w:rPr>
        </w:r>
        <w:r w:rsidR="003660A6" w:rsidRPr="00896011">
          <w:rPr>
            <w:noProof/>
            <w:webHidden/>
          </w:rPr>
          <w:fldChar w:fldCharType="separate"/>
        </w:r>
        <w:r w:rsidR="003660A6" w:rsidRPr="00896011">
          <w:rPr>
            <w:noProof/>
            <w:webHidden/>
          </w:rPr>
          <w:t>7</w:t>
        </w:r>
        <w:r w:rsidR="003660A6" w:rsidRPr="00896011">
          <w:rPr>
            <w:noProof/>
            <w:webHidden/>
          </w:rPr>
          <w:fldChar w:fldCharType="end"/>
        </w:r>
      </w:hyperlink>
    </w:p>
    <w:p w14:paraId="38095B16" w14:textId="77777777" w:rsidR="003660A6" w:rsidRPr="00896011" w:rsidRDefault="00133485">
      <w:pPr>
        <w:pStyle w:val="TOC2"/>
        <w:tabs>
          <w:tab w:val="right" w:leader="dot" w:pos="9350"/>
        </w:tabs>
        <w:rPr>
          <w:rFonts w:asciiTheme="minorHAnsi" w:hAnsiTheme="minorHAnsi" w:cstheme="minorBidi"/>
          <w:b w:val="0"/>
          <w:noProof/>
        </w:rPr>
      </w:pPr>
      <w:hyperlink w:anchor="_Toc426044625" w:history="1">
        <w:r w:rsidR="003660A6" w:rsidRPr="00896011">
          <w:rPr>
            <w:rStyle w:val="Hyperlink"/>
            <w:noProof/>
          </w:rPr>
          <w:t>2.1 EM&amp;V Methods</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_Toc426044625 \h </w:instrText>
        </w:r>
        <w:r w:rsidR="003660A6" w:rsidRPr="00896011">
          <w:rPr>
            <w:noProof/>
            <w:webHidden/>
          </w:rPr>
        </w:r>
        <w:r w:rsidR="003660A6" w:rsidRPr="00896011">
          <w:rPr>
            <w:noProof/>
            <w:webHidden/>
          </w:rPr>
          <w:fldChar w:fldCharType="separate"/>
        </w:r>
        <w:r w:rsidR="003660A6" w:rsidRPr="00896011">
          <w:rPr>
            <w:noProof/>
            <w:webHidden/>
          </w:rPr>
          <w:t>8</w:t>
        </w:r>
        <w:r w:rsidR="003660A6" w:rsidRPr="00896011">
          <w:rPr>
            <w:noProof/>
            <w:webHidden/>
          </w:rPr>
          <w:fldChar w:fldCharType="end"/>
        </w:r>
      </w:hyperlink>
    </w:p>
    <w:p w14:paraId="59F83B59" w14:textId="77777777" w:rsidR="003660A6" w:rsidRPr="00896011" w:rsidRDefault="00133485">
      <w:pPr>
        <w:pStyle w:val="TOC3"/>
        <w:rPr>
          <w:rFonts w:asciiTheme="minorHAnsi" w:eastAsiaTheme="minorEastAsia" w:hAnsiTheme="minorHAnsi" w:cstheme="minorBidi"/>
        </w:rPr>
      </w:pPr>
      <w:hyperlink w:anchor="_Toc426044626" w:history="1">
        <w:r w:rsidR="003660A6" w:rsidRPr="00896011">
          <w:rPr>
            <w:rStyle w:val="Hyperlink"/>
          </w:rPr>
          <w:t>2.1.1. Discussion</w:t>
        </w:r>
        <w:r w:rsidR="003660A6" w:rsidRPr="00896011">
          <w:rPr>
            <w:webHidden/>
          </w:rPr>
          <w:tab/>
        </w:r>
        <w:r w:rsidR="003660A6" w:rsidRPr="00896011">
          <w:rPr>
            <w:webHidden/>
          </w:rPr>
          <w:fldChar w:fldCharType="begin"/>
        </w:r>
        <w:r w:rsidR="003660A6" w:rsidRPr="00896011">
          <w:rPr>
            <w:webHidden/>
          </w:rPr>
          <w:instrText xml:space="preserve"> PAGEREF _Toc426044626 \h </w:instrText>
        </w:r>
        <w:r w:rsidR="003660A6" w:rsidRPr="00896011">
          <w:rPr>
            <w:webHidden/>
          </w:rPr>
        </w:r>
        <w:r w:rsidR="003660A6" w:rsidRPr="00896011">
          <w:rPr>
            <w:webHidden/>
          </w:rPr>
          <w:fldChar w:fldCharType="separate"/>
        </w:r>
        <w:r w:rsidR="003660A6" w:rsidRPr="00896011">
          <w:rPr>
            <w:webHidden/>
          </w:rPr>
          <w:t>8</w:t>
        </w:r>
        <w:r w:rsidR="003660A6" w:rsidRPr="00896011">
          <w:rPr>
            <w:webHidden/>
          </w:rPr>
          <w:fldChar w:fldCharType="end"/>
        </w:r>
      </w:hyperlink>
    </w:p>
    <w:p w14:paraId="2309B5CD" w14:textId="77777777" w:rsidR="003660A6" w:rsidRPr="00896011" w:rsidRDefault="00133485">
      <w:pPr>
        <w:pStyle w:val="TOC3"/>
        <w:rPr>
          <w:rFonts w:asciiTheme="minorHAnsi" w:eastAsiaTheme="minorEastAsia" w:hAnsiTheme="minorHAnsi" w:cstheme="minorBidi"/>
        </w:rPr>
      </w:pPr>
      <w:hyperlink w:anchor="_Toc426044627" w:history="1">
        <w:r w:rsidR="003660A6" w:rsidRPr="00896011">
          <w:rPr>
            <w:rStyle w:val="Hyperlink"/>
          </w:rPr>
          <w:t>2.1.2. Applicable Guidance</w:t>
        </w:r>
        <w:r w:rsidR="003660A6" w:rsidRPr="00896011">
          <w:rPr>
            <w:webHidden/>
          </w:rPr>
          <w:tab/>
        </w:r>
        <w:r w:rsidR="003660A6" w:rsidRPr="00896011">
          <w:rPr>
            <w:webHidden/>
          </w:rPr>
          <w:fldChar w:fldCharType="begin"/>
        </w:r>
        <w:r w:rsidR="003660A6" w:rsidRPr="00896011">
          <w:rPr>
            <w:webHidden/>
          </w:rPr>
          <w:instrText xml:space="preserve"> PAGEREF _Toc426044627 \h </w:instrText>
        </w:r>
        <w:r w:rsidR="003660A6" w:rsidRPr="00896011">
          <w:rPr>
            <w:webHidden/>
          </w:rPr>
        </w:r>
        <w:r w:rsidR="003660A6" w:rsidRPr="00896011">
          <w:rPr>
            <w:webHidden/>
          </w:rPr>
          <w:fldChar w:fldCharType="separate"/>
        </w:r>
        <w:r w:rsidR="003660A6" w:rsidRPr="00896011">
          <w:rPr>
            <w:webHidden/>
          </w:rPr>
          <w:t>9</w:t>
        </w:r>
        <w:r w:rsidR="003660A6" w:rsidRPr="00896011">
          <w:rPr>
            <w:webHidden/>
          </w:rPr>
          <w:fldChar w:fldCharType="end"/>
        </w:r>
      </w:hyperlink>
    </w:p>
    <w:p w14:paraId="4690459A" w14:textId="77777777" w:rsidR="003660A6" w:rsidRPr="00896011" w:rsidRDefault="00133485">
      <w:pPr>
        <w:pStyle w:val="TOC2"/>
        <w:tabs>
          <w:tab w:val="right" w:leader="dot" w:pos="9350"/>
        </w:tabs>
        <w:rPr>
          <w:rFonts w:asciiTheme="minorHAnsi" w:hAnsiTheme="minorHAnsi" w:cstheme="minorBidi"/>
          <w:b w:val="0"/>
          <w:noProof/>
        </w:rPr>
      </w:pPr>
      <w:hyperlink w:anchor="_Toc426044628" w:history="1">
        <w:r w:rsidR="003660A6" w:rsidRPr="00896011">
          <w:rPr>
            <w:rStyle w:val="Hyperlink"/>
            <w:noProof/>
          </w:rPr>
          <w:t>2.2 Electricity Savings Metrics and Baselines</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_Toc426044628 \h </w:instrText>
        </w:r>
        <w:r w:rsidR="003660A6" w:rsidRPr="00896011">
          <w:rPr>
            <w:noProof/>
            <w:webHidden/>
          </w:rPr>
        </w:r>
        <w:r w:rsidR="003660A6" w:rsidRPr="00896011">
          <w:rPr>
            <w:noProof/>
            <w:webHidden/>
          </w:rPr>
          <w:fldChar w:fldCharType="separate"/>
        </w:r>
        <w:r w:rsidR="003660A6" w:rsidRPr="00896011">
          <w:rPr>
            <w:noProof/>
            <w:webHidden/>
          </w:rPr>
          <w:t>11</w:t>
        </w:r>
        <w:r w:rsidR="003660A6" w:rsidRPr="00896011">
          <w:rPr>
            <w:noProof/>
            <w:webHidden/>
          </w:rPr>
          <w:fldChar w:fldCharType="end"/>
        </w:r>
      </w:hyperlink>
    </w:p>
    <w:p w14:paraId="27CAED67" w14:textId="77777777" w:rsidR="003660A6" w:rsidRPr="00896011" w:rsidRDefault="00133485">
      <w:pPr>
        <w:pStyle w:val="TOC3"/>
        <w:rPr>
          <w:rFonts w:asciiTheme="minorHAnsi" w:eastAsiaTheme="minorEastAsia" w:hAnsiTheme="minorHAnsi" w:cstheme="minorBidi"/>
        </w:rPr>
      </w:pPr>
      <w:hyperlink w:anchor="_Toc426044629" w:history="1">
        <w:r w:rsidR="003660A6" w:rsidRPr="00896011">
          <w:rPr>
            <w:rStyle w:val="Hyperlink"/>
          </w:rPr>
          <w:t>2.2.1. Discussion</w:t>
        </w:r>
        <w:r w:rsidR="003660A6" w:rsidRPr="00896011">
          <w:rPr>
            <w:webHidden/>
          </w:rPr>
          <w:tab/>
        </w:r>
        <w:r w:rsidR="003660A6" w:rsidRPr="00896011">
          <w:rPr>
            <w:webHidden/>
          </w:rPr>
          <w:fldChar w:fldCharType="begin"/>
        </w:r>
        <w:r w:rsidR="003660A6" w:rsidRPr="00896011">
          <w:rPr>
            <w:webHidden/>
          </w:rPr>
          <w:instrText xml:space="preserve"> PAGEREF _Toc426044629 \h </w:instrText>
        </w:r>
        <w:r w:rsidR="003660A6" w:rsidRPr="00896011">
          <w:rPr>
            <w:webHidden/>
          </w:rPr>
        </w:r>
        <w:r w:rsidR="003660A6" w:rsidRPr="00896011">
          <w:rPr>
            <w:webHidden/>
          </w:rPr>
          <w:fldChar w:fldCharType="separate"/>
        </w:r>
        <w:r w:rsidR="003660A6" w:rsidRPr="00896011">
          <w:rPr>
            <w:webHidden/>
          </w:rPr>
          <w:t>11</w:t>
        </w:r>
        <w:r w:rsidR="003660A6" w:rsidRPr="00896011">
          <w:rPr>
            <w:webHidden/>
          </w:rPr>
          <w:fldChar w:fldCharType="end"/>
        </w:r>
      </w:hyperlink>
    </w:p>
    <w:p w14:paraId="2F0254B2" w14:textId="77777777" w:rsidR="003660A6" w:rsidRPr="00896011" w:rsidRDefault="00133485">
      <w:pPr>
        <w:pStyle w:val="TOC3"/>
        <w:rPr>
          <w:rFonts w:asciiTheme="minorHAnsi" w:eastAsiaTheme="minorEastAsia" w:hAnsiTheme="minorHAnsi" w:cstheme="minorBidi"/>
        </w:rPr>
      </w:pPr>
      <w:hyperlink w:anchor="_Toc426044630" w:history="1">
        <w:r w:rsidR="003660A6" w:rsidRPr="00896011">
          <w:rPr>
            <w:rStyle w:val="Hyperlink"/>
          </w:rPr>
          <w:t>2.2.2. Applicable Guidance</w:t>
        </w:r>
        <w:r w:rsidR="003660A6" w:rsidRPr="00896011">
          <w:rPr>
            <w:webHidden/>
          </w:rPr>
          <w:tab/>
        </w:r>
        <w:r w:rsidR="003660A6" w:rsidRPr="00896011">
          <w:rPr>
            <w:webHidden/>
          </w:rPr>
          <w:fldChar w:fldCharType="begin"/>
        </w:r>
        <w:r w:rsidR="003660A6" w:rsidRPr="00896011">
          <w:rPr>
            <w:webHidden/>
          </w:rPr>
          <w:instrText xml:space="preserve"> PAGEREF _Toc426044630 \h </w:instrText>
        </w:r>
        <w:r w:rsidR="003660A6" w:rsidRPr="00896011">
          <w:rPr>
            <w:webHidden/>
          </w:rPr>
        </w:r>
        <w:r w:rsidR="003660A6" w:rsidRPr="00896011">
          <w:rPr>
            <w:webHidden/>
          </w:rPr>
          <w:fldChar w:fldCharType="separate"/>
        </w:r>
        <w:r w:rsidR="003660A6" w:rsidRPr="00896011">
          <w:rPr>
            <w:webHidden/>
          </w:rPr>
          <w:t>12</w:t>
        </w:r>
        <w:r w:rsidR="003660A6" w:rsidRPr="00896011">
          <w:rPr>
            <w:webHidden/>
          </w:rPr>
          <w:fldChar w:fldCharType="end"/>
        </w:r>
      </w:hyperlink>
    </w:p>
    <w:p w14:paraId="0778070F" w14:textId="77777777" w:rsidR="003660A6" w:rsidRPr="00896011" w:rsidRDefault="00133485">
      <w:pPr>
        <w:pStyle w:val="TOC2"/>
        <w:tabs>
          <w:tab w:val="right" w:leader="dot" w:pos="9350"/>
        </w:tabs>
        <w:rPr>
          <w:rFonts w:asciiTheme="minorHAnsi" w:hAnsiTheme="minorHAnsi" w:cstheme="minorBidi"/>
          <w:b w:val="0"/>
          <w:noProof/>
        </w:rPr>
      </w:pPr>
      <w:hyperlink w:anchor="_Toc426044631" w:history="1">
        <w:r w:rsidR="003660A6" w:rsidRPr="00896011">
          <w:rPr>
            <w:rStyle w:val="Hyperlink"/>
            <w:noProof/>
          </w:rPr>
          <w:t>2.3 Reporting Timeframes and Considerations</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_Toc426044631 \h </w:instrText>
        </w:r>
        <w:r w:rsidR="003660A6" w:rsidRPr="00896011">
          <w:rPr>
            <w:noProof/>
            <w:webHidden/>
          </w:rPr>
        </w:r>
        <w:r w:rsidR="003660A6" w:rsidRPr="00896011">
          <w:rPr>
            <w:noProof/>
            <w:webHidden/>
          </w:rPr>
          <w:fldChar w:fldCharType="separate"/>
        </w:r>
        <w:r w:rsidR="003660A6" w:rsidRPr="00896011">
          <w:rPr>
            <w:noProof/>
            <w:webHidden/>
          </w:rPr>
          <w:t>14</w:t>
        </w:r>
        <w:r w:rsidR="003660A6" w:rsidRPr="00896011">
          <w:rPr>
            <w:noProof/>
            <w:webHidden/>
          </w:rPr>
          <w:fldChar w:fldCharType="end"/>
        </w:r>
      </w:hyperlink>
    </w:p>
    <w:p w14:paraId="22B38E7C" w14:textId="77777777" w:rsidR="003660A6" w:rsidRPr="00896011" w:rsidRDefault="00133485">
      <w:pPr>
        <w:pStyle w:val="TOC3"/>
        <w:rPr>
          <w:rFonts w:asciiTheme="minorHAnsi" w:eastAsiaTheme="minorEastAsia" w:hAnsiTheme="minorHAnsi" w:cstheme="minorBidi"/>
        </w:rPr>
      </w:pPr>
      <w:hyperlink w:anchor="_Toc426044632" w:history="1">
        <w:r w:rsidR="003660A6" w:rsidRPr="00896011">
          <w:rPr>
            <w:rStyle w:val="Hyperlink"/>
          </w:rPr>
          <w:t>2.3.1. Discussion</w:t>
        </w:r>
        <w:r w:rsidR="003660A6" w:rsidRPr="00896011">
          <w:rPr>
            <w:webHidden/>
          </w:rPr>
          <w:tab/>
        </w:r>
        <w:r w:rsidR="003660A6" w:rsidRPr="00896011">
          <w:rPr>
            <w:webHidden/>
          </w:rPr>
          <w:fldChar w:fldCharType="begin"/>
        </w:r>
        <w:r w:rsidR="003660A6" w:rsidRPr="00896011">
          <w:rPr>
            <w:webHidden/>
          </w:rPr>
          <w:instrText xml:space="preserve"> PAGEREF _Toc426044632 \h </w:instrText>
        </w:r>
        <w:r w:rsidR="003660A6" w:rsidRPr="00896011">
          <w:rPr>
            <w:webHidden/>
          </w:rPr>
        </w:r>
        <w:r w:rsidR="003660A6" w:rsidRPr="00896011">
          <w:rPr>
            <w:webHidden/>
          </w:rPr>
          <w:fldChar w:fldCharType="separate"/>
        </w:r>
        <w:r w:rsidR="003660A6" w:rsidRPr="00896011">
          <w:rPr>
            <w:webHidden/>
          </w:rPr>
          <w:t>14</w:t>
        </w:r>
        <w:r w:rsidR="003660A6" w:rsidRPr="00896011">
          <w:rPr>
            <w:webHidden/>
          </w:rPr>
          <w:fldChar w:fldCharType="end"/>
        </w:r>
      </w:hyperlink>
    </w:p>
    <w:p w14:paraId="5D6E0230" w14:textId="77777777" w:rsidR="003660A6" w:rsidRPr="00896011" w:rsidRDefault="00133485">
      <w:pPr>
        <w:pStyle w:val="TOC3"/>
        <w:rPr>
          <w:rFonts w:asciiTheme="minorHAnsi" w:eastAsiaTheme="minorEastAsia" w:hAnsiTheme="minorHAnsi" w:cstheme="minorBidi"/>
        </w:rPr>
      </w:pPr>
      <w:hyperlink w:anchor="_Toc426044633" w:history="1">
        <w:r w:rsidR="003660A6" w:rsidRPr="00896011">
          <w:rPr>
            <w:rStyle w:val="Hyperlink"/>
          </w:rPr>
          <w:t>2.3.2. Applicable Guidance</w:t>
        </w:r>
        <w:r w:rsidR="003660A6" w:rsidRPr="00896011">
          <w:rPr>
            <w:webHidden/>
          </w:rPr>
          <w:tab/>
        </w:r>
        <w:r w:rsidR="003660A6" w:rsidRPr="00896011">
          <w:rPr>
            <w:webHidden/>
          </w:rPr>
          <w:fldChar w:fldCharType="begin"/>
        </w:r>
        <w:r w:rsidR="003660A6" w:rsidRPr="00896011">
          <w:rPr>
            <w:webHidden/>
          </w:rPr>
          <w:instrText xml:space="preserve"> PAGEREF _Toc426044633 \h </w:instrText>
        </w:r>
        <w:r w:rsidR="003660A6" w:rsidRPr="00896011">
          <w:rPr>
            <w:webHidden/>
          </w:rPr>
        </w:r>
        <w:r w:rsidR="003660A6" w:rsidRPr="00896011">
          <w:rPr>
            <w:webHidden/>
          </w:rPr>
          <w:fldChar w:fldCharType="separate"/>
        </w:r>
        <w:r w:rsidR="003660A6" w:rsidRPr="00896011">
          <w:rPr>
            <w:webHidden/>
          </w:rPr>
          <w:t>14</w:t>
        </w:r>
        <w:r w:rsidR="003660A6" w:rsidRPr="00896011">
          <w:rPr>
            <w:webHidden/>
          </w:rPr>
          <w:fldChar w:fldCharType="end"/>
        </w:r>
      </w:hyperlink>
    </w:p>
    <w:p w14:paraId="6056CECA" w14:textId="77777777" w:rsidR="003660A6" w:rsidRPr="00896011" w:rsidRDefault="00133485">
      <w:pPr>
        <w:pStyle w:val="TOC2"/>
        <w:tabs>
          <w:tab w:val="right" w:leader="dot" w:pos="9350"/>
        </w:tabs>
        <w:rPr>
          <w:rFonts w:asciiTheme="minorHAnsi" w:hAnsiTheme="minorHAnsi" w:cstheme="minorBidi"/>
          <w:b w:val="0"/>
          <w:noProof/>
        </w:rPr>
      </w:pPr>
      <w:hyperlink w:anchor="_Toc426044634" w:history="1">
        <w:r w:rsidR="003660A6" w:rsidRPr="00896011">
          <w:rPr>
            <w:rStyle w:val="Hyperlink"/>
            <w:noProof/>
          </w:rPr>
          <w:t>2.4</w:t>
        </w:r>
        <w:r w:rsidR="003660A6" w:rsidRPr="00896011">
          <w:rPr>
            <w:rStyle w:val="Hyperlink"/>
            <w:i/>
            <w:noProof/>
          </w:rPr>
          <w:t xml:space="preserve"> </w:t>
        </w:r>
        <w:r w:rsidR="003660A6" w:rsidRPr="00896011">
          <w:rPr>
            <w:rStyle w:val="Hyperlink"/>
            <w:noProof/>
          </w:rPr>
          <w:t>Deemed Savings</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_Toc426044634 \h </w:instrText>
        </w:r>
        <w:r w:rsidR="003660A6" w:rsidRPr="00896011">
          <w:rPr>
            <w:noProof/>
            <w:webHidden/>
          </w:rPr>
        </w:r>
        <w:r w:rsidR="003660A6" w:rsidRPr="00896011">
          <w:rPr>
            <w:noProof/>
            <w:webHidden/>
          </w:rPr>
          <w:fldChar w:fldCharType="separate"/>
        </w:r>
        <w:r w:rsidR="003660A6" w:rsidRPr="00896011">
          <w:rPr>
            <w:noProof/>
            <w:webHidden/>
          </w:rPr>
          <w:t>15</w:t>
        </w:r>
        <w:r w:rsidR="003660A6" w:rsidRPr="00896011">
          <w:rPr>
            <w:noProof/>
            <w:webHidden/>
          </w:rPr>
          <w:fldChar w:fldCharType="end"/>
        </w:r>
      </w:hyperlink>
    </w:p>
    <w:p w14:paraId="7D481609" w14:textId="77777777" w:rsidR="003660A6" w:rsidRPr="00896011" w:rsidRDefault="00133485">
      <w:pPr>
        <w:pStyle w:val="TOC3"/>
        <w:rPr>
          <w:rFonts w:asciiTheme="minorHAnsi" w:eastAsiaTheme="minorEastAsia" w:hAnsiTheme="minorHAnsi" w:cstheme="minorBidi"/>
        </w:rPr>
      </w:pPr>
      <w:hyperlink w:anchor="_Toc426044635" w:history="1">
        <w:r w:rsidR="003660A6" w:rsidRPr="00896011">
          <w:rPr>
            <w:rStyle w:val="Hyperlink"/>
          </w:rPr>
          <w:t>2.4.1. Discussion</w:t>
        </w:r>
        <w:r w:rsidR="003660A6" w:rsidRPr="00896011">
          <w:rPr>
            <w:webHidden/>
          </w:rPr>
          <w:tab/>
        </w:r>
        <w:r w:rsidR="003660A6" w:rsidRPr="00896011">
          <w:rPr>
            <w:webHidden/>
          </w:rPr>
          <w:fldChar w:fldCharType="begin"/>
        </w:r>
        <w:r w:rsidR="003660A6" w:rsidRPr="00896011">
          <w:rPr>
            <w:webHidden/>
          </w:rPr>
          <w:instrText xml:space="preserve"> PAGEREF _Toc426044635 \h </w:instrText>
        </w:r>
        <w:r w:rsidR="003660A6" w:rsidRPr="00896011">
          <w:rPr>
            <w:webHidden/>
          </w:rPr>
        </w:r>
        <w:r w:rsidR="003660A6" w:rsidRPr="00896011">
          <w:rPr>
            <w:webHidden/>
          </w:rPr>
          <w:fldChar w:fldCharType="separate"/>
        </w:r>
        <w:r w:rsidR="003660A6" w:rsidRPr="00896011">
          <w:rPr>
            <w:webHidden/>
          </w:rPr>
          <w:t>15</w:t>
        </w:r>
        <w:r w:rsidR="003660A6" w:rsidRPr="00896011">
          <w:rPr>
            <w:webHidden/>
          </w:rPr>
          <w:fldChar w:fldCharType="end"/>
        </w:r>
      </w:hyperlink>
    </w:p>
    <w:p w14:paraId="518264BC" w14:textId="77777777" w:rsidR="003660A6" w:rsidRPr="00896011" w:rsidRDefault="00133485">
      <w:pPr>
        <w:pStyle w:val="TOC3"/>
        <w:rPr>
          <w:rFonts w:asciiTheme="minorHAnsi" w:eastAsiaTheme="minorEastAsia" w:hAnsiTheme="minorHAnsi" w:cstheme="minorBidi"/>
        </w:rPr>
      </w:pPr>
      <w:hyperlink w:anchor="_Toc426044636" w:history="1">
        <w:r w:rsidR="003660A6" w:rsidRPr="00896011">
          <w:rPr>
            <w:rStyle w:val="Hyperlink"/>
          </w:rPr>
          <w:t>2.4.2. Applicable Guidance</w:t>
        </w:r>
        <w:r w:rsidR="003660A6" w:rsidRPr="00896011">
          <w:rPr>
            <w:webHidden/>
          </w:rPr>
          <w:tab/>
        </w:r>
        <w:r w:rsidR="003660A6" w:rsidRPr="00896011">
          <w:rPr>
            <w:webHidden/>
          </w:rPr>
          <w:fldChar w:fldCharType="begin"/>
        </w:r>
        <w:r w:rsidR="003660A6" w:rsidRPr="00896011">
          <w:rPr>
            <w:webHidden/>
          </w:rPr>
          <w:instrText xml:space="preserve"> PAGEREF _Toc426044636 \h </w:instrText>
        </w:r>
        <w:r w:rsidR="003660A6" w:rsidRPr="00896011">
          <w:rPr>
            <w:webHidden/>
          </w:rPr>
        </w:r>
        <w:r w:rsidR="003660A6" w:rsidRPr="00896011">
          <w:rPr>
            <w:webHidden/>
          </w:rPr>
          <w:fldChar w:fldCharType="separate"/>
        </w:r>
        <w:r w:rsidR="003660A6" w:rsidRPr="00896011">
          <w:rPr>
            <w:webHidden/>
          </w:rPr>
          <w:t>16</w:t>
        </w:r>
        <w:r w:rsidR="003660A6" w:rsidRPr="00896011">
          <w:rPr>
            <w:webHidden/>
          </w:rPr>
          <w:fldChar w:fldCharType="end"/>
        </w:r>
      </w:hyperlink>
    </w:p>
    <w:p w14:paraId="125F57BE" w14:textId="77777777" w:rsidR="003660A6" w:rsidRPr="00896011" w:rsidRDefault="00133485">
      <w:pPr>
        <w:pStyle w:val="TOC2"/>
        <w:tabs>
          <w:tab w:val="right" w:leader="dot" w:pos="9350"/>
        </w:tabs>
        <w:rPr>
          <w:rFonts w:asciiTheme="minorHAnsi" w:hAnsiTheme="minorHAnsi" w:cstheme="minorBidi"/>
          <w:b w:val="0"/>
          <w:noProof/>
        </w:rPr>
      </w:pPr>
      <w:hyperlink w:anchor="_Toc426044637" w:history="1">
        <w:r w:rsidR="003660A6" w:rsidRPr="00896011">
          <w:rPr>
            <w:rStyle w:val="Hyperlink"/>
            <w:noProof/>
          </w:rPr>
          <w:t>2.5 Independent Factors Affecting Energy Consumption and Savings</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_Toc426044637 \h </w:instrText>
        </w:r>
        <w:r w:rsidR="003660A6" w:rsidRPr="00896011">
          <w:rPr>
            <w:noProof/>
            <w:webHidden/>
          </w:rPr>
        </w:r>
        <w:r w:rsidR="003660A6" w:rsidRPr="00896011">
          <w:rPr>
            <w:noProof/>
            <w:webHidden/>
          </w:rPr>
          <w:fldChar w:fldCharType="separate"/>
        </w:r>
        <w:r w:rsidR="003660A6" w:rsidRPr="00896011">
          <w:rPr>
            <w:noProof/>
            <w:webHidden/>
          </w:rPr>
          <w:t>17</w:t>
        </w:r>
        <w:r w:rsidR="003660A6" w:rsidRPr="00896011">
          <w:rPr>
            <w:noProof/>
            <w:webHidden/>
          </w:rPr>
          <w:fldChar w:fldCharType="end"/>
        </w:r>
      </w:hyperlink>
    </w:p>
    <w:p w14:paraId="6EB5C686" w14:textId="77777777" w:rsidR="003660A6" w:rsidRPr="00896011" w:rsidRDefault="00133485">
      <w:pPr>
        <w:pStyle w:val="TOC3"/>
        <w:rPr>
          <w:rFonts w:asciiTheme="minorHAnsi" w:eastAsiaTheme="minorEastAsia" w:hAnsiTheme="minorHAnsi" w:cstheme="minorBidi"/>
        </w:rPr>
      </w:pPr>
      <w:hyperlink w:anchor="_Toc426044638" w:history="1">
        <w:r w:rsidR="003660A6" w:rsidRPr="00896011">
          <w:rPr>
            <w:rStyle w:val="Hyperlink"/>
          </w:rPr>
          <w:t>2.5.1. Discussion</w:t>
        </w:r>
        <w:r w:rsidR="003660A6" w:rsidRPr="00896011">
          <w:rPr>
            <w:webHidden/>
          </w:rPr>
          <w:tab/>
        </w:r>
        <w:r w:rsidR="003660A6" w:rsidRPr="00896011">
          <w:rPr>
            <w:webHidden/>
          </w:rPr>
          <w:fldChar w:fldCharType="begin"/>
        </w:r>
        <w:r w:rsidR="003660A6" w:rsidRPr="00896011">
          <w:rPr>
            <w:webHidden/>
          </w:rPr>
          <w:instrText xml:space="preserve"> PAGEREF _Toc426044638 \h </w:instrText>
        </w:r>
        <w:r w:rsidR="003660A6" w:rsidRPr="00896011">
          <w:rPr>
            <w:webHidden/>
          </w:rPr>
        </w:r>
        <w:r w:rsidR="003660A6" w:rsidRPr="00896011">
          <w:rPr>
            <w:webHidden/>
          </w:rPr>
          <w:fldChar w:fldCharType="separate"/>
        </w:r>
        <w:r w:rsidR="003660A6" w:rsidRPr="00896011">
          <w:rPr>
            <w:webHidden/>
          </w:rPr>
          <w:t>17</w:t>
        </w:r>
        <w:r w:rsidR="003660A6" w:rsidRPr="00896011">
          <w:rPr>
            <w:webHidden/>
          </w:rPr>
          <w:fldChar w:fldCharType="end"/>
        </w:r>
      </w:hyperlink>
    </w:p>
    <w:p w14:paraId="4E8DECDA" w14:textId="77777777" w:rsidR="003660A6" w:rsidRPr="00896011" w:rsidRDefault="00133485">
      <w:pPr>
        <w:pStyle w:val="TOC3"/>
        <w:rPr>
          <w:rFonts w:asciiTheme="minorHAnsi" w:eastAsiaTheme="minorEastAsia" w:hAnsiTheme="minorHAnsi" w:cstheme="minorBidi"/>
        </w:rPr>
      </w:pPr>
      <w:hyperlink w:anchor="_Toc426044639" w:history="1">
        <w:r w:rsidR="003660A6" w:rsidRPr="00896011">
          <w:rPr>
            <w:rStyle w:val="Hyperlink"/>
          </w:rPr>
          <w:t>2.5.2. Applicable Guidance</w:t>
        </w:r>
        <w:r w:rsidR="003660A6" w:rsidRPr="00896011">
          <w:rPr>
            <w:webHidden/>
          </w:rPr>
          <w:tab/>
        </w:r>
        <w:r w:rsidR="003660A6" w:rsidRPr="00896011">
          <w:rPr>
            <w:webHidden/>
          </w:rPr>
          <w:fldChar w:fldCharType="begin"/>
        </w:r>
        <w:r w:rsidR="003660A6" w:rsidRPr="00896011">
          <w:rPr>
            <w:webHidden/>
          </w:rPr>
          <w:instrText xml:space="preserve"> PAGEREF _Toc426044639 \h </w:instrText>
        </w:r>
        <w:r w:rsidR="003660A6" w:rsidRPr="00896011">
          <w:rPr>
            <w:webHidden/>
          </w:rPr>
        </w:r>
        <w:r w:rsidR="003660A6" w:rsidRPr="00896011">
          <w:rPr>
            <w:webHidden/>
          </w:rPr>
          <w:fldChar w:fldCharType="separate"/>
        </w:r>
        <w:r w:rsidR="003660A6" w:rsidRPr="00896011">
          <w:rPr>
            <w:webHidden/>
          </w:rPr>
          <w:t>17</w:t>
        </w:r>
        <w:r w:rsidR="003660A6" w:rsidRPr="00896011">
          <w:rPr>
            <w:webHidden/>
          </w:rPr>
          <w:fldChar w:fldCharType="end"/>
        </w:r>
      </w:hyperlink>
    </w:p>
    <w:p w14:paraId="35C44FDF" w14:textId="77777777" w:rsidR="003660A6" w:rsidRPr="00896011" w:rsidRDefault="00133485">
      <w:pPr>
        <w:pStyle w:val="TOC2"/>
        <w:tabs>
          <w:tab w:val="right" w:leader="dot" w:pos="9350"/>
        </w:tabs>
        <w:rPr>
          <w:rFonts w:asciiTheme="minorHAnsi" w:hAnsiTheme="minorHAnsi" w:cstheme="minorBidi"/>
          <w:b w:val="0"/>
          <w:noProof/>
        </w:rPr>
      </w:pPr>
      <w:hyperlink w:anchor="_Toc426044640" w:history="1">
        <w:r w:rsidR="003660A6" w:rsidRPr="00896011">
          <w:rPr>
            <w:rStyle w:val="Hyperlink"/>
            <w:noProof/>
          </w:rPr>
          <w:t>2.6 Accuracy and Reliability of Quantified Savings</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_Toc426044640 \h </w:instrText>
        </w:r>
        <w:r w:rsidR="003660A6" w:rsidRPr="00896011">
          <w:rPr>
            <w:noProof/>
            <w:webHidden/>
          </w:rPr>
        </w:r>
        <w:r w:rsidR="003660A6" w:rsidRPr="00896011">
          <w:rPr>
            <w:noProof/>
            <w:webHidden/>
          </w:rPr>
          <w:fldChar w:fldCharType="separate"/>
        </w:r>
        <w:r w:rsidR="003660A6" w:rsidRPr="00896011">
          <w:rPr>
            <w:noProof/>
            <w:webHidden/>
          </w:rPr>
          <w:t>18</w:t>
        </w:r>
        <w:r w:rsidR="003660A6" w:rsidRPr="00896011">
          <w:rPr>
            <w:noProof/>
            <w:webHidden/>
          </w:rPr>
          <w:fldChar w:fldCharType="end"/>
        </w:r>
      </w:hyperlink>
    </w:p>
    <w:p w14:paraId="4738EE56" w14:textId="77777777" w:rsidR="003660A6" w:rsidRPr="00896011" w:rsidRDefault="00133485">
      <w:pPr>
        <w:pStyle w:val="TOC3"/>
        <w:rPr>
          <w:rFonts w:asciiTheme="minorHAnsi" w:eastAsiaTheme="minorEastAsia" w:hAnsiTheme="minorHAnsi" w:cstheme="minorBidi"/>
        </w:rPr>
      </w:pPr>
      <w:hyperlink w:anchor="_Toc426044641" w:history="1">
        <w:r w:rsidR="003660A6" w:rsidRPr="00896011">
          <w:rPr>
            <w:rStyle w:val="Hyperlink"/>
          </w:rPr>
          <w:t>2.6.1. Discussion</w:t>
        </w:r>
        <w:r w:rsidR="003660A6" w:rsidRPr="00896011">
          <w:rPr>
            <w:webHidden/>
          </w:rPr>
          <w:tab/>
        </w:r>
        <w:r w:rsidR="003660A6" w:rsidRPr="00896011">
          <w:rPr>
            <w:webHidden/>
          </w:rPr>
          <w:fldChar w:fldCharType="begin"/>
        </w:r>
        <w:r w:rsidR="003660A6" w:rsidRPr="00896011">
          <w:rPr>
            <w:webHidden/>
          </w:rPr>
          <w:instrText xml:space="preserve"> PAGEREF _Toc426044641 \h </w:instrText>
        </w:r>
        <w:r w:rsidR="003660A6" w:rsidRPr="00896011">
          <w:rPr>
            <w:webHidden/>
          </w:rPr>
        </w:r>
        <w:r w:rsidR="003660A6" w:rsidRPr="00896011">
          <w:rPr>
            <w:webHidden/>
          </w:rPr>
          <w:fldChar w:fldCharType="separate"/>
        </w:r>
        <w:r w:rsidR="003660A6" w:rsidRPr="00896011">
          <w:rPr>
            <w:webHidden/>
          </w:rPr>
          <w:t>18</w:t>
        </w:r>
        <w:r w:rsidR="003660A6" w:rsidRPr="00896011">
          <w:rPr>
            <w:webHidden/>
          </w:rPr>
          <w:fldChar w:fldCharType="end"/>
        </w:r>
      </w:hyperlink>
    </w:p>
    <w:p w14:paraId="6E1C284A" w14:textId="77777777" w:rsidR="003660A6" w:rsidRPr="00896011" w:rsidRDefault="00133485">
      <w:pPr>
        <w:pStyle w:val="TOC3"/>
        <w:rPr>
          <w:rFonts w:asciiTheme="minorHAnsi" w:eastAsiaTheme="minorEastAsia" w:hAnsiTheme="minorHAnsi" w:cstheme="minorBidi"/>
        </w:rPr>
      </w:pPr>
      <w:hyperlink w:anchor="_Toc426044642" w:history="1">
        <w:r w:rsidR="003660A6" w:rsidRPr="00896011">
          <w:rPr>
            <w:rStyle w:val="Hyperlink"/>
          </w:rPr>
          <w:t>2.6.2. Applicable Guidance</w:t>
        </w:r>
        <w:r w:rsidR="003660A6" w:rsidRPr="00896011">
          <w:rPr>
            <w:webHidden/>
          </w:rPr>
          <w:tab/>
        </w:r>
        <w:r w:rsidR="003660A6" w:rsidRPr="00896011">
          <w:rPr>
            <w:webHidden/>
          </w:rPr>
          <w:fldChar w:fldCharType="begin"/>
        </w:r>
        <w:r w:rsidR="003660A6" w:rsidRPr="00896011">
          <w:rPr>
            <w:webHidden/>
          </w:rPr>
          <w:instrText xml:space="preserve"> PAGEREF _Toc426044642 \h </w:instrText>
        </w:r>
        <w:r w:rsidR="003660A6" w:rsidRPr="00896011">
          <w:rPr>
            <w:webHidden/>
          </w:rPr>
        </w:r>
        <w:r w:rsidR="003660A6" w:rsidRPr="00896011">
          <w:rPr>
            <w:webHidden/>
          </w:rPr>
          <w:fldChar w:fldCharType="separate"/>
        </w:r>
        <w:r w:rsidR="003660A6" w:rsidRPr="00896011">
          <w:rPr>
            <w:webHidden/>
          </w:rPr>
          <w:t>19</w:t>
        </w:r>
        <w:r w:rsidR="003660A6" w:rsidRPr="00896011">
          <w:rPr>
            <w:webHidden/>
          </w:rPr>
          <w:fldChar w:fldCharType="end"/>
        </w:r>
      </w:hyperlink>
    </w:p>
    <w:p w14:paraId="494290EC" w14:textId="77777777" w:rsidR="003660A6" w:rsidRPr="00896011" w:rsidRDefault="00133485">
      <w:pPr>
        <w:pStyle w:val="TOC2"/>
        <w:tabs>
          <w:tab w:val="right" w:leader="dot" w:pos="9350"/>
        </w:tabs>
        <w:rPr>
          <w:rFonts w:asciiTheme="minorHAnsi" w:hAnsiTheme="minorHAnsi" w:cstheme="minorBidi"/>
          <w:b w:val="0"/>
          <w:noProof/>
        </w:rPr>
      </w:pPr>
      <w:hyperlink w:anchor="_Toc426044643" w:history="1">
        <w:r w:rsidR="003660A6" w:rsidRPr="00896011">
          <w:rPr>
            <w:rStyle w:val="Hyperlink"/>
            <w:noProof/>
          </w:rPr>
          <w:t>2.7 Avoiding Double Counting</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_Toc426044643 \h </w:instrText>
        </w:r>
        <w:r w:rsidR="003660A6" w:rsidRPr="00896011">
          <w:rPr>
            <w:noProof/>
            <w:webHidden/>
          </w:rPr>
        </w:r>
        <w:r w:rsidR="003660A6" w:rsidRPr="00896011">
          <w:rPr>
            <w:noProof/>
            <w:webHidden/>
          </w:rPr>
          <w:fldChar w:fldCharType="separate"/>
        </w:r>
        <w:r w:rsidR="003660A6" w:rsidRPr="00896011">
          <w:rPr>
            <w:noProof/>
            <w:webHidden/>
          </w:rPr>
          <w:t>20</w:t>
        </w:r>
        <w:r w:rsidR="003660A6" w:rsidRPr="00896011">
          <w:rPr>
            <w:noProof/>
            <w:webHidden/>
          </w:rPr>
          <w:fldChar w:fldCharType="end"/>
        </w:r>
      </w:hyperlink>
    </w:p>
    <w:p w14:paraId="19BE9942" w14:textId="77777777" w:rsidR="003660A6" w:rsidRPr="00896011" w:rsidRDefault="00133485">
      <w:pPr>
        <w:pStyle w:val="TOC3"/>
        <w:rPr>
          <w:rFonts w:asciiTheme="minorHAnsi" w:eastAsiaTheme="minorEastAsia" w:hAnsiTheme="minorHAnsi" w:cstheme="minorBidi"/>
        </w:rPr>
      </w:pPr>
      <w:hyperlink w:anchor="_Toc426044644" w:history="1">
        <w:r w:rsidR="003660A6" w:rsidRPr="00896011">
          <w:rPr>
            <w:rStyle w:val="Hyperlink"/>
          </w:rPr>
          <w:t>2.7.1. Discussion</w:t>
        </w:r>
        <w:r w:rsidR="003660A6" w:rsidRPr="00896011">
          <w:rPr>
            <w:webHidden/>
          </w:rPr>
          <w:tab/>
        </w:r>
        <w:r w:rsidR="003660A6" w:rsidRPr="00896011">
          <w:rPr>
            <w:webHidden/>
          </w:rPr>
          <w:fldChar w:fldCharType="begin"/>
        </w:r>
        <w:r w:rsidR="003660A6" w:rsidRPr="00896011">
          <w:rPr>
            <w:webHidden/>
          </w:rPr>
          <w:instrText xml:space="preserve"> PAGEREF _Toc426044644 \h </w:instrText>
        </w:r>
        <w:r w:rsidR="003660A6" w:rsidRPr="00896011">
          <w:rPr>
            <w:webHidden/>
          </w:rPr>
        </w:r>
        <w:r w:rsidR="003660A6" w:rsidRPr="00896011">
          <w:rPr>
            <w:webHidden/>
          </w:rPr>
          <w:fldChar w:fldCharType="separate"/>
        </w:r>
        <w:r w:rsidR="003660A6" w:rsidRPr="00896011">
          <w:rPr>
            <w:webHidden/>
          </w:rPr>
          <w:t>20</w:t>
        </w:r>
        <w:r w:rsidR="003660A6" w:rsidRPr="00896011">
          <w:rPr>
            <w:webHidden/>
          </w:rPr>
          <w:fldChar w:fldCharType="end"/>
        </w:r>
      </w:hyperlink>
    </w:p>
    <w:p w14:paraId="400A458E" w14:textId="77777777" w:rsidR="003660A6" w:rsidRPr="00896011" w:rsidRDefault="00133485">
      <w:pPr>
        <w:pStyle w:val="TOC3"/>
        <w:rPr>
          <w:rFonts w:asciiTheme="minorHAnsi" w:eastAsiaTheme="minorEastAsia" w:hAnsiTheme="minorHAnsi" w:cstheme="minorBidi"/>
        </w:rPr>
      </w:pPr>
      <w:hyperlink w:anchor="_Toc426044645" w:history="1">
        <w:r w:rsidR="003660A6" w:rsidRPr="00896011">
          <w:rPr>
            <w:rStyle w:val="Hyperlink"/>
          </w:rPr>
          <w:t>2.7.2. Applicable Guidance</w:t>
        </w:r>
        <w:r w:rsidR="003660A6" w:rsidRPr="00896011">
          <w:rPr>
            <w:webHidden/>
          </w:rPr>
          <w:tab/>
        </w:r>
        <w:r w:rsidR="003660A6" w:rsidRPr="00896011">
          <w:rPr>
            <w:webHidden/>
          </w:rPr>
          <w:fldChar w:fldCharType="begin"/>
        </w:r>
        <w:r w:rsidR="003660A6" w:rsidRPr="00896011">
          <w:rPr>
            <w:webHidden/>
          </w:rPr>
          <w:instrText xml:space="preserve"> PAGEREF _Toc426044645 \h </w:instrText>
        </w:r>
        <w:r w:rsidR="003660A6" w:rsidRPr="00896011">
          <w:rPr>
            <w:webHidden/>
          </w:rPr>
        </w:r>
        <w:r w:rsidR="003660A6" w:rsidRPr="00896011">
          <w:rPr>
            <w:webHidden/>
          </w:rPr>
          <w:fldChar w:fldCharType="separate"/>
        </w:r>
        <w:r w:rsidR="003660A6" w:rsidRPr="00896011">
          <w:rPr>
            <w:webHidden/>
          </w:rPr>
          <w:t>21</w:t>
        </w:r>
        <w:r w:rsidR="003660A6" w:rsidRPr="00896011">
          <w:rPr>
            <w:webHidden/>
          </w:rPr>
          <w:fldChar w:fldCharType="end"/>
        </w:r>
      </w:hyperlink>
    </w:p>
    <w:p w14:paraId="651B247D" w14:textId="77777777" w:rsidR="003660A6" w:rsidRPr="00896011" w:rsidRDefault="00133485">
      <w:pPr>
        <w:pStyle w:val="TOC2"/>
        <w:tabs>
          <w:tab w:val="right" w:leader="dot" w:pos="9350"/>
        </w:tabs>
        <w:rPr>
          <w:rFonts w:asciiTheme="minorHAnsi" w:hAnsiTheme="minorHAnsi" w:cstheme="minorBidi"/>
          <w:b w:val="0"/>
          <w:noProof/>
        </w:rPr>
      </w:pPr>
      <w:hyperlink w:anchor="_Toc426044646" w:history="1">
        <w:r w:rsidR="003660A6" w:rsidRPr="00896011">
          <w:rPr>
            <w:rStyle w:val="Hyperlink"/>
            <w:noProof/>
          </w:rPr>
          <w:t>2.8 Effective Useful Life and Persistence of Savings</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_Toc426044646 \h </w:instrText>
        </w:r>
        <w:r w:rsidR="003660A6" w:rsidRPr="00896011">
          <w:rPr>
            <w:noProof/>
            <w:webHidden/>
          </w:rPr>
        </w:r>
        <w:r w:rsidR="003660A6" w:rsidRPr="00896011">
          <w:rPr>
            <w:noProof/>
            <w:webHidden/>
          </w:rPr>
          <w:fldChar w:fldCharType="separate"/>
        </w:r>
        <w:r w:rsidR="003660A6" w:rsidRPr="00896011">
          <w:rPr>
            <w:noProof/>
            <w:webHidden/>
          </w:rPr>
          <w:t>22</w:t>
        </w:r>
        <w:r w:rsidR="003660A6" w:rsidRPr="00896011">
          <w:rPr>
            <w:noProof/>
            <w:webHidden/>
          </w:rPr>
          <w:fldChar w:fldCharType="end"/>
        </w:r>
      </w:hyperlink>
    </w:p>
    <w:p w14:paraId="5D53A953" w14:textId="77777777" w:rsidR="003660A6" w:rsidRPr="00896011" w:rsidRDefault="00133485">
      <w:pPr>
        <w:pStyle w:val="TOC3"/>
        <w:rPr>
          <w:rFonts w:asciiTheme="minorHAnsi" w:eastAsiaTheme="minorEastAsia" w:hAnsiTheme="minorHAnsi" w:cstheme="minorBidi"/>
        </w:rPr>
      </w:pPr>
      <w:hyperlink w:anchor="_Toc426044647" w:history="1">
        <w:r w:rsidR="003660A6" w:rsidRPr="00896011">
          <w:rPr>
            <w:rStyle w:val="Hyperlink"/>
          </w:rPr>
          <w:t>2.8.1. Discussion</w:t>
        </w:r>
        <w:r w:rsidR="003660A6" w:rsidRPr="00896011">
          <w:rPr>
            <w:webHidden/>
          </w:rPr>
          <w:tab/>
        </w:r>
        <w:r w:rsidR="003660A6" w:rsidRPr="00896011">
          <w:rPr>
            <w:webHidden/>
          </w:rPr>
          <w:fldChar w:fldCharType="begin"/>
        </w:r>
        <w:r w:rsidR="003660A6" w:rsidRPr="00896011">
          <w:rPr>
            <w:webHidden/>
          </w:rPr>
          <w:instrText xml:space="preserve"> PAGEREF _Toc426044647 \h </w:instrText>
        </w:r>
        <w:r w:rsidR="003660A6" w:rsidRPr="00896011">
          <w:rPr>
            <w:webHidden/>
          </w:rPr>
        </w:r>
        <w:r w:rsidR="003660A6" w:rsidRPr="00896011">
          <w:rPr>
            <w:webHidden/>
          </w:rPr>
          <w:fldChar w:fldCharType="separate"/>
        </w:r>
        <w:r w:rsidR="003660A6" w:rsidRPr="00896011">
          <w:rPr>
            <w:webHidden/>
          </w:rPr>
          <w:t>22</w:t>
        </w:r>
        <w:r w:rsidR="003660A6" w:rsidRPr="00896011">
          <w:rPr>
            <w:webHidden/>
          </w:rPr>
          <w:fldChar w:fldCharType="end"/>
        </w:r>
      </w:hyperlink>
    </w:p>
    <w:p w14:paraId="6D93ADCA" w14:textId="77777777" w:rsidR="003660A6" w:rsidRPr="00896011" w:rsidRDefault="00133485">
      <w:pPr>
        <w:pStyle w:val="TOC3"/>
        <w:rPr>
          <w:rFonts w:asciiTheme="minorHAnsi" w:eastAsiaTheme="minorEastAsia" w:hAnsiTheme="minorHAnsi" w:cstheme="minorBidi"/>
        </w:rPr>
      </w:pPr>
      <w:hyperlink w:anchor="_Toc426044648" w:history="1">
        <w:r w:rsidR="003660A6" w:rsidRPr="00896011">
          <w:rPr>
            <w:rStyle w:val="Hyperlink"/>
          </w:rPr>
          <w:t>2.8.2. Applicable Guidance</w:t>
        </w:r>
        <w:r w:rsidR="003660A6" w:rsidRPr="00896011">
          <w:rPr>
            <w:webHidden/>
          </w:rPr>
          <w:tab/>
        </w:r>
        <w:r w:rsidR="003660A6" w:rsidRPr="00896011">
          <w:rPr>
            <w:webHidden/>
          </w:rPr>
          <w:fldChar w:fldCharType="begin"/>
        </w:r>
        <w:r w:rsidR="003660A6" w:rsidRPr="00896011">
          <w:rPr>
            <w:webHidden/>
          </w:rPr>
          <w:instrText xml:space="preserve"> PAGEREF _Toc426044648 \h </w:instrText>
        </w:r>
        <w:r w:rsidR="003660A6" w:rsidRPr="00896011">
          <w:rPr>
            <w:webHidden/>
          </w:rPr>
        </w:r>
        <w:r w:rsidR="003660A6" w:rsidRPr="00896011">
          <w:rPr>
            <w:webHidden/>
          </w:rPr>
          <w:fldChar w:fldCharType="separate"/>
        </w:r>
        <w:r w:rsidR="003660A6" w:rsidRPr="00896011">
          <w:rPr>
            <w:webHidden/>
          </w:rPr>
          <w:t>22</w:t>
        </w:r>
        <w:r w:rsidR="003660A6" w:rsidRPr="00896011">
          <w:rPr>
            <w:webHidden/>
          </w:rPr>
          <w:fldChar w:fldCharType="end"/>
        </w:r>
      </w:hyperlink>
    </w:p>
    <w:p w14:paraId="557F1A03" w14:textId="77777777" w:rsidR="003660A6" w:rsidRPr="00896011" w:rsidRDefault="00133485">
      <w:pPr>
        <w:pStyle w:val="TOC2"/>
        <w:tabs>
          <w:tab w:val="right" w:leader="dot" w:pos="9350"/>
        </w:tabs>
        <w:rPr>
          <w:rFonts w:asciiTheme="minorHAnsi" w:hAnsiTheme="minorHAnsi" w:cstheme="minorBidi"/>
          <w:b w:val="0"/>
          <w:noProof/>
        </w:rPr>
      </w:pPr>
      <w:hyperlink w:anchor="_Toc426044649" w:history="1">
        <w:r w:rsidR="003660A6" w:rsidRPr="00896011">
          <w:rPr>
            <w:rStyle w:val="Hyperlink"/>
            <w:noProof/>
          </w:rPr>
          <w:t>2.9 Savings Quantification and Verification Cycles</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_Toc426044649 \h </w:instrText>
        </w:r>
        <w:r w:rsidR="003660A6" w:rsidRPr="00896011">
          <w:rPr>
            <w:noProof/>
            <w:webHidden/>
          </w:rPr>
        </w:r>
        <w:r w:rsidR="003660A6" w:rsidRPr="00896011">
          <w:rPr>
            <w:noProof/>
            <w:webHidden/>
          </w:rPr>
          <w:fldChar w:fldCharType="separate"/>
        </w:r>
        <w:r w:rsidR="003660A6" w:rsidRPr="00896011">
          <w:rPr>
            <w:noProof/>
            <w:webHidden/>
          </w:rPr>
          <w:t>24</w:t>
        </w:r>
        <w:r w:rsidR="003660A6" w:rsidRPr="00896011">
          <w:rPr>
            <w:noProof/>
            <w:webHidden/>
          </w:rPr>
          <w:fldChar w:fldCharType="end"/>
        </w:r>
      </w:hyperlink>
    </w:p>
    <w:p w14:paraId="0815DA35" w14:textId="77777777" w:rsidR="003660A6" w:rsidRPr="00896011" w:rsidRDefault="00133485">
      <w:pPr>
        <w:pStyle w:val="TOC3"/>
        <w:rPr>
          <w:rFonts w:asciiTheme="minorHAnsi" w:eastAsiaTheme="minorEastAsia" w:hAnsiTheme="minorHAnsi" w:cstheme="minorBidi"/>
        </w:rPr>
      </w:pPr>
      <w:hyperlink w:anchor="_Toc426044650" w:history="1">
        <w:r w:rsidR="003660A6" w:rsidRPr="00896011">
          <w:rPr>
            <w:rStyle w:val="Hyperlink"/>
          </w:rPr>
          <w:t>2.9.1. Discussion</w:t>
        </w:r>
        <w:r w:rsidR="003660A6" w:rsidRPr="00896011">
          <w:rPr>
            <w:webHidden/>
          </w:rPr>
          <w:tab/>
        </w:r>
        <w:r w:rsidR="003660A6" w:rsidRPr="00896011">
          <w:rPr>
            <w:webHidden/>
          </w:rPr>
          <w:fldChar w:fldCharType="begin"/>
        </w:r>
        <w:r w:rsidR="003660A6" w:rsidRPr="00896011">
          <w:rPr>
            <w:webHidden/>
          </w:rPr>
          <w:instrText xml:space="preserve"> PAGEREF _Toc426044650 \h </w:instrText>
        </w:r>
        <w:r w:rsidR="003660A6" w:rsidRPr="00896011">
          <w:rPr>
            <w:webHidden/>
          </w:rPr>
        </w:r>
        <w:r w:rsidR="003660A6" w:rsidRPr="00896011">
          <w:rPr>
            <w:webHidden/>
          </w:rPr>
          <w:fldChar w:fldCharType="separate"/>
        </w:r>
        <w:r w:rsidR="003660A6" w:rsidRPr="00896011">
          <w:rPr>
            <w:webHidden/>
          </w:rPr>
          <w:t>24</w:t>
        </w:r>
        <w:r w:rsidR="003660A6" w:rsidRPr="00896011">
          <w:rPr>
            <w:webHidden/>
          </w:rPr>
          <w:fldChar w:fldCharType="end"/>
        </w:r>
      </w:hyperlink>
    </w:p>
    <w:p w14:paraId="4960D30F" w14:textId="77777777" w:rsidR="003660A6" w:rsidRPr="00896011" w:rsidRDefault="00133485">
      <w:pPr>
        <w:pStyle w:val="TOC3"/>
        <w:rPr>
          <w:rFonts w:asciiTheme="minorHAnsi" w:eastAsiaTheme="minorEastAsia" w:hAnsiTheme="minorHAnsi" w:cstheme="minorBidi"/>
        </w:rPr>
      </w:pPr>
      <w:hyperlink w:anchor="_Toc426044651" w:history="1">
        <w:r w:rsidR="003660A6" w:rsidRPr="00896011">
          <w:rPr>
            <w:rStyle w:val="Hyperlink"/>
          </w:rPr>
          <w:t>2.9.2. Applicable Guidance</w:t>
        </w:r>
        <w:r w:rsidR="003660A6" w:rsidRPr="00896011">
          <w:rPr>
            <w:webHidden/>
          </w:rPr>
          <w:tab/>
        </w:r>
        <w:r w:rsidR="003660A6" w:rsidRPr="00896011">
          <w:rPr>
            <w:webHidden/>
          </w:rPr>
          <w:fldChar w:fldCharType="begin"/>
        </w:r>
        <w:r w:rsidR="003660A6" w:rsidRPr="00896011">
          <w:rPr>
            <w:webHidden/>
          </w:rPr>
          <w:instrText xml:space="preserve"> PAGEREF _Toc426044651 \h </w:instrText>
        </w:r>
        <w:r w:rsidR="003660A6" w:rsidRPr="00896011">
          <w:rPr>
            <w:webHidden/>
          </w:rPr>
        </w:r>
        <w:r w:rsidR="003660A6" w:rsidRPr="00896011">
          <w:rPr>
            <w:webHidden/>
          </w:rPr>
          <w:fldChar w:fldCharType="separate"/>
        </w:r>
        <w:r w:rsidR="003660A6" w:rsidRPr="00896011">
          <w:rPr>
            <w:webHidden/>
          </w:rPr>
          <w:t>24</w:t>
        </w:r>
        <w:r w:rsidR="003660A6" w:rsidRPr="00896011">
          <w:rPr>
            <w:webHidden/>
          </w:rPr>
          <w:fldChar w:fldCharType="end"/>
        </w:r>
      </w:hyperlink>
    </w:p>
    <w:p w14:paraId="228DBBF2" w14:textId="77777777" w:rsidR="003660A6" w:rsidRPr="00896011" w:rsidRDefault="00133485">
      <w:pPr>
        <w:pStyle w:val="TOC2"/>
        <w:tabs>
          <w:tab w:val="right" w:leader="dot" w:pos="9350"/>
        </w:tabs>
        <w:rPr>
          <w:rFonts w:asciiTheme="minorHAnsi" w:hAnsiTheme="minorHAnsi" w:cstheme="minorBidi"/>
          <w:b w:val="0"/>
          <w:noProof/>
        </w:rPr>
      </w:pPr>
      <w:hyperlink w:anchor="_Toc426044652" w:history="1">
        <w:r w:rsidR="003660A6" w:rsidRPr="00896011">
          <w:rPr>
            <w:rStyle w:val="Hyperlink"/>
            <w:noProof/>
          </w:rPr>
          <w:t>2.10 Transmission and Distribution (T&amp;D) Savings Adders</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_Toc426044652 \h </w:instrText>
        </w:r>
        <w:r w:rsidR="003660A6" w:rsidRPr="00896011">
          <w:rPr>
            <w:noProof/>
            <w:webHidden/>
          </w:rPr>
        </w:r>
        <w:r w:rsidR="003660A6" w:rsidRPr="00896011">
          <w:rPr>
            <w:noProof/>
            <w:webHidden/>
          </w:rPr>
          <w:fldChar w:fldCharType="separate"/>
        </w:r>
        <w:r w:rsidR="003660A6" w:rsidRPr="00896011">
          <w:rPr>
            <w:noProof/>
            <w:webHidden/>
          </w:rPr>
          <w:t>25</w:t>
        </w:r>
        <w:r w:rsidR="003660A6" w:rsidRPr="00896011">
          <w:rPr>
            <w:noProof/>
            <w:webHidden/>
          </w:rPr>
          <w:fldChar w:fldCharType="end"/>
        </w:r>
      </w:hyperlink>
    </w:p>
    <w:p w14:paraId="326FF00F" w14:textId="77777777" w:rsidR="003660A6" w:rsidRPr="00896011" w:rsidRDefault="00133485">
      <w:pPr>
        <w:pStyle w:val="TOC3"/>
        <w:rPr>
          <w:rFonts w:asciiTheme="minorHAnsi" w:eastAsiaTheme="minorEastAsia" w:hAnsiTheme="minorHAnsi" w:cstheme="minorBidi"/>
        </w:rPr>
      </w:pPr>
      <w:hyperlink w:anchor="_Toc426044653" w:history="1">
        <w:r w:rsidR="003660A6" w:rsidRPr="00896011">
          <w:rPr>
            <w:rStyle w:val="Hyperlink"/>
          </w:rPr>
          <w:t>2.10.1. Discussion</w:t>
        </w:r>
        <w:r w:rsidR="003660A6" w:rsidRPr="00896011">
          <w:rPr>
            <w:webHidden/>
          </w:rPr>
          <w:tab/>
        </w:r>
        <w:r w:rsidR="003660A6" w:rsidRPr="00896011">
          <w:rPr>
            <w:webHidden/>
          </w:rPr>
          <w:fldChar w:fldCharType="begin"/>
        </w:r>
        <w:r w:rsidR="003660A6" w:rsidRPr="00896011">
          <w:rPr>
            <w:webHidden/>
          </w:rPr>
          <w:instrText xml:space="preserve"> PAGEREF _Toc426044653 \h </w:instrText>
        </w:r>
        <w:r w:rsidR="003660A6" w:rsidRPr="00896011">
          <w:rPr>
            <w:webHidden/>
          </w:rPr>
        </w:r>
        <w:r w:rsidR="003660A6" w:rsidRPr="00896011">
          <w:rPr>
            <w:webHidden/>
          </w:rPr>
          <w:fldChar w:fldCharType="separate"/>
        </w:r>
        <w:r w:rsidR="003660A6" w:rsidRPr="00896011">
          <w:rPr>
            <w:webHidden/>
          </w:rPr>
          <w:t>25</w:t>
        </w:r>
        <w:r w:rsidR="003660A6" w:rsidRPr="00896011">
          <w:rPr>
            <w:webHidden/>
          </w:rPr>
          <w:fldChar w:fldCharType="end"/>
        </w:r>
      </w:hyperlink>
    </w:p>
    <w:p w14:paraId="0B592B52" w14:textId="77777777" w:rsidR="003660A6" w:rsidRPr="00896011" w:rsidRDefault="00133485">
      <w:pPr>
        <w:pStyle w:val="TOC3"/>
        <w:rPr>
          <w:rFonts w:asciiTheme="minorHAnsi" w:eastAsiaTheme="minorEastAsia" w:hAnsiTheme="minorHAnsi" w:cstheme="minorBidi"/>
        </w:rPr>
      </w:pPr>
      <w:hyperlink w:anchor="_Toc426044654" w:history="1">
        <w:r w:rsidR="003660A6" w:rsidRPr="00896011">
          <w:rPr>
            <w:rStyle w:val="Hyperlink"/>
          </w:rPr>
          <w:t>2.10.2. Applicable Guidance</w:t>
        </w:r>
        <w:r w:rsidR="003660A6" w:rsidRPr="00896011">
          <w:rPr>
            <w:webHidden/>
          </w:rPr>
          <w:tab/>
        </w:r>
        <w:r w:rsidR="003660A6" w:rsidRPr="00896011">
          <w:rPr>
            <w:webHidden/>
          </w:rPr>
          <w:fldChar w:fldCharType="begin"/>
        </w:r>
        <w:r w:rsidR="003660A6" w:rsidRPr="00896011">
          <w:rPr>
            <w:webHidden/>
          </w:rPr>
          <w:instrText xml:space="preserve"> PAGEREF _Toc426044654 \h </w:instrText>
        </w:r>
        <w:r w:rsidR="003660A6" w:rsidRPr="00896011">
          <w:rPr>
            <w:webHidden/>
          </w:rPr>
        </w:r>
        <w:r w:rsidR="003660A6" w:rsidRPr="00896011">
          <w:rPr>
            <w:webHidden/>
          </w:rPr>
          <w:fldChar w:fldCharType="separate"/>
        </w:r>
        <w:r w:rsidR="003660A6" w:rsidRPr="00896011">
          <w:rPr>
            <w:webHidden/>
          </w:rPr>
          <w:t>25</w:t>
        </w:r>
        <w:r w:rsidR="003660A6" w:rsidRPr="00896011">
          <w:rPr>
            <w:webHidden/>
          </w:rPr>
          <w:fldChar w:fldCharType="end"/>
        </w:r>
      </w:hyperlink>
    </w:p>
    <w:p w14:paraId="76DFA148" w14:textId="77777777" w:rsidR="003660A6" w:rsidRPr="00896011" w:rsidRDefault="00133485">
      <w:pPr>
        <w:pStyle w:val="TOC2"/>
        <w:tabs>
          <w:tab w:val="right" w:leader="dot" w:pos="9350"/>
        </w:tabs>
        <w:rPr>
          <w:rFonts w:asciiTheme="minorHAnsi" w:hAnsiTheme="minorHAnsi" w:cstheme="minorBidi"/>
          <w:b w:val="0"/>
          <w:noProof/>
        </w:rPr>
      </w:pPr>
      <w:hyperlink w:anchor="_Toc426044655" w:history="1">
        <w:r w:rsidR="003660A6" w:rsidRPr="00896011">
          <w:rPr>
            <w:rStyle w:val="Hyperlink"/>
            <w:noProof/>
          </w:rPr>
          <w:t>2.11 Interactive Effects</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_Toc426044655 \h </w:instrText>
        </w:r>
        <w:r w:rsidR="003660A6" w:rsidRPr="00896011">
          <w:rPr>
            <w:noProof/>
            <w:webHidden/>
          </w:rPr>
        </w:r>
        <w:r w:rsidR="003660A6" w:rsidRPr="00896011">
          <w:rPr>
            <w:noProof/>
            <w:webHidden/>
          </w:rPr>
          <w:fldChar w:fldCharType="separate"/>
        </w:r>
        <w:r w:rsidR="003660A6" w:rsidRPr="00896011">
          <w:rPr>
            <w:noProof/>
            <w:webHidden/>
          </w:rPr>
          <w:t>26</w:t>
        </w:r>
        <w:r w:rsidR="003660A6" w:rsidRPr="00896011">
          <w:rPr>
            <w:noProof/>
            <w:webHidden/>
          </w:rPr>
          <w:fldChar w:fldCharType="end"/>
        </w:r>
      </w:hyperlink>
    </w:p>
    <w:p w14:paraId="7C3B45B5" w14:textId="77777777" w:rsidR="003660A6" w:rsidRPr="00896011" w:rsidRDefault="00133485">
      <w:pPr>
        <w:pStyle w:val="TOC3"/>
        <w:rPr>
          <w:rFonts w:asciiTheme="minorHAnsi" w:eastAsiaTheme="minorEastAsia" w:hAnsiTheme="minorHAnsi" w:cstheme="minorBidi"/>
        </w:rPr>
      </w:pPr>
      <w:hyperlink w:anchor="_Toc426044656" w:history="1">
        <w:r w:rsidR="003660A6" w:rsidRPr="00896011">
          <w:rPr>
            <w:rStyle w:val="Hyperlink"/>
          </w:rPr>
          <w:t>2.11.1. Discussion</w:t>
        </w:r>
        <w:r w:rsidR="003660A6" w:rsidRPr="00896011">
          <w:rPr>
            <w:webHidden/>
          </w:rPr>
          <w:tab/>
        </w:r>
        <w:r w:rsidR="003660A6" w:rsidRPr="00896011">
          <w:rPr>
            <w:webHidden/>
          </w:rPr>
          <w:fldChar w:fldCharType="begin"/>
        </w:r>
        <w:r w:rsidR="003660A6" w:rsidRPr="00896011">
          <w:rPr>
            <w:webHidden/>
          </w:rPr>
          <w:instrText xml:space="preserve"> PAGEREF _Toc426044656 \h </w:instrText>
        </w:r>
        <w:r w:rsidR="003660A6" w:rsidRPr="00896011">
          <w:rPr>
            <w:webHidden/>
          </w:rPr>
        </w:r>
        <w:r w:rsidR="003660A6" w:rsidRPr="00896011">
          <w:rPr>
            <w:webHidden/>
          </w:rPr>
          <w:fldChar w:fldCharType="separate"/>
        </w:r>
        <w:r w:rsidR="003660A6" w:rsidRPr="00896011">
          <w:rPr>
            <w:webHidden/>
          </w:rPr>
          <w:t>26</w:t>
        </w:r>
        <w:r w:rsidR="003660A6" w:rsidRPr="00896011">
          <w:rPr>
            <w:webHidden/>
          </w:rPr>
          <w:fldChar w:fldCharType="end"/>
        </w:r>
      </w:hyperlink>
    </w:p>
    <w:p w14:paraId="08EE2904" w14:textId="77777777" w:rsidR="003660A6" w:rsidRPr="00896011" w:rsidRDefault="00133485">
      <w:pPr>
        <w:pStyle w:val="TOC3"/>
        <w:rPr>
          <w:rFonts w:asciiTheme="minorHAnsi" w:eastAsiaTheme="minorEastAsia" w:hAnsiTheme="minorHAnsi" w:cstheme="minorBidi"/>
        </w:rPr>
      </w:pPr>
      <w:hyperlink w:anchor="_Toc426044657" w:history="1">
        <w:r w:rsidR="003660A6" w:rsidRPr="00896011">
          <w:rPr>
            <w:rStyle w:val="Hyperlink"/>
          </w:rPr>
          <w:t>2.11.2. Applicable Guidance</w:t>
        </w:r>
        <w:r w:rsidR="003660A6" w:rsidRPr="00896011">
          <w:rPr>
            <w:webHidden/>
          </w:rPr>
          <w:tab/>
        </w:r>
        <w:r w:rsidR="003660A6" w:rsidRPr="00896011">
          <w:rPr>
            <w:webHidden/>
          </w:rPr>
          <w:fldChar w:fldCharType="begin"/>
        </w:r>
        <w:r w:rsidR="003660A6" w:rsidRPr="00896011">
          <w:rPr>
            <w:webHidden/>
          </w:rPr>
          <w:instrText xml:space="preserve"> PAGEREF _Toc426044657 \h </w:instrText>
        </w:r>
        <w:r w:rsidR="003660A6" w:rsidRPr="00896011">
          <w:rPr>
            <w:webHidden/>
          </w:rPr>
        </w:r>
        <w:r w:rsidR="003660A6" w:rsidRPr="00896011">
          <w:rPr>
            <w:webHidden/>
          </w:rPr>
          <w:fldChar w:fldCharType="separate"/>
        </w:r>
        <w:r w:rsidR="003660A6" w:rsidRPr="00896011">
          <w:rPr>
            <w:webHidden/>
          </w:rPr>
          <w:t>26</w:t>
        </w:r>
        <w:r w:rsidR="003660A6" w:rsidRPr="00896011">
          <w:rPr>
            <w:webHidden/>
          </w:rPr>
          <w:fldChar w:fldCharType="end"/>
        </w:r>
      </w:hyperlink>
    </w:p>
    <w:p w14:paraId="33A84676" w14:textId="77777777" w:rsidR="003660A6" w:rsidRPr="00896011" w:rsidRDefault="00133485">
      <w:pPr>
        <w:pStyle w:val="TOC2"/>
        <w:tabs>
          <w:tab w:val="right" w:leader="dot" w:pos="9350"/>
        </w:tabs>
        <w:rPr>
          <w:rFonts w:asciiTheme="minorHAnsi" w:hAnsiTheme="minorHAnsi" w:cstheme="minorBidi"/>
          <w:b w:val="0"/>
          <w:noProof/>
        </w:rPr>
      </w:pPr>
      <w:hyperlink w:anchor="_Toc426044658" w:history="1">
        <w:r w:rsidR="003660A6" w:rsidRPr="00896011">
          <w:rPr>
            <w:rStyle w:val="Hyperlink"/>
            <w:noProof/>
          </w:rPr>
          <w:t>2.12 Use of EE EM&amp;V Protocols and Guidelines</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_Toc426044658 \h </w:instrText>
        </w:r>
        <w:r w:rsidR="003660A6" w:rsidRPr="00896011">
          <w:rPr>
            <w:noProof/>
            <w:webHidden/>
          </w:rPr>
        </w:r>
        <w:r w:rsidR="003660A6" w:rsidRPr="00896011">
          <w:rPr>
            <w:noProof/>
            <w:webHidden/>
          </w:rPr>
          <w:fldChar w:fldCharType="separate"/>
        </w:r>
        <w:r w:rsidR="003660A6" w:rsidRPr="00896011">
          <w:rPr>
            <w:noProof/>
            <w:webHidden/>
          </w:rPr>
          <w:t>26</w:t>
        </w:r>
        <w:r w:rsidR="003660A6" w:rsidRPr="00896011">
          <w:rPr>
            <w:noProof/>
            <w:webHidden/>
          </w:rPr>
          <w:fldChar w:fldCharType="end"/>
        </w:r>
      </w:hyperlink>
    </w:p>
    <w:p w14:paraId="59A3E5B2" w14:textId="77777777" w:rsidR="003660A6" w:rsidRPr="00896011" w:rsidRDefault="00133485">
      <w:pPr>
        <w:pStyle w:val="TOC3"/>
        <w:rPr>
          <w:rFonts w:asciiTheme="minorHAnsi" w:eastAsiaTheme="minorEastAsia" w:hAnsiTheme="minorHAnsi" w:cstheme="minorBidi"/>
        </w:rPr>
      </w:pPr>
      <w:hyperlink w:anchor="_Toc426044659" w:history="1">
        <w:r w:rsidR="003660A6" w:rsidRPr="00896011">
          <w:rPr>
            <w:rStyle w:val="Hyperlink"/>
          </w:rPr>
          <w:t>2.12.1. Discussion</w:t>
        </w:r>
        <w:r w:rsidR="003660A6" w:rsidRPr="00896011">
          <w:rPr>
            <w:webHidden/>
          </w:rPr>
          <w:tab/>
        </w:r>
        <w:r w:rsidR="003660A6" w:rsidRPr="00896011">
          <w:rPr>
            <w:webHidden/>
          </w:rPr>
          <w:fldChar w:fldCharType="begin"/>
        </w:r>
        <w:r w:rsidR="003660A6" w:rsidRPr="00896011">
          <w:rPr>
            <w:webHidden/>
          </w:rPr>
          <w:instrText xml:space="preserve"> PAGEREF _Toc426044659 \h </w:instrText>
        </w:r>
        <w:r w:rsidR="003660A6" w:rsidRPr="00896011">
          <w:rPr>
            <w:webHidden/>
          </w:rPr>
        </w:r>
        <w:r w:rsidR="003660A6" w:rsidRPr="00896011">
          <w:rPr>
            <w:webHidden/>
          </w:rPr>
          <w:fldChar w:fldCharType="separate"/>
        </w:r>
        <w:r w:rsidR="003660A6" w:rsidRPr="00896011">
          <w:rPr>
            <w:webHidden/>
          </w:rPr>
          <w:t>26</w:t>
        </w:r>
        <w:r w:rsidR="003660A6" w:rsidRPr="00896011">
          <w:rPr>
            <w:webHidden/>
          </w:rPr>
          <w:fldChar w:fldCharType="end"/>
        </w:r>
      </w:hyperlink>
    </w:p>
    <w:p w14:paraId="7FAFCCC7" w14:textId="77777777" w:rsidR="003660A6" w:rsidRPr="00896011" w:rsidRDefault="00133485">
      <w:pPr>
        <w:pStyle w:val="TOC3"/>
        <w:rPr>
          <w:rFonts w:asciiTheme="minorHAnsi" w:eastAsiaTheme="minorEastAsia" w:hAnsiTheme="minorHAnsi" w:cstheme="minorBidi"/>
        </w:rPr>
      </w:pPr>
      <w:hyperlink w:anchor="_Toc426044660" w:history="1">
        <w:r w:rsidR="003660A6" w:rsidRPr="00896011">
          <w:rPr>
            <w:rStyle w:val="Hyperlink"/>
          </w:rPr>
          <w:t>2.12.2. Applicable Guidance</w:t>
        </w:r>
        <w:r w:rsidR="003660A6" w:rsidRPr="00896011">
          <w:rPr>
            <w:webHidden/>
          </w:rPr>
          <w:tab/>
        </w:r>
        <w:r w:rsidR="003660A6" w:rsidRPr="00896011">
          <w:rPr>
            <w:webHidden/>
          </w:rPr>
          <w:fldChar w:fldCharType="begin"/>
        </w:r>
        <w:r w:rsidR="003660A6" w:rsidRPr="00896011">
          <w:rPr>
            <w:webHidden/>
          </w:rPr>
          <w:instrText xml:space="preserve"> PAGEREF _Toc426044660 \h </w:instrText>
        </w:r>
        <w:r w:rsidR="003660A6" w:rsidRPr="00896011">
          <w:rPr>
            <w:webHidden/>
          </w:rPr>
        </w:r>
        <w:r w:rsidR="003660A6" w:rsidRPr="00896011">
          <w:rPr>
            <w:webHidden/>
          </w:rPr>
          <w:fldChar w:fldCharType="separate"/>
        </w:r>
        <w:r w:rsidR="003660A6" w:rsidRPr="00896011">
          <w:rPr>
            <w:webHidden/>
          </w:rPr>
          <w:t>29</w:t>
        </w:r>
        <w:r w:rsidR="003660A6" w:rsidRPr="00896011">
          <w:rPr>
            <w:webHidden/>
          </w:rPr>
          <w:fldChar w:fldCharType="end"/>
        </w:r>
      </w:hyperlink>
    </w:p>
    <w:p w14:paraId="164FFCCF" w14:textId="77777777" w:rsidR="003660A6" w:rsidRPr="00896011" w:rsidRDefault="00133485">
      <w:pPr>
        <w:pStyle w:val="TOC1"/>
        <w:rPr>
          <w:rFonts w:asciiTheme="minorHAnsi" w:hAnsiTheme="minorHAnsi" w:cstheme="minorBidi"/>
          <w:b w:val="0"/>
          <w:noProof/>
          <w:szCs w:val="22"/>
        </w:rPr>
      </w:pPr>
      <w:hyperlink w:anchor="_Toc426044661" w:history="1">
        <w:r w:rsidR="003660A6" w:rsidRPr="00896011">
          <w:rPr>
            <w:rStyle w:val="Hyperlink"/>
            <w:noProof/>
          </w:rPr>
          <w:t>3. Supplemental Guidance for Specific Categories of EE</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_Toc426044661 \h </w:instrText>
        </w:r>
        <w:r w:rsidR="003660A6" w:rsidRPr="00896011">
          <w:rPr>
            <w:noProof/>
            <w:webHidden/>
          </w:rPr>
        </w:r>
        <w:r w:rsidR="003660A6" w:rsidRPr="00896011">
          <w:rPr>
            <w:noProof/>
            <w:webHidden/>
          </w:rPr>
          <w:fldChar w:fldCharType="separate"/>
        </w:r>
        <w:r w:rsidR="003660A6" w:rsidRPr="00896011">
          <w:rPr>
            <w:noProof/>
            <w:webHidden/>
          </w:rPr>
          <w:t>30</w:t>
        </w:r>
        <w:r w:rsidR="003660A6" w:rsidRPr="00896011">
          <w:rPr>
            <w:noProof/>
            <w:webHidden/>
          </w:rPr>
          <w:fldChar w:fldCharType="end"/>
        </w:r>
      </w:hyperlink>
    </w:p>
    <w:p w14:paraId="15A25743" w14:textId="0A1BF45D" w:rsidR="003660A6" w:rsidRDefault="00133485">
      <w:pPr>
        <w:pStyle w:val="TOC2"/>
        <w:tabs>
          <w:tab w:val="right" w:leader="dot" w:pos="9350"/>
        </w:tabs>
        <w:rPr>
          <w:rFonts w:asciiTheme="minorHAnsi" w:hAnsiTheme="minorHAnsi" w:cstheme="minorBidi"/>
          <w:b w:val="0"/>
          <w:noProof/>
        </w:rPr>
      </w:pPr>
      <w:hyperlink w:anchor="_Toc426044662" w:history="1">
        <w:r w:rsidR="003660A6" w:rsidRPr="00896011">
          <w:rPr>
            <w:rStyle w:val="Hyperlink"/>
            <w:noProof/>
          </w:rPr>
          <w:t xml:space="preserve">3.1 Demand-Side </w:t>
        </w:r>
        <w:r w:rsidR="00896011" w:rsidRPr="00896011">
          <w:rPr>
            <w:rStyle w:val="Hyperlink"/>
            <w:noProof/>
          </w:rPr>
          <w:t xml:space="preserve">EE </w:t>
        </w:r>
        <w:r w:rsidR="003660A6" w:rsidRPr="00896011">
          <w:rPr>
            <w:rStyle w:val="Hyperlink"/>
            <w:noProof/>
          </w:rPr>
          <w:t>Programs</w:t>
        </w:r>
        <w:r w:rsidR="003660A6" w:rsidRPr="00896011">
          <w:rPr>
            <w:noProof/>
            <w:webHidden/>
          </w:rPr>
          <w:tab/>
        </w:r>
        <w:r w:rsidR="003660A6" w:rsidRPr="00896011">
          <w:rPr>
            <w:noProof/>
            <w:webHidden/>
          </w:rPr>
          <w:fldChar w:fldCharType="begin"/>
        </w:r>
        <w:r w:rsidR="003660A6" w:rsidRPr="00896011">
          <w:rPr>
            <w:noProof/>
            <w:webHidden/>
          </w:rPr>
          <w:instrText xml:space="preserve"> PAGEREF _Toc426044662 \h </w:instrText>
        </w:r>
        <w:r w:rsidR="003660A6" w:rsidRPr="00896011">
          <w:rPr>
            <w:noProof/>
            <w:webHidden/>
          </w:rPr>
        </w:r>
        <w:r w:rsidR="003660A6" w:rsidRPr="00896011">
          <w:rPr>
            <w:noProof/>
            <w:webHidden/>
          </w:rPr>
          <w:fldChar w:fldCharType="separate"/>
        </w:r>
        <w:r w:rsidR="003660A6" w:rsidRPr="00896011">
          <w:rPr>
            <w:noProof/>
            <w:webHidden/>
          </w:rPr>
          <w:t>30</w:t>
        </w:r>
        <w:r w:rsidR="003660A6" w:rsidRPr="00896011">
          <w:rPr>
            <w:noProof/>
            <w:webHidden/>
          </w:rPr>
          <w:fldChar w:fldCharType="end"/>
        </w:r>
      </w:hyperlink>
    </w:p>
    <w:p w14:paraId="0FFA5273" w14:textId="77777777" w:rsidR="003660A6" w:rsidRDefault="00133485">
      <w:pPr>
        <w:pStyle w:val="TOC3"/>
        <w:rPr>
          <w:rFonts w:asciiTheme="minorHAnsi" w:eastAsiaTheme="minorEastAsia" w:hAnsiTheme="minorHAnsi" w:cstheme="minorBidi"/>
        </w:rPr>
      </w:pPr>
      <w:hyperlink w:anchor="_Toc426044663" w:history="1">
        <w:r w:rsidR="003660A6" w:rsidRPr="00615B5A">
          <w:rPr>
            <w:rStyle w:val="Hyperlink"/>
          </w:rPr>
          <w:t>3.1.1. Program Description</w:t>
        </w:r>
        <w:r w:rsidR="003660A6">
          <w:rPr>
            <w:webHidden/>
          </w:rPr>
          <w:tab/>
        </w:r>
        <w:r w:rsidR="003660A6">
          <w:rPr>
            <w:webHidden/>
          </w:rPr>
          <w:fldChar w:fldCharType="begin"/>
        </w:r>
        <w:r w:rsidR="003660A6">
          <w:rPr>
            <w:webHidden/>
          </w:rPr>
          <w:instrText xml:space="preserve"> PAGEREF _Toc426044663 \h </w:instrText>
        </w:r>
        <w:r w:rsidR="003660A6">
          <w:rPr>
            <w:webHidden/>
          </w:rPr>
        </w:r>
        <w:r w:rsidR="003660A6">
          <w:rPr>
            <w:webHidden/>
          </w:rPr>
          <w:fldChar w:fldCharType="separate"/>
        </w:r>
        <w:r w:rsidR="003660A6">
          <w:rPr>
            <w:webHidden/>
          </w:rPr>
          <w:t>30</w:t>
        </w:r>
        <w:r w:rsidR="003660A6">
          <w:rPr>
            <w:webHidden/>
          </w:rPr>
          <w:fldChar w:fldCharType="end"/>
        </w:r>
      </w:hyperlink>
    </w:p>
    <w:p w14:paraId="1139C698" w14:textId="0903B062" w:rsidR="003660A6" w:rsidRDefault="00133485">
      <w:pPr>
        <w:pStyle w:val="TOC3"/>
        <w:rPr>
          <w:rFonts w:asciiTheme="minorHAnsi" w:eastAsiaTheme="minorEastAsia" w:hAnsiTheme="minorHAnsi" w:cstheme="minorBidi"/>
        </w:rPr>
      </w:pPr>
      <w:hyperlink w:anchor="_Toc426044664" w:history="1">
        <w:r w:rsidR="003660A6" w:rsidRPr="00615B5A">
          <w:rPr>
            <w:rStyle w:val="Hyperlink"/>
          </w:rPr>
          <w:t xml:space="preserve">3.1.2. Applicable Guidance – Direct Action </w:t>
        </w:r>
        <w:r w:rsidR="00896011">
          <w:rPr>
            <w:rStyle w:val="Hyperlink"/>
          </w:rPr>
          <w:t>EE Programs</w:t>
        </w:r>
        <w:r w:rsidR="003660A6">
          <w:rPr>
            <w:webHidden/>
          </w:rPr>
          <w:tab/>
        </w:r>
        <w:r w:rsidR="003660A6">
          <w:rPr>
            <w:webHidden/>
          </w:rPr>
          <w:fldChar w:fldCharType="begin"/>
        </w:r>
        <w:r w:rsidR="003660A6">
          <w:rPr>
            <w:webHidden/>
          </w:rPr>
          <w:instrText xml:space="preserve"> PAGEREF _Toc426044664 \h </w:instrText>
        </w:r>
        <w:r w:rsidR="003660A6">
          <w:rPr>
            <w:webHidden/>
          </w:rPr>
        </w:r>
        <w:r w:rsidR="003660A6">
          <w:rPr>
            <w:webHidden/>
          </w:rPr>
          <w:fldChar w:fldCharType="separate"/>
        </w:r>
        <w:r w:rsidR="003660A6">
          <w:rPr>
            <w:webHidden/>
          </w:rPr>
          <w:t>32</w:t>
        </w:r>
        <w:r w:rsidR="003660A6">
          <w:rPr>
            <w:webHidden/>
          </w:rPr>
          <w:fldChar w:fldCharType="end"/>
        </w:r>
      </w:hyperlink>
    </w:p>
    <w:p w14:paraId="70846D43" w14:textId="22A3AB44" w:rsidR="003660A6" w:rsidRDefault="00133485">
      <w:pPr>
        <w:pStyle w:val="TOC3"/>
        <w:rPr>
          <w:rFonts w:asciiTheme="minorHAnsi" w:eastAsiaTheme="minorEastAsia" w:hAnsiTheme="minorHAnsi" w:cstheme="minorBidi"/>
        </w:rPr>
      </w:pPr>
      <w:hyperlink w:anchor="_Toc426044665" w:history="1">
        <w:r w:rsidR="003660A6" w:rsidRPr="00615B5A">
          <w:rPr>
            <w:rStyle w:val="Hyperlink"/>
          </w:rPr>
          <w:t xml:space="preserve">3.1.3. Applicable Guidance – Indirect Action </w:t>
        </w:r>
        <w:r w:rsidR="00896011">
          <w:rPr>
            <w:rStyle w:val="Hyperlink"/>
          </w:rPr>
          <w:t>EE Programs</w:t>
        </w:r>
        <w:r w:rsidR="003660A6">
          <w:rPr>
            <w:webHidden/>
          </w:rPr>
          <w:tab/>
        </w:r>
        <w:r w:rsidR="003660A6">
          <w:rPr>
            <w:webHidden/>
          </w:rPr>
          <w:fldChar w:fldCharType="begin"/>
        </w:r>
        <w:r w:rsidR="003660A6">
          <w:rPr>
            <w:webHidden/>
          </w:rPr>
          <w:instrText xml:space="preserve"> PAGEREF _Toc426044665 \h </w:instrText>
        </w:r>
        <w:r w:rsidR="003660A6">
          <w:rPr>
            <w:webHidden/>
          </w:rPr>
        </w:r>
        <w:r w:rsidR="003660A6">
          <w:rPr>
            <w:webHidden/>
          </w:rPr>
          <w:fldChar w:fldCharType="separate"/>
        </w:r>
        <w:r w:rsidR="003660A6">
          <w:rPr>
            <w:webHidden/>
          </w:rPr>
          <w:t>32</w:t>
        </w:r>
        <w:r w:rsidR="003660A6">
          <w:rPr>
            <w:webHidden/>
          </w:rPr>
          <w:fldChar w:fldCharType="end"/>
        </w:r>
      </w:hyperlink>
    </w:p>
    <w:p w14:paraId="23609E73" w14:textId="77777777" w:rsidR="003660A6" w:rsidRDefault="00133485">
      <w:pPr>
        <w:pStyle w:val="TOC2"/>
        <w:tabs>
          <w:tab w:val="right" w:leader="dot" w:pos="9350"/>
        </w:tabs>
        <w:rPr>
          <w:rFonts w:asciiTheme="minorHAnsi" w:hAnsiTheme="minorHAnsi" w:cstheme="minorBidi"/>
          <w:b w:val="0"/>
          <w:noProof/>
        </w:rPr>
      </w:pPr>
      <w:hyperlink w:anchor="_Toc426044666" w:history="1">
        <w:r w:rsidR="003660A6" w:rsidRPr="00615B5A">
          <w:rPr>
            <w:rStyle w:val="Hyperlink"/>
            <w:noProof/>
          </w:rPr>
          <w:t>3.2 Project-Based Energy Efficiency</w:t>
        </w:r>
        <w:r w:rsidR="003660A6">
          <w:rPr>
            <w:noProof/>
            <w:webHidden/>
          </w:rPr>
          <w:tab/>
        </w:r>
        <w:r w:rsidR="003660A6">
          <w:rPr>
            <w:noProof/>
            <w:webHidden/>
          </w:rPr>
          <w:fldChar w:fldCharType="begin"/>
        </w:r>
        <w:r w:rsidR="003660A6">
          <w:rPr>
            <w:noProof/>
            <w:webHidden/>
          </w:rPr>
          <w:instrText xml:space="preserve"> PAGEREF _Toc426044666 \h </w:instrText>
        </w:r>
        <w:r w:rsidR="003660A6">
          <w:rPr>
            <w:noProof/>
            <w:webHidden/>
          </w:rPr>
        </w:r>
        <w:r w:rsidR="003660A6">
          <w:rPr>
            <w:noProof/>
            <w:webHidden/>
          </w:rPr>
          <w:fldChar w:fldCharType="separate"/>
        </w:r>
        <w:r w:rsidR="003660A6">
          <w:rPr>
            <w:noProof/>
            <w:webHidden/>
          </w:rPr>
          <w:t>33</w:t>
        </w:r>
        <w:r w:rsidR="003660A6">
          <w:rPr>
            <w:noProof/>
            <w:webHidden/>
          </w:rPr>
          <w:fldChar w:fldCharType="end"/>
        </w:r>
      </w:hyperlink>
    </w:p>
    <w:p w14:paraId="4CAB6609" w14:textId="77777777" w:rsidR="003660A6" w:rsidRDefault="00133485">
      <w:pPr>
        <w:pStyle w:val="TOC3"/>
        <w:rPr>
          <w:rFonts w:asciiTheme="minorHAnsi" w:eastAsiaTheme="minorEastAsia" w:hAnsiTheme="minorHAnsi" w:cstheme="minorBidi"/>
        </w:rPr>
      </w:pPr>
      <w:hyperlink w:anchor="_Toc426044667" w:history="1">
        <w:r w:rsidR="003660A6" w:rsidRPr="00615B5A">
          <w:rPr>
            <w:rStyle w:val="Hyperlink"/>
          </w:rPr>
          <w:t>3.2.1. Description</w:t>
        </w:r>
        <w:r w:rsidR="003660A6">
          <w:rPr>
            <w:webHidden/>
          </w:rPr>
          <w:tab/>
        </w:r>
        <w:r w:rsidR="003660A6">
          <w:rPr>
            <w:webHidden/>
          </w:rPr>
          <w:fldChar w:fldCharType="begin"/>
        </w:r>
        <w:r w:rsidR="003660A6">
          <w:rPr>
            <w:webHidden/>
          </w:rPr>
          <w:instrText xml:space="preserve"> PAGEREF _Toc426044667 \h </w:instrText>
        </w:r>
        <w:r w:rsidR="003660A6">
          <w:rPr>
            <w:webHidden/>
          </w:rPr>
        </w:r>
        <w:r w:rsidR="003660A6">
          <w:rPr>
            <w:webHidden/>
          </w:rPr>
          <w:fldChar w:fldCharType="separate"/>
        </w:r>
        <w:r w:rsidR="003660A6">
          <w:rPr>
            <w:webHidden/>
          </w:rPr>
          <w:t>33</w:t>
        </w:r>
        <w:r w:rsidR="003660A6">
          <w:rPr>
            <w:webHidden/>
          </w:rPr>
          <w:fldChar w:fldCharType="end"/>
        </w:r>
      </w:hyperlink>
    </w:p>
    <w:p w14:paraId="66765350" w14:textId="77777777" w:rsidR="003660A6" w:rsidRDefault="00133485">
      <w:pPr>
        <w:pStyle w:val="TOC3"/>
        <w:rPr>
          <w:rFonts w:asciiTheme="minorHAnsi" w:eastAsiaTheme="minorEastAsia" w:hAnsiTheme="minorHAnsi" w:cstheme="minorBidi"/>
        </w:rPr>
      </w:pPr>
      <w:hyperlink w:anchor="_Toc426044668" w:history="1">
        <w:r w:rsidR="003660A6" w:rsidRPr="00615B5A">
          <w:rPr>
            <w:rStyle w:val="Hyperlink"/>
          </w:rPr>
          <w:t>3.2.2. Applicable Guidance – Project-Based Energy Efficiency</w:t>
        </w:r>
        <w:r w:rsidR="003660A6">
          <w:rPr>
            <w:webHidden/>
          </w:rPr>
          <w:tab/>
        </w:r>
        <w:r w:rsidR="003660A6">
          <w:rPr>
            <w:webHidden/>
          </w:rPr>
          <w:fldChar w:fldCharType="begin"/>
        </w:r>
        <w:r w:rsidR="003660A6">
          <w:rPr>
            <w:webHidden/>
          </w:rPr>
          <w:instrText xml:space="preserve"> PAGEREF _Toc426044668 \h </w:instrText>
        </w:r>
        <w:r w:rsidR="003660A6">
          <w:rPr>
            <w:webHidden/>
          </w:rPr>
        </w:r>
        <w:r w:rsidR="003660A6">
          <w:rPr>
            <w:webHidden/>
          </w:rPr>
          <w:fldChar w:fldCharType="separate"/>
        </w:r>
        <w:r w:rsidR="003660A6">
          <w:rPr>
            <w:webHidden/>
          </w:rPr>
          <w:t>34</w:t>
        </w:r>
        <w:r w:rsidR="003660A6">
          <w:rPr>
            <w:webHidden/>
          </w:rPr>
          <w:fldChar w:fldCharType="end"/>
        </w:r>
      </w:hyperlink>
    </w:p>
    <w:p w14:paraId="6467216A" w14:textId="77777777" w:rsidR="003660A6" w:rsidRDefault="00133485">
      <w:pPr>
        <w:pStyle w:val="TOC2"/>
        <w:tabs>
          <w:tab w:val="right" w:leader="dot" w:pos="9350"/>
        </w:tabs>
        <w:rPr>
          <w:rFonts w:asciiTheme="minorHAnsi" w:hAnsiTheme="minorHAnsi" w:cstheme="minorBidi"/>
          <w:b w:val="0"/>
          <w:noProof/>
        </w:rPr>
      </w:pPr>
      <w:hyperlink w:anchor="_Toc426044669" w:history="1">
        <w:r w:rsidR="003660A6" w:rsidRPr="00615B5A">
          <w:rPr>
            <w:rStyle w:val="Hyperlink"/>
            <w:noProof/>
          </w:rPr>
          <w:t>3.3 Building Energy Codes</w:t>
        </w:r>
        <w:r w:rsidR="003660A6">
          <w:rPr>
            <w:noProof/>
            <w:webHidden/>
          </w:rPr>
          <w:tab/>
        </w:r>
        <w:r w:rsidR="003660A6">
          <w:rPr>
            <w:noProof/>
            <w:webHidden/>
          </w:rPr>
          <w:fldChar w:fldCharType="begin"/>
        </w:r>
        <w:r w:rsidR="003660A6">
          <w:rPr>
            <w:noProof/>
            <w:webHidden/>
          </w:rPr>
          <w:instrText xml:space="preserve"> PAGEREF _Toc426044669 \h </w:instrText>
        </w:r>
        <w:r w:rsidR="003660A6">
          <w:rPr>
            <w:noProof/>
            <w:webHidden/>
          </w:rPr>
        </w:r>
        <w:r w:rsidR="003660A6">
          <w:rPr>
            <w:noProof/>
            <w:webHidden/>
          </w:rPr>
          <w:fldChar w:fldCharType="separate"/>
        </w:r>
        <w:r w:rsidR="003660A6">
          <w:rPr>
            <w:noProof/>
            <w:webHidden/>
          </w:rPr>
          <w:t>37</w:t>
        </w:r>
        <w:r w:rsidR="003660A6">
          <w:rPr>
            <w:noProof/>
            <w:webHidden/>
          </w:rPr>
          <w:fldChar w:fldCharType="end"/>
        </w:r>
      </w:hyperlink>
    </w:p>
    <w:p w14:paraId="6379DB4A" w14:textId="77777777" w:rsidR="003660A6" w:rsidRDefault="00133485">
      <w:pPr>
        <w:pStyle w:val="TOC3"/>
        <w:rPr>
          <w:rFonts w:asciiTheme="minorHAnsi" w:eastAsiaTheme="minorEastAsia" w:hAnsiTheme="minorHAnsi" w:cstheme="minorBidi"/>
        </w:rPr>
      </w:pPr>
      <w:hyperlink w:anchor="_Toc426044670" w:history="1">
        <w:r w:rsidR="003660A6" w:rsidRPr="00615B5A">
          <w:rPr>
            <w:rStyle w:val="Hyperlink"/>
          </w:rPr>
          <w:t>3.3.1. Description</w:t>
        </w:r>
        <w:r w:rsidR="003660A6">
          <w:rPr>
            <w:webHidden/>
          </w:rPr>
          <w:tab/>
        </w:r>
        <w:r w:rsidR="003660A6">
          <w:rPr>
            <w:webHidden/>
          </w:rPr>
          <w:fldChar w:fldCharType="begin"/>
        </w:r>
        <w:r w:rsidR="003660A6">
          <w:rPr>
            <w:webHidden/>
          </w:rPr>
          <w:instrText xml:space="preserve"> PAGEREF _Toc426044670 \h </w:instrText>
        </w:r>
        <w:r w:rsidR="003660A6">
          <w:rPr>
            <w:webHidden/>
          </w:rPr>
        </w:r>
        <w:r w:rsidR="003660A6">
          <w:rPr>
            <w:webHidden/>
          </w:rPr>
          <w:fldChar w:fldCharType="separate"/>
        </w:r>
        <w:r w:rsidR="003660A6">
          <w:rPr>
            <w:webHidden/>
          </w:rPr>
          <w:t>37</w:t>
        </w:r>
        <w:r w:rsidR="003660A6">
          <w:rPr>
            <w:webHidden/>
          </w:rPr>
          <w:fldChar w:fldCharType="end"/>
        </w:r>
      </w:hyperlink>
    </w:p>
    <w:p w14:paraId="54DE826B" w14:textId="77777777" w:rsidR="003660A6" w:rsidRDefault="00133485">
      <w:pPr>
        <w:pStyle w:val="TOC3"/>
        <w:rPr>
          <w:rFonts w:asciiTheme="minorHAnsi" w:eastAsiaTheme="minorEastAsia" w:hAnsiTheme="minorHAnsi" w:cstheme="minorBidi"/>
        </w:rPr>
      </w:pPr>
      <w:hyperlink w:anchor="_Toc426044671" w:history="1">
        <w:r w:rsidR="003660A6" w:rsidRPr="00615B5A">
          <w:rPr>
            <w:rStyle w:val="Hyperlink"/>
          </w:rPr>
          <w:t>3.3.2. Applicable Guidance – State and Local Government Building Energy Code and Compliance Programs</w:t>
        </w:r>
        <w:r w:rsidR="003660A6">
          <w:rPr>
            <w:webHidden/>
          </w:rPr>
          <w:tab/>
        </w:r>
        <w:r w:rsidR="003660A6">
          <w:rPr>
            <w:webHidden/>
          </w:rPr>
          <w:fldChar w:fldCharType="begin"/>
        </w:r>
        <w:r w:rsidR="003660A6">
          <w:rPr>
            <w:webHidden/>
          </w:rPr>
          <w:instrText xml:space="preserve"> PAGEREF _Toc426044671 \h </w:instrText>
        </w:r>
        <w:r w:rsidR="003660A6">
          <w:rPr>
            <w:webHidden/>
          </w:rPr>
        </w:r>
        <w:r w:rsidR="003660A6">
          <w:rPr>
            <w:webHidden/>
          </w:rPr>
          <w:fldChar w:fldCharType="separate"/>
        </w:r>
        <w:r w:rsidR="003660A6">
          <w:rPr>
            <w:webHidden/>
          </w:rPr>
          <w:t>38</w:t>
        </w:r>
        <w:r w:rsidR="003660A6">
          <w:rPr>
            <w:webHidden/>
          </w:rPr>
          <w:fldChar w:fldCharType="end"/>
        </w:r>
      </w:hyperlink>
    </w:p>
    <w:p w14:paraId="773E2938" w14:textId="77777777" w:rsidR="003660A6" w:rsidRDefault="00133485">
      <w:pPr>
        <w:pStyle w:val="TOC2"/>
        <w:tabs>
          <w:tab w:val="right" w:leader="dot" w:pos="9350"/>
        </w:tabs>
        <w:rPr>
          <w:rFonts w:asciiTheme="minorHAnsi" w:hAnsiTheme="minorHAnsi" w:cstheme="minorBidi"/>
          <w:b w:val="0"/>
          <w:noProof/>
        </w:rPr>
      </w:pPr>
      <w:hyperlink w:anchor="_Toc426044672" w:history="1">
        <w:r w:rsidR="003660A6" w:rsidRPr="00615B5A">
          <w:rPr>
            <w:rStyle w:val="Hyperlink"/>
            <w:noProof/>
          </w:rPr>
          <w:t>3.4 Incremental Product Energy Standards</w:t>
        </w:r>
        <w:r w:rsidR="003660A6">
          <w:rPr>
            <w:noProof/>
            <w:webHidden/>
          </w:rPr>
          <w:tab/>
        </w:r>
        <w:r w:rsidR="003660A6">
          <w:rPr>
            <w:noProof/>
            <w:webHidden/>
          </w:rPr>
          <w:fldChar w:fldCharType="begin"/>
        </w:r>
        <w:r w:rsidR="003660A6">
          <w:rPr>
            <w:noProof/>
            <w:webHidden/>
          </w:rPr>
          <w:instrText xml:space="preserve"> PAGEREF _Toc426044672 \h </w:instrText>
        </w:r>
        <w:r w:rsidR="003660A6">
          <w:rPr>
            <w:noProof/>
            <w:webHidden/>
          </w:rPr>
        </w:r>
        <w:r w:rsidR="003660A6">
          <w:rPr>
            <w:noProof/>
            <w:webHidden/>
          </w:rPr>
          <w:fldChar w:fldCharType="separate"/>
        </w:r>
        <w:r w:rsidR="003660A6">
          <w:rPr>
            <w:noProof/>
            <w:webHidden/>
          </w:rPr>
          <w:t>41</w:t>
        </w:r>
        <w:r w:rsidR="003660A6">
          <w:rPr>
            <w:noProof/>
            <w:webHidden/>
          </w:rPr>
          <w:fldChar w:fldCharType="end"/>
        </w:r>
      </w:hyperlink>
    </w:p>
    <w:p w14:paraId="26C04E32" w14:textId="77777777" w:rsidR="003660A6" w:rsidRDefault="00133485">
      <w:pPr>
        <w:pStyle w:val="TOC3"/>
        <w:rPr>
          <w:rFonts w:asciiTheme="minorHAnsi" w:eastAsiaTheme="minorEastAsia" w:hAnsiTheme="minorHAnsi" w:cstheme="minorBidi"/>
        </w:rPr>
      </w:pPr>
      <w:hyperlink w:anchor="_Toc426044673" w:history="1">
        <w:r w:rsidR="003660A6" w:rsidRPr="00615B5A">
          <w:rPr>
            <w:rStyle w:val="Hyperlink"/>
          </w:rPr>
          <w:t>3.4.1. Description</w:t>
        </w:r>
        <w:r w:rsidR="003660A6">
          <w:rPr>
            <w:webHidden/>
          </w:rPr>
          <w:tab/>
        </w:r>
        <w:r w:rsidR="003660A6">
          <w:rPr>
            <w:webHidden/>
          </w:rPr>
          <w:fldChar w:fldCharType="begin"/>
        </w:r>
        <w:r w:rsidR="003660A6">
          <w:rPr>
            <w:webHidden/>
          </w:rPr>
          <w:instrText xml:space="preserve"> PAGEREF _Toc426044673 \h </w:instrText>
        </w:r>
        <w:r w:rsidR="003660A6">
          <w:rPr>
            <w:webHidden/>
          </w:rPr>
        </w:r>
        <w:r w:rsidR="003660A6">
          <w:rPr>
            <w:webHidden/>
          </w:rPr>
          <w:fldChar w:fldCharType="separate"/>
        </w:r>
        <w:r w:rsidR="003660A6">
          <w:rPr>
            <w:webHidden/>
          </w:rPr>
          <w:t>41</w:t>
        </w:r>
        <w:r w:rsidR="003660A6">
          <w:rPr>
            <w:webHidden/>
          </w:rPr>
          <w:fldChar w:fldCharType="end"/>
        </w:r>
      </w:hyperlink>
    </w:p>
    <w:p w14:paraId="3A848997" w14:textId="77777777" w:rsidR="003660A6" w:rsidRDefault="00133485">
      <w:pPr>
        <w:pStyle w:val="TOC3"/>
        <w:rPr>
          <w:rFonts w:asciiTheme="minorHAnsi" w:eastAsiaTheme="minorEastAsia" w:hAnsiTheme="minorHAnsi" w:cstheme="minorBidi"/>
        </w:rPr>
      </w:pPr>
      <w:hyperlink w:anchor="_Toc426044674" w:history="1">
        <w:r w:rsidR="003660A6" w:rsidRPr="00615B5A">
          <w:rPr>
            <w:rStyle w:val="Hyperlink"/>
          </w:rPr>
          <w:t>3.4.2. Applicable Guidance – State and Local Government Incremental Product Energy Standards</w:t>
        </w:r>
        <w:r w:rsidR="003660A6">
          <w:rPr>
            <w:webHidden/>
          </w:rPr>
          <w:tab/>
        </w:r>
        <w:r w:rsidR="003660A6">
          <w:rPr>
            <w:webHidden/>
          </w:rPr>
          <w:fldChar w:fldCharType="begin"/>
        </w:r>
        <w:r w:rsidR="003660A6">
          <w:rPr>
            <w:webHidden/>
          </w:rPr>
          <w:instrText xml:space="preserve"> PAGEREF _Toc426044674 \h </w:instrText>
        </w:r>
        <w:r w:rsidR="003660A6">
          <w:rPr>
            <w:webHidden/>
          </w:rPr>
        </w:r>
        <w:r w:rsidR="003660A6">
          <w:rPr>
            <w:webHidden/>
          </w:rPr>
          <w:fldChar w:fldCharType="separate"/>
        </w:r>
        <w:r w:rsidR="003660A6">
          <w:rPr>
            <w:webHidden/>
          </w:rPr>
          <w:t>41</w:t>
        </w:r>
        <w:r w:rsidR="003660A6">
          <w:rPr>
            <w:webHidden/>
          </w:rPr>
          <w:fldChar w:fldCharType="end"/>
        </w:r>
      </w:hyperlink>
    </w:p>
    <w:p w14:paraId="099F2CE4" w14:textId="653BF377" w:rsidR="003660A6" w:rsidRDefault="00133485">
      <w:pPr>
        <w:pStyle w:val="TOC1"/>
        <w:rPr>
          <w:rFonts w:asciiTheme="minorHAnsi" w:hAnsiTheme="minorHAnsi" w:cstheme="minorBidi"/>
          <w:b w:val="0"/>
          <w:noProof/>
          <w:szCs w:val="22"/>
        </w:rPr>
      </w:pPr>
      <w:hyperlink w:anchor="_Toc426044675" w:history="1">
        <w:r w:rsidR="003660A6" w:rsidRPr="00615B5A">
          <w:rPr>
            <w:rStyle w:val="Hyperlink"/>
            <w:noProof/>
          </w:rPr>
          <w:t>Appendix A. Optional EM&amp;V Plan Template</w:t>
        </w:r>
        <w:r w:rsidR="00EB74B1">
          <w:rPr>
            <w:rStyle w:val="Hyperlink"/>
            <w:noProof/>
          </w:rPr>
          <w:t xml:space="preserve"> for Demand-Side EE</w:t>
        </w:r>
        <w:r w:rsidR="003660A6">
          <w:rPr>
            <w:noProof/>
            <w:webHidden/>
          </w:rPr>
          <w:tab/>
        </w:r>
        <w:r w:rsidR="003660A6">
          <w:rPr>
            <w:noProof/>
            <w:webHidden/>
          </w:rPr>
          <w:fldChar w:fldCharType="begin"/>
        </w:r>
        <w:r w:rsidR="003660A6">
          <w:rPr>
            <w:noProof/>
            <w:webHidden/>
          </w:rPr>
          <w:instrText xml:space="preserve"> PAGEREF _Toc426044675 \h </w:instrText>
        </w:r>
        <w:r w:rsidR="003660A6">
          <w:rPr>
            <w:noProof/>
            <w:webHidden/>
          </w:rPr>
        </w:r>
        <w:r w:rsidR="003660A6">
          <w:rPr>
            <w:noProof/>
            <w:webHidden/>
          </w:rPr>
          <w:fldChar w:fldCharType="separate"/>
        </w:r>
        <w:r w:rsidR="003660A6">
          <w:rPr>
            <w:noProof/>
            <w:webHidden/>
          </w:rPr>
          <w:t>A-1</w:t>
        </w:r>
        <w:r w:rsidR="003660A6">
          <w:rPr>
            <w:noProof/>
            <w:webHidden/>
          </w:rPr>
          <w:fldChar w:fldCharType="end"/>
        </w:r>
      </w:hyperlink>
    </w:p>
    <w:p w14:paraId="3A89E1CC" w14:textId="77777777" w:rsidR="003660A6" w:rsidRDefault="00133485">
      <w:pPr>
        <w:pStyle w:val="TOC1"/>
        <w:rPr>
          <w:rFonts w:asciiTheme="minorHAnsi" w:hAnsiTheme="minorHAnsi" w:cstheme="minorBidi"/>
          <w:b w:val="0"/>
          <w:noProof/>
          <w:szCs w:val="22"/>
        </w:rPr>
      </w:pPr>
      <w:hyperlink w:anchor="_Toc426044676" w:history="1">
        <w:r w:rsidR="003660A6" w:rsidRPr="00615B5A">
          <w:rPr>
            <w:rStyle w:val="Hyperlink"/>
            <w:noProof/>
          </w:rPr>
          <w:t>Appendix B. Glossary of Terms</w:t>
        </w:r>
        <w:r w:rsidR="003660A6">
          <w:rPr>
            <w:noProof/>
            <w:webHidden/>
          </w:rPr>
          <w:tab/>
        </w:r>
        <w:r w:rsidR="003660A6">
          <w:rPr>
            <w:noProof/>
            <w:webHidden/>
          </w:rPr>
          <w:fldChar w:fldCharType="begin"/>
        </w:r>
        <w:r w:rsidR="003660A6">
          <w:rPr>
            <w:noProof/>
            <w:webHidden/>
          </w:rPr>
          <w:instrText xml:space="preserve"> PAGEREF _Toc426044676 \h </w:instrText>
        </w:r>
        <w:r w:rsidR="003660A6">
          <w:rPr>
            <w:noProof/>
            <w:webHidden/>
          </w:rPr>
        </w:r>
        <w:r w:rsidR="003660A6">
          <w:rPr>
            <w:noProof/>
            <w:webHidden/>
          </w:rPr>
          <w:fldChar w:fldCharType="separate"/>
        </w:r>
        <w:r w:rsidR="003660A6">
          <w:rPr>
            <w:noProof/>
            <w:webHidden/>
          </w:rPr>
          <w:t>B-1</w:t>
        </w:r>
        <w:r w:rsidR="003660A6">
          <w:rPr>
            <w:noProof/>
            <w:webHidden/>
          </w:rPr>
          <w:fldChar w:fldCharType="end"/>
        </w:r>
      </w:hyperlink>
    </w:p>
    <w:p w14:paraId="56A82713" w14:textId="2A1640CE" w:rsidR="003660A6" w:rsidRDefault="00133485">
      <w:pPr>
        <w:pStyle w:val="TOC1"/>
        <w:rPr>
          <w:rFonts w:asciiTheme="minorHAnsi" w:hAnsiTheme="minorHAnsi" w:cstheme="minorBidi"/>
          <w:b w:val="0"/>
          <w:noProof/>
          <w:szCs w:val="22"/>
        </w:rPr>
      </w:pPr>
      <w:hyperlink w:anchor="_Toc426044677" w:history="1">
        <w:r w:rsidR="003660A6" w:rsidRPr="00615B5A">
          <w:rPr>
            <w:rStyle w:val="Hyperlink"/>
            <w:noProof/>
          </w:rPr>
          <w:t xml:space="preserve">Appendix C. </w:t>
        </w:r>
        <w:r w:rsidR="00AA1B0D">
          <w:rPr>
            <w:rStyle w:val="Hyperlink"/>
            <w:noProof/>
          </w:rPr>
          <w:t xml:space="preserve">EM&amp;V Methods </w:t>
        </w:r>
        <w:r w:rsidR="003660A6" w:rsidRPr="00615B5A">
          <w:rPr>
            <w:rStyle w:val="Hyperlink"/>
            <w:noProof/>
          </w:rPr>
          <w:t>for Common EE Technologies: Best Practices and Resources</w:t>
        </w:r>
        <w:r w:rsidR="003660A6">
          <w:rPr>
            <w:noProof/>
            <w:webHidden/>
          </w:rPr>
          <w:tab/>
        </w:r>
        <w:r w:rsidR="003660A6">
          <w:rPr>
            <w:noProof/>
            <w:webHidden/>
          </w:rPr>
          <w:fldChar w:fldCharType="begin"/>
        </w:r>
        <w:r w:rsidR="003660A6">
          <w:rPr>
            <w:noProof/>
            <w:webHidden/>
          </w:rPr>
          <w:instrText xml:space="preserve"> PAGEREF _Toc426044677 \h </w:instrText>
        </w:r>
        <w:r w:rsidR="003660A6">
          <w:rPr>
            <w:noProof/>
            <w:webHidden/>
          </w:rPr>
        </w:r>
        <w:r w:rsidR="003660A6">
          <w:rPr>
            <w:noProof/>
            <w:webHidden/>
          </w:rPr>
          <w:fldChar w:fldCharType="separate"/>
        </w:r>
        <w:r w:rsidR="003660A6">
          <w:rPr>
            <w:noProof/>
            <w:webHidden/>
          </w:rPr>
          <w:t>C-1</w:t>
        </w:r>
        <w:r w:rsidR="003660A6">
          <w:rPr>
            <w:noProof/>
            <w:webHidden/>
          </w:rPr>
          <w:fldChar w:fldCharType="end"/>
        </w:r>
      </w:hyperlink>
    </w:p>
    <w:p w14:paraId="0BEFE730" w14:textId="77777777" w:rsidR="004002F4" w:rsidRDefault="00975EC6" w:rsidP="00AB6C96">
      <w:pPr>
        <w:rPr>
          <w:b/>
          <w:sz w:val="24"/>
        </w:rPr>
      </w:pPr>
      <w:r>
        <w:rPr>
          <w:b/>
          <w:sz w:val="24"/>
        </w:rPr>
        <w:fldChar w:fldCharType="end"/>
      </w:r>
    </w:p>
    <w:p w14:paraId="0D84C367" w14:textId="77777777" w:rsidR="004002F4" w:rsidRDefault="004002F4">
      <w:pPr>
        <w:spacing w:after="200"/>
        <w:rPr>
          <w:b/>
          <w:sz w:val="24"/>
        </w:rPr>
      </w:pPr>
      <w:r>
        <w:rPr>
          <w:b/>
          <w:sz w:val="24"/>
        </w:rPr>
        <w:br w:type="page"/>
      </w:r>
    </w:p>
    <w:p w14:paraId="6A56A342" w14:textId="66AF9FD1" w:rsidR="005A7705" w:rsidRPr="005A7705" w:rsidRDefault="00BE4A55" w:rsidP="00E93A19">
      <w:pPr>
        <w:pStyle w:val="FrontMatterHeading"/>
        <w:rPr>
          <w:b w:val="0"/>
        </w:rPr>
      </w:pPr>
      <w:bookmarkStart w:id="0" w:name="_Toc426044614"/>
      <w:r>
        <w:lastRenderedPageBreak/>
        <w:t>P</w:t>
      </w:r>
      <w:r w:rsidR="00E93A19">
        <w:t>ublic Comment Opportunity</w:t>
      </w:r>
      <w:bookmarkEnd w:id="0"/>
    </w:p>
    <w:p w14:paraId="69191437" w14:textId="12A87A04" w:rsidR="005C17B1" w:rsidRDefault="005A7705" w:rsidP="005A7705">
      <w:pPr>
        <w:pStyle w:val="BodyText"/>
      </w:pPr>
      <w:r>
        <w:t xml:space="preserve">The EPA invites the public to comment on the draft EM&amp;V guidance and make recommendations for how it can be improved for the purpose of implementing the applicable </w:t>
      </w:r>
      <w:r w:rsidR="005C17B1">
        <w:t xml:space="preserve">EM&amp;V </w:t>
      </w:r>
      <w:r w:rsidR="0009614B">
        <w:t xml:space="preserve">provisions </w:t>
      </w:r>
      <w:r w:rsidR="005C17B1">
        <w:t>of the CPP</w:t>
      </w:r>
      <w:r>
        <w:t xml:space="preserve">. </w:t>
      </w:r>
    </w:p>
    <w:p w14:paraId="7554B10B" w14:textId="064118E9" w:rsidR="005C17B1" w:rsidRDefault="005C17B1" w:rsidP="005C17B1">
      <w:pPr>
        <w:pStyle w:val="BodyText"/>
      </w:pPr>
      <w:r w:rsidRPr="005C17B1">
        <w:rPr>
          <w:b/>
          <w:i/>
        </w:rPr>
        <w:t xml:space="preserve">Comments pertaining to </w:t>
      </w:r>
      <w:r>
        <w:rPr>
          <w:b/>
          <w:i/>
        </w:rPr>
        <w:t xml:space="preserve">aspects of </w:t>
      </w:r>
      <w:r w:rsidRPr="005C17B1">
        <w:rPr>
          <w:b/>
          <w:i/>
        </w:rPr>
        <w:t xml:space="preserve">the proposed </w:t>
      </w:r>
      <w:r>
        <w:rPr>
          <w:b/>
          <w:i/>
        </w:rPr>
        <w:t>m</w:t>
      </w:r>
      <w:r w:rsidRPr="005C17B1">
        <w:rPr>
          <w:b/>
          <w:i/>
        </w:rPr>
        <w:t xml:space="preserve">odel </w:t>
      </w:r>
      <w:r>
        <w:rPr>
          <w:b/>
          <w:i/>
        </w:rPr>
        <w:t>r</w:t>
      </w:r>
      <w:r w:rsidRPr="005C17B1">
        <w:rPr>
          <w:b/>
          <w:i/>
        </w:rPr>
        <w:t xml:space="preserve">ule must be submitted in the regulatory docket for that action. Such comments should not be submitted to the email address </w:t>
      </w:r>
      <w:r>
        <w:rPr>
          <w:b/>
          <w:i/>
        </w:rPr>
        <w:t>below</w:t>
      </w:r>
      <w:r>
        <w:t>.</w:t>
      </w:r>
    </w:p>
    <w:p w14:paraId="18C21C4E" w14:textId="022967F6" w:rsidR="005A7705" w:rsidRDefault="005A7705" w:rsidP="005A7705">
      <w:pPr>
        <w:pStyle w:val="BodyText"/>
      </w:pPr>
      <w:r>
        <w:t xml:space="preserve">Important information for commenters includes: </w:t>
      </w:r>
    </w:p>
    <w:p w14:paraId="3796668A" w14:textId="76CC4073" w:rsidR="005A7705" w:rsidRDefault="005A7705" w:rsidP="005A7705">
      <w:pPr>
        <w:pStyle w:val="BulletLevel1"/>
      </w:pPr>
      <w:r>
        <w:t>The draft guidance can be accessed</w:t>
      </w:r>
      <w:r w:rsidR="005C17B1">
        <w:t xml:space="preserve"> at</w:t>
      </w:r>
      <w:r>
        <w:t>:</w:t>
      </w:r>
      <w:r w:rsidR="002A5E91" w:rsidRPr="002A5E91">
        <w:t xml:space="preserve"> http://www2.epa.gov/cleanpowerplantoolbox</w:t>
      </w:r>
    </w:p>
    <w:p w14:paraId="1FE89FCA" w14:textId="77777777" w:rsidR="005A7705" w:rsidRDefault="005A7705" w:rsidP="005A7705">
      <w:pPr>
        <w:pStyle w:val="BulletLevel1"/>
      </w:pPr>
      <w:r>
        <w:t>The public will have 90 days following the publication of the proposed model rule in the Federal Register to comment</w:t>
      </w:r>
    </w:p>
    <w:p w14:paraId="3A46D230" w14:textId="609B013A" w:rsidR="005A7705" w:rsidRDefault="005A7705" w:rsidP="005A7705">
      <w:pPr>
        <w:pStyle w:val="BulletLevel1"/>
      </w:pPr>
      <w:r>
        <w:t xml:space="preserve">Comments </w:t>
      </w:r>
      <w:r w:rsidR="0091166A">
        <w:t xml:space="preserve">pertaining to this EM&amp;V guidance </w:t>
      </w:r>
      <w:r>
        <w:t>should be submitted to: emvinput@epa.gov</w:t>
      </w:r>
    </w:p>
    <w:p w14:paraId="49FA520E" w14:textId="77777777" w:rsidR="005A7705" w:rsidRDefault="005A7705" w:rsidP="00E10E70">
      <w:pPr>
        <w:pStyle w:val="BulletLevel1"/>
      </w:pPr>
      <w:r>
        <w:t>All comments received by the EPA will be considered as the EPA works to finalize the EM&amp;V guidance</w:t>
      </w:r>
    </w:p>
    <w:p w14:paraId="79308060" w14:textId="7DA4D94E" w:rsidR="005C17B1" w:rsidRDefault="005C17B1" w:rsidP="005C17B1">
      <w:pPr>
        <w:pStyle w:val="BulletLevel1"/>
      </w:pPr>
      <w:r>
        <w:t xml:space="preserve">The EPA invites the public and all interested stakeholders to comment on any aspect of the draft EM&amp;V guidance; however, </w:t>
      </w:r>
      <w:r w:rsidR="0091166A">
        <w:t xml:space="preserve">as the </w:t>
      </w:r>
      <w:r>
        <w:t xml:space="preserve">EPA </w:t>
      </w:r>
      <w:r w:rsidR="0091166A">
        <w:t xml:space="preserve">works to finalize this draft guidance, the agency </w:t>
      </w:r>
      <w:r>
        <w:t xml:space="preserve">has particular interest in feedback on the following questions:  </w:t>
      </w:r>
    </w:p>
    <w:p w14:paraId="2157FDC7" w14:textId="54C38418" w:rsidR="005C17B1" w:rsidRPr="005C17B1" w:rsidRDefault="00783473" w:rsidP="005C17B1">
      <w:pPr>
        <w:pStyle w:val="BodyText"/>
        <w:numPr>
          <w:ilvl w:val="2"/>
          <w:numId w:val="254"/>
        </w:numPr>
        <w:tabs>
          <w:tab w:val="clear" w:pos="2160"/>
          <w:tab w:val="num" w:pos="1800"/>
        </w:tabs>
        <w:ind w:left="720"/>
      </w:pPr>
      <w:r>
        <w:t xml:space="preserve">Does the </w:t>
      </w:r>
      <w:r w:rsidR="005C17B1" w:rsidRPr="005C17B1">
        <w:t xml:space="preserve">guidance </w:t>
      </w:r>
      <w:r>
        <w:t xml:space="preserve">provide enough information to help EE providers determine </w:t>
      </w:r>
      <w:r w:rsidR="005C17B1" w:rsidRPr="005C17B1">
        <w:t>what EM&amp;V methods (i.e., project-</w:t>
      </w:r>
      <w:r w:rsidR="00894C60">
        <w:t>based</w:t>
      </w:r>
      <w:r w:rsidR="005C17B1" w:rsidRPr="005C17B1">
        <w:t xml:space="preserve"> measurement and verification, comparison group methods, and deemed savings) </w:t>
      </w:r>
      <w:r>
        <w:t xml:space="preserve">to use for purposes of </w:t>
      </w:r>
      <w:r w:rsidR="005C17B1" w:rsidRPr="005C17B1">
        <w:t>quantify</w:t>
      </w:r>
      <w:r>
        <w:t>ing</w:t>
      </w:r>
      <w:r w:rsidR="005C17B1" w:rsidRPr="005C17B1">
        <w:t xml:space="preserve"> </w:t>
      </w:r>
      <w:r>
        <w:t xml:space="preserve">savings from </w:t>
      </w:r>
      <w:r w:rsidR="005C17B1" w:rsidRPr="005C17B1">
        <w:t xml:space="preserve">specific EE programs, projects, and measures? </w:t>
      </w:r>
    </w:p>
    <w:p w14:paraId="416E7DB5" w14:textId="77777777" w:rsidR="007C6013" w:rsidRDefault="005C17B1" w:rsidP="005C17B1">
      <w:pPr>
        <w:pStyle w:val="BodyText"/>
        <w:numPr>
          <w:ilvl w:val="2"/>
          <w:numId w:val="254"/>
        </w:numPr>
        <w:tabs>
          <w:tab w:val="clear" w:pos="2160"/>
          <w:tab w:val="num" w:pos="1800"/>
        </w:tabs>
        <w:ind w:left="720"/>
      </w:pPr>
      <w:r w:rsidRPr="005C17B1">
        <w:t>D</w:t>
      </w:r>
      <w:r w:rsidR="00783473">
        <w:t xml:space="preserve">oes the guidance include sufficient information about the </w:t>
      </w:r>
      <w:r w:rsidRPr="005C17B1">
        <w:t xml:space="preserve">appropriate circumstances </w:t>
      </w:r>
      <w:r w:rsidR="00783473">
        <w:t xml:space="preserve">and safeguards for the use of </w:t>
      </w:r>
      <w:r w:rsidRPr="005C17B1">
        <w:t xml:space="preserve">deemed savings </w:t>
      </w:r>
      <w:r w:rsidR="00783473">
        <w:t>values</w:t>
      </w:r>
      <w:r w:rsidRPr="005C17B1">
        <w:t xml:space="preserve">?  For </w:t>
      </w:r>
      <w:r w:rsidR="00894C60">
        <w:t xml:space="preserve">project-based </w:t>
      </w:r>
      <w:r w:rsidRPr="005C17B1">
        <w:t xml:space="preserve">measurement and verification and comparison group methods?  </w:t>
      </w:r>
    </w:p>
    <w:p w14:paraId="5274392F" w14:textId="053046BC" w:rsidR="00783473" w:rsidRDefault="007C6013" w:rsidP="00E33644">
      <w:pPr>
        <w:pStyle w:val="BodyText"/>
        <w:numPr>
          <w:ilvl w:val="2"/>
          <w:numId w:val="254"/>
        </w:numPr>
        <w:tabs>
          <w:tab w:val="clear" w:pos="2160"/>
          <w:tab w:val="num" w:pos="1800"/>
        </w:tabs>
        <w:ind w:left="720"/>
      </w:pPr>
      <w:r>
        <w:t xml:space="preserve">Should the guidance specifically encourage greater use of comparison group approaches? </w:t>
      </w:r>
      <w:r w:rsidR="003B6623">
        <w:t xml:space="preserve">Under what circumstances is the application of such </w:t>
      </w:r>
      <w:r w:rsidR="003B6623" w:rsidRPr="005C17B1">
        <w:t xml:space="preserve">empirical methods practical and cost-effective? </w:t>
      </w:r>
      <w:r w:rsidR="003B6623">
        <w:t xml:space="preserve">Would additional guidance be useful on </w:t>
      </w:r>
      <w:r>
        <w:t>“top-down” econometric EM&amp;V methods</w:t>
      </w:r>
      <w:r w:rsidR="003B6623">
        <w:t xml:space="preserve">, and the ways in which such methods </w:t>
      </w:r>
      <w:r>
        <w:t>can be used to verify savings at a high level of aggregation?</w:t>
      </w:r>
    </w:p>
    <w:p w14:paraId="2D38D9D1" w14:textId="08B36D4E" w:rsidR="008270E3" w:rsidRDefault="008270E3" w:rsidP="005C17B1">
      <w:pPr>
        <w:pStyle w:val="BodyText"/>
        <w:numPr>
          <w:ilvl w:val="2"/>
          <w:numId w:val="254"/>
        </w:numPr>
        <w:tabs>
          <w:tab w:val="clear" w:pos="2160"/>
          <w:tab w:val="num" w:pos="1800"/>
        </w:tabs>
        <w:ind w:left="720"/>
      </w:pPr>
      <w:r>
        <w:t xml:space="preserve">Is the guidance in Section 3 on particular EE program types </w:t>
      </w:r>
      <w:r w:rsidR="00FD0F3D">
        <w:t xml:space="preserve">(consumer-funded EE programs, project-based EE, building energy codes, and appliance standards) helpful, </w:t>
      </w:r>
      <w:r>
        <w:t>clearly presented</w:t>
      </w:r>
      <w:r w:rsidR="00FD0F3D">
        <w:t>, and sufficient/complete</w:t>
      </w:r>
      <w:r>
        <w:t>? Can this guidance be reasonably implemented</w:t>
      </w:r>
      <w:r w:rsidR="00FD0F3D">
        <w:t>, considering data availability, cost effectiveness, accuracy of results, and other factors?</w:t>
      </w:r>
      <w:r>
        <w:t xml:space="preserve"> </w:t>
      </w:r>
    </w:p>
    <w:p w14:paraId="23EE677D" w14:textId="3474C51E" w:rsidR="00FD0F3D" w:rsidRDefault="00FD0F3D" w:rsidP="00FD0F3D">
      <w:pPr>
        <w:pStyle w:val="BodyText"/>
        <w:numPr>
          <w:ilvl w:val="2"/>
          <w:numId w:val="254"/>
        </w:numPr>
        <w:tabs>
          <w:tab w:val="clear" w:pos="2160"/>
          <w:tab w:val="num" w:pos="1800"/>
        </w:tabs>
        <w:ind w:left="720"/>
      </w:pPr>
      <w:r>
        <w:t xml:space="preserve">Is the guidance on important technical topics (e.g., common practice baselines, accuracy and reliability, verification) helpful, clearly presented, and sufficient/complete?  Can this guidance </w:t>
      </w:r>
      <w:r>
        <w:t>be reasonably implemented, considering data availability, cost effectiveness, accuracy of results</w:t>
      </w:r>
      <w:r>
        <w:t>,</w:t>
      </w:r>
      <w:r>
        <w:t xml:space="preserve"> and other factors? </w:t>
      </w:r>
    </w:p>
    <w:p w14:paraId="7E9A04A3" w14:textId="6773FCE0" w:rsidR="00783473" w:rsidRDefault="00783473" w:rsidP="009E5B01">
      <w:pPr>
        <w:pStyle w:val="BodyText"/>
        <w:numPr>
          <w:ilvl w:val="2"/>
          <w:numId w:val="254"/>
        </w:numPr>
        <w:tabs>
          <w:tab w:val="clear" w:pos="2160"/>
          <w:tab w:val="num" w:pos="1800"/>
        </w:tabs>
        <w:ind w:left="720"/>
      </w:pPr>
      <w:r>
        <w:t xml:space="preserve">How useful and usable is the guidance, overall?  Does the relationship between </w:t>
      </w:r>
      <w:r w:rsidR="00FD0F3D">
        <w:t xml:space="preserve">the component parts (i.e., </w:t>
      </w:r>
      <w:r>
        <w:t>Sections 1-3 and Appendices A-C</w:t>
      </w:r>
      <w:r w:rsidR="00FD0F3D">
        <w:t>) clear and relatively easy to follow</w:t>
      </w:r>
      <w:r>
        <w:t xml:space="preserve">?  Is each of these </w:t>
      </w:r>
      <w:r w:rsidR="00FD0F3D">
        <w:t xml:space="preserve">sections and appendices </w:t>
      </w:r>
      <w:r>
        <w:t>helpful</w:t>
      </w:r>
      <w:r w:rsidR="00FD0F3D">
        <w:t>, clearly presented, and sufficient/complete</w:t>
      </w:r>
      <w:r>
        <w:t>?</w:t>
      </w:r>
      <w:r w:rsidR="00FD0F3D">
        <w:t xml:space="preserve"> </w:t>
      </w:r>
      <w:r w:rsidR="00FD0F3D" w:rsidRPr="00FD0F3D">
        <w:t xml:space="preserve">What specific </w:t>
      </w:r>
      <w:r w:rsidR="00FD0F3D" w:rsidRPr="00FD0F3D">
        <w:lastRenderedPageBreak/>
        <w:t>examples, graphics, or other visual elements would help illustrate concepts described in the guidance?</w:t>
      </w:r>
    </w:p>
    <w:p w14:paraId="16973A93" w14:textId="0AF1A27E" w:rsidR="00783473" w:rsidRDefault="00783473" w:rsidP="00FD0F3D">
      <w:pPr>
        <w:pStyle w:val="BodyText"/>
        <w:numPr>
          <w:ilvl w:val="2"/>
          <w:numId w:val="254"/>
        </w:numPr>
        <w:tabs>
          <w:tab w:val="clear" w:pos="2160"/>
          <w:tab w:val="num" w:pos="1800"/>
        </w:tabs>
        <w:ind w:left="720"/>
      </w:pPr>
      <w:r>
        <w:t xml:space="preserve">Does the guidance </w:t>
      </w:r>
      <w:r>
        <w:rPr>
          <w:i/>
        </w:rPr>
        <w:t xml:space="preserve">not </w:t>
      </w:r>
      <w:r>
        <w:t>cover any important EM&amp;V topics relevant to fulfilling the EM&amp;V related requirements of the emission guidelines?</w:t>
      </w:r>
      <w:r w:rsidR="00FD0F3D">
        <w:t xml:space="preserve">  </w:t>
      </w:r>
      <w:r w:rsidR="00FD0F3D" w:rsidRPr="00FD0F3D">
        <w:t>Is additional guidance needed to support the implementation of other eligible zero- and low-emitting meas</w:t>
      </w:r>
      <w:r w:rsidR="00FD0F3D">
        <w:t xml:space="preserve">ures that are directly metered? What topics, if any, are unnecessarily included?  </w:t>
      </w:r>
    </w:p>
    <w:p w14:paraId="30AE63D6" w14:textId="77777777" w:rsidR="008270E3" w:rsidRPr="005C17B1" w:rsidRDefault="008270E3" w:rsidP="008270E3">
      <w:pPr>
        <w:pStyle w:val="BodyText"/>
        <w:numPr>
          <w:ilvl w:val="2"/>
          <w:numId w:val="254"/>
        </w:numPr>
        <w:tabs>
          <w:tab w:val="clear" w:pos="2160"/>
          <w:tab w:val="num" w:pos="1800"/>
        </w:tabs>
        <w:ind w:left="720"/>
      </w:pPr>
      <w:r>
        <w:t xml:space="preserve">How can the guidance most effectively </w:t>
      </w:r>
      <w:r w:rsidRPr="005C17B1">
        <w:t xml:space="preserve">anticipate the expected changes and evolution in quantification and verification approaches over time (given the time horizon for the emission guidelines)?   </w:t>
      </w:r>
    </w:p>
    <w:p w14:paraId="349D3AAC" w14:textId="77777777" w:rsidR="005C17B1" w:rsidRPr="005C17B1" w:rsidRDefault="005C17B1" w:rsidP="008270E3">
      <w:pPr>
        <w:pStyle w:val="BodyText"/>
      </w:pPr>
    </w:p>
    <w:p w14:paraId="0EE0B1CD" w14:textId="77777777" w:rsidR="005C17B1" w:rsidRPr="005C17B1" w:rsidRDefault="005C17B1" w:rsidP="005C17B1">
      <w:pPr>
        <w:pStyle w:val="BodyText"/>
      </w:pPr>
    </w:p>
    <w:p w14:paraId="397C2352" w14:textId="77777777" w:rsidR="00B22636" w:rsidRDefault="00B22636" w:rsidP="00AB6C96">
      <w:pPr>
        <w:rPr>
          <w:rFonts w:eastAsia="Times New Roman"/>
          <w:sz w:val="28"/>
          <w:szCs w:val="20"/>
        </w:rPr>
      </w:pPr>
      <w:r w:rsidRPr="008D6F4E">
        <w:rPr>
          <w:rFonts w:asciiTheme="majorHAnsi" w:hAnsiTheme="majorHAnsi"/>
        </w:rPr>
        <w:br w:type="page"/>
      </w:r>
    </w:p>
    <w:p w14:paraId="6A63E544" w14:textId="77777777" w:rsidR="00B22636" w:rsidRPr="00A7610B" w:rsidRDefault="00B22636" w:rsidP="00AB6C96">
      <w:pPr>
        <w:pStyle w:val="FrontMatterHeading"/>
      </w:pPr>
      <w:bookmarkStart w:id="1" w:name="_Toc426044615"/>
      <w:r w:rsidRPr="00A7610B">
        <w:lastRenderedPageBreak/>
        <w:t>Acronyms</w:t>
      </w:r>
      <w:r w:rsidR="002B110B" w:rsidRPr="00A7610B">
        <w:t xml:space="preserve"> and </w:t>
      </w:r>
      <w:commentRangeStart w:id="2"/>
      <w:r w:rsidR="002B110B" w:rsidRPr="00A7610B">
        <w:t>Abbreviations</w:t>
      </w:r>
      <w:bookmarkEnd w:id="1"/>
      <w:commentRangeEnd w:id="2"/>
      <w:r w:rsidR="00F54E17">
        <w:rPr>
          <w:rStyle w:val="CommentReference"/>
          <w:rFonts w:ascii="Times New Roman" w:eastAsiaTheme="minorEastAsia" w:hAnsi="Times New Roman" w:cstheme="minorBidi"/>
          <w:b w:val="0"/>
        </w:rPr>
        <w:commentReference w:id="2"/>
      </w:r>
    </w:p>
    <w:p w14:paraId="155F51CC" w14:textId="77777777" w:rsidR="00B22636" w:rsidRPr="008D6F4E" w:rsidRDefault="00B22636" w:rsidP="00AB6C96">
      <w:pPr>
        <w:pStyle w:val="BodyText"/>
        <w:widowControl/>
        <w:spacing w:after="0"/>
      </w:pPr>
      <w:r w:rsidRPr="008D6F4E">
        <w:t>ANSI - American National Standards Institute</w:t>
      </w:r>
    </w:p>
    <w:p w14:paraId="04D1CEC3" w14:textId="77777777" w:rsidR="00B22636" w:rsidRPr="008D6F4E" w:rsidRDefault="00B22636" w:rsidP="00AB6C96">
      <w:pPr>
        <w:pStyle w:val="BodyText"/>
        <w:widowControl/>
        <w:spacing w:after="0"/>
      </w:pPr>
      <w:r w:rsidRPr="008D6F4E">
        <w:t xml:space="preserve">ASHRAE - American Society of Heating, Refrigerating, and Air-Conditioning Engineers </w:t>
      </w:r>
    </w:p>
    <w:p w14:paraId="7FF5C589" w14:textId="77777777" w:rsidR="00B22636" w:rsidRPr="008D6F4E" w:rsidRDefault="00B22636" w:rsidP="00AB6C96">
      <w:pPr>
        <w:pStyle w:val="BodyText"/>
        <w:widowControl/>
        <w:spacing w:after="0"/>
      </w:pPr>
      <w:r w:rsidRPr="008D6F4E">
        <w:t>ASME – American Society of Mechanical Engineers</w:t>
      </w:r>
    </w:p>
    <w:p w14:paraId="12A8098A" w14:textId="77777777" w:rsidR="00B22636" w:rsidRPr="008D6F4E" w:rsidRDefault="00B22636" w:rsidP="00AB6C96">
      <w:pPr>
        <w:pStyle w:val="BodyText"/>
        <w:widowControl/>
        <w:spacing w:after="0"/>
        <w:rPr>
          <w:b/>
        </w:rPr>
      </w:pPr>
      <w:r w:rsidRPr="008D6F4E">
        <w:t xml:space="preserve">CHP – Combined Heat and </w:t>
      </w:r>
      <w:r w:rsidRPr="008D6F4E">
        <w:rPr>
          <w:rStyle w:val="PageNumber"/>
          <w:rFonts w:asciiTheme="majorHAnsi" w:hAnsiTheme="majorHAnsi"/>
        </w:rPr>
        <w:t>Power (electricity generation systems)</w:t>
      </w:r>
    </w:p>
    <w:p w14:paraId="5382B4D8" w14:textId="77777777" w:rsidR="00B22636" w:rsidRPr="008D6F4E" w:rsidRDefault="00B22636" w:rsidP="00AB6C96">
      <w:pPr>
        <w:pStyle w:val="BodyText"/>
        <w:widowControl/>
        <w:spacing w:after="0"/>
      </w:pPr>
      <w:r w:rsidRPr="008D6F4E">
        <w:t xml:space="preserve">C&amp;S - Building Energy Code and Product Energy Standard </w:t>
      </w:r>
    </w:p>
    <w:p w14:paraId="5860A7C5" w14:textId="77777777" w:rsidR="00B22636" w:rsidRPr="008D6F4E" w:rsidRDefault="00B22636" w:rsidP="00AB6C96">
      <w:pPr>
        <w:pStyle w:val="BodyText"/>
        <w:widowControl/>
        <w:spacing w:after="0"/>
      </w:pPr>
      <w:r w:rsidRPr="008D6F4E">
        <w:t xml:space="preserve">CPP – Clean Power </w:t>
      </w:r>
      <w:r w:rsidR="008247A8">
        <w:t>P</w:t>
      </w:r>
      <w:r w:rsidRPr="008D6F4E">
        <w:t xml:space="preserve">lan </w:t>
      </w:r>
    </w:p>
    <w:p w14:paraId="0F112096" w14:textId="77777777" w:rsidR="00B22636" w:rsidRDefault="00B22636" w:rsidP="00AB6C96">
      <w:pPr>
        <w:pStyle w:val="BodyText"/>
        <w:widowControl/>
        <w:spacing w:after="0"/>
      </w:pPr>
      <w:r w:rsidRPr="008D6F4E">
        <w:t>CPB - Common Practice Baseline</w:t>
      </w:r>
    </w:p>
    <w:p w14:paraId="1F1BE32D" w14:textId="77777777" w:rsidR="00B22636" w:rsidRPr="008D6F4E" w:rsidRDefault="00B22636" w:rsidP="00AB6C96">
      <w:pPr>
        <w:pStyle w:val="BodyText"/>
        <w:widowControl/>
        <w:spacing w:after="0"/>
      </w:pPr>
      <w:r w:rsidRPr="008D6F4E">
        <w:t>CSF – Control Savings Factor (for lighting controls)</w:t>
      </w:r>
    </w:p>
    <w:p w14:paraId="0BE6F02B" w14:textId="77777777" w:rsidR="00B22636" w:rsidRPr="008D6F4E" w:rsidRDefault="00B22636" w:rsidP="00AB6C96">
      <w:pPr>
        <w:pStyle w:val="BodyText"/>
        <w:widowControl/>
        <w:spacing w:after="0"/>
      </w:pPr>
      <w:r w:rsidRPr="008D6F4E">
        <w:t>EGU - Electricity Generation Units</w:t>
      </w:r>
    </w:p>
    <w:p w14:paraId="35986BA7" w14:textId="77777777" w:rsidR="00B22636" w:rsidRDefault="00B22636" w:rsidP="00AB6C96">
      <w:pPr>
        <w:pStyle w:val="BodyText"/>
        <w:widowControl/>
        <w:spacing w:after="0"/>
      </w:pPr>
      <w:r w:rsidRPr="008D6F4E">
        <w:t>EE – Energy efficiency</w:t>
      </w:r>
    </w:p>
    <w:p w14:paraId="3366AAD4" w14:textId="77777777" w:rsidR="00B22636" w:rsidRPr="008D6F4E" w:rsidRDefault="00B22636" w:rsidP="00AB6C96">
      <w:pPr>
        <w:pStyle w:val="BodyText"/>
        <w:widowControl/>
        <w:spacing w:after="0"/>
      </w:pPr>
      <w:r>
        <w:t>EERS – Energy Efficiency Resource Standard</w:t>
      </w:r>
    </w:p>
    <w:p w14:paraId="04B45399" w14:textId="77777777" w:rsidR="00B22636" w:rsidRPr="008D6F4E" w:rsidRDefault="00B22636" w:rsidP="00AB6C96">
      <w:pPr>
        <w:pStyle w:val="BodyText"/>
        <w:widowControl/>
        <w:spacing w:after="0"/>
      </w:pPr>
      <w:r w:rsidRPr="008D6F4E">
        <w:t>ESCO – Energy services company</w:t>
      </w:r>
    </w:p>
    <w:p w14:paraId="14F7BA20" w14:textId="77777777" w:rsidR="00B22636" w:rsidRPr="008D6F4E" w:rsidRDefault="00B22636" w:rsidP="00AB6C96">
      <w:pPr>
        <w:pStyle w:val="BodyText"/>
        <w:widowControl/>
        <w:spacing w:after="0"/>
      </w:pPr>
      <w:r w:rsidRPr="008D6F4E">
        <w:t xml:space="preserve">EFLH – Equivalent full load hours </w:t>
      </w:r>
    </w:p>
    <w:p w14:paraId="7EAC112C" w14:textId="77777777" w:rsidR="00B22636" w:rsidRPr="008D6F4E" w:rsidRDefault="00B22636" w:rsidP="00AB6C96">
      <w:pPr>
        <w:pStyle w:val="BodyText"/>
        <w:widowControl/>
        <w:spacing w:after="0"/>
      </w:pPr>
      <w:r w:rsidRPr="008D6F4E">
        <w:t>EM&amp;V – Evaluation, Measurement</w:t>
      </w:r>
      <w:r w:rsidR="00E41233">
        <w:t>,</w:t>
      </w:r>
      <w:r w:rsidRPr="008D6F4E">
        <w:t xml:space="preserve"> and Verification</w:t>
      </w:r>
    </w:p>
    <w:p w14:paraId="2A1BC3FD" w14:textId="77777777" w:rsidR="00B22636" w:rsidRPr="008D6F4E" w:rsidRDefault="00B22636" w:rsidP="00AB6C96">
      <w:pPr>
        <w:pStyle w:val="BodyText"/>
        <w:widowControl/>
        <w:spacing w:after="0"/>
      </w:pPr>
      <w:r w:rsidRPr="008D6F4E">
        <w:t>EPA – (United States) Environmental Protection Agency</w:t>
      </w:r>
    </w:p>
    <w:p w14:paraId="063A9642" w14:textId="77777777" w:rsidR="00B22636" w:rsidRPr="008D6F4E" w:rsidRDefault="00B22636" w:rsidP="00AB6C96">
      <w:pPr>
        <w:pStyle w:val="BodyText"/>
        <w:widowControl/>
        <w:spacing w:after="0"/>
      </w:pPr>
      <w:r w:rsidRPr="008D6F4E">
        <w:t>EUL – Effective Useful Life</w:t>
      </w:r>
    </w:p>
    <w:p w14:paraId="10A3112F" w14:textId="77777777" w:rsidR="00B22636" w:rsidRPr="008D6F4E" w:rsidRDefault="00B22636" w:rsidP="00AB6C96">
      <w:pPr>
        <w:pStyle w:val="BodyText"/>
        <w:widowControl/>
        <w:spacing w:after="0"/>
      </w:pPr>
      <w:r w:rsidRPr="008D6F4E">
        <w:t xml:space="preserve">FEMP – (U.S. Department of Energy) Federal Energy Management Program </w:t>
      </w:r>
    </w:p>
    <w:p w14:paraId="5AD6FC2F" w14:textId="77777777" w:rsidR="00B22636" w:rsidRPr="008D6F4E" w:rsidRDefault="00B22636" w:rsidP="00AB6C96">
      <w:pPr>
        <w:pStyle w:val="BodyText"/>
        <w:widowControl/>
        <w:spacing w:after="0"/>
      </w:pPr>
      <w:r w:rsidRPr="008D6F4E">
        <w:t>HVAC - Heating, Ventilating</w:t>
      </w:r>
      <w:r w:rsidR="00E41233">
        <w:t>,</w:t>
      </w:r>
      <w:r w:rsidRPr="008D6F4E">
        <w:t xml:space="preserve"> and Air-Conditioning </w:t>
      </w:r>
    </w:p>
    <w:p w14:paraId="04957530" w14:textId="77777777" w:rsidR="00B22636" w:rsidRPr="008D6F4E" w:rsidRDefault="00B22636" w:rsidP="00AB6C96">
      <w:pPr>
        <w:pStyle w:val="BodyText"/>
        <w:widowControl/>
        <w:spacing w:after="0"/>
      </w:pPr>
      <w:r w:rsidRPr="008D6F4E">
        <w:t>HHV – High Heating Value</w:t>
      </w:r>
    </w:p>
    <w:p w14:paraId="74BD6B4E" w14:textId="77777777" w:rsidR="00B22636" w:rsidRPr="008D6F4E" w:rsidRDefault="00B22636" w:rsidP="00AB6C96">
      <w:pPr>
        <w:pStyle w:val="BodyText"/>
        <w:widowControl/>
        <w:spacing w:after="0"/>
      </w:pPr>
      <w:r w:rsidRPr="008D6F4E">
        <w:t>IE – Independent third-party evaluator</w:t>
      </w:r>
    </w:p>
    <w:p w14:paraId="21CA8A5F" w14:textId="77777777" w:rsidR="00B22636" w:rsidRPr="008D6F4E" w:rsidRDefault="00B22636" w:rsidP="00AB6C96">
      <w:pPr>
        <w:pStyle w:val="BodyText"/>
        <w:widowControl/>
        <w:spacing w:after="0"/>
      </w:pPr>
      <w:r w:rsidRPr="008D6F4E">
        <w:t xml:space="preserve">IPMVP - International Performance Measurement and Verification Protocol </w:t>
      </w:r>
    </w:p>
    <w:p w14:paraId="722B1BE0" w14:textId="77777777" w:rsidR="00B22636" w:rsidRDefault="00B22636" w:rsidP="00AB6C96">
      <w:pPr>
        <w:pStyle w:val="BodyText"/>
        <w:widowControl/>
        <w:spacing w:after="0"/>
      </w:pPr>
      <w:r>
        <w:t>LED–Light emitting diode</w:t>
      </w:r>
    </w:p>
    <w:p w14:paraId="7AD95782" w14:textId="77777777" w:rsidR="00B22636" w:rsidRPr="008D6F4E" w:rsidRDefault="00B22636" w:rsidP="00AB6C96">
      <w:pPr>
        <w:pStyle w:val="BodyText"/>
        <w:widowControl/>
        <w:spacing w:after="0"/>
      </w:pPr>
      <w:r w:rsidRPr="008D6F4E">
        <w:t>LHV – Low Heating Value</w:t>
      </w:r>
    </w:p>
    <w:p w14:paraId="19F85820" w14:textId="77777777" w:rsidR="00B22636" w:rsidRPr="008D6F4E" w:rsidRDefault="00B22636" w:rsidP="00AB6C96">
      <w:pPr>
        <w:pStyle w:val="BodyText"/>
        <w:widowControl/>
        <w:spacing w:after="0"/>
      </w:pPr>
      <w:proofErr w:type="spellStart"/>
      <w:r w:rsidRPr="008D6F4E">
        <w:t>MMBtu</w:t>
      </w:r>
      <w:proofErr w:type="spellEnd"/>
      <w:r w:rsidRPr="008D6F4E">
        <w:t xml:space="preserve"> – million British Thermal Units</w:t>
      </w:r>
    </w:p>
    <w:p w14:paraId="675989AE" w14:textId="77777777" w:rsidR="00B22636" w:rsidRPr="008D6F4E" w:rsidRDefault="00B22636" w:rsidP="00AB6C96">
      <w:pPr>
        <w:pStyle w:val="BodyText"/>
        <w:widowControl/>
        <w:spacing w:after="0"/>
      </w:pPr>
      <w:r w:rsidRPr="008D6F4E">
        <w:t xml:space="preserve">MFG - Multi-Fuel Generator </w:t>
      </w:r>
    </w:p>
    <w:p w14:paraId="7103D20B" w14:textId="77777777" w:rsidR="00B22636" w:rsidRPr="008D6F4E" w:rsidRDefault="00B22636" w:rsidP="00AB6C96">
      <w:pPr>
        <w:pStyle w:val="BodyText"/>
        <w:widowControl/>
        <w:spacing w:after="0"/>
      </w:pPr>
      <w:proofErr w:type="spellStart"/>
      <w:r w:rsidRPr="008D6F4E">
        <w:t>MWh</w:t>
      </w:r>
      <w:proofErr w:type="spellEnd"/>
      <w:r w:rsidRPr="008D6F4E">
        <w:t xml:space="preserve"> – Megawatt-hour</w:t>
      </w:r>
    </w:p>
    <w:p w14:paraId="1E48C874" w14:textId="7AF0E983" w:rsidR="0091166A" w:rsidRDefault="0091166A" w:rsidP="00AB6C96">
      <w:pPr>
        <w:pStyle w:val="BodyText"/>
        <w:widowControl/>
        <w:spacing w:after="0"/>
      </w:pPr>
      <w:r>
        <w:t xml:space="preserve">PB-MV </w:t>
      </w:r>
      <w:r w:rsidRPr="008D6F4E">
        <w:t>–</w:t>
      </w:r>
      <w:r>
        <w:t xml:space="preserve"> Project-based measurement and verification</w:t>
      </w:r>
    </w:p>
    <w:p w14:paraId="3A9DD72C" w14:textId="77777777" w:rsidR="00B22636" w:rsidRPr="008D6F4E" w:rsidRDefault="00B22636" w:rsidP="00AB6C96">
      <w:pPr>
        <w:pStyle w:val="BodyText"/>
        <w:widowControl/>
        <w:spacing w:after="0"/>
      </w:pPr>
      <w:r w:rsidRPr="008D6F4E">
        <w:t>RCT - Randomized Control Trial</w:t>
      </w:r>
    </w:p>
    <w:p w14:paraId="54549178" w14:textId="77777777" w:rsidR="00B22636" w:rsidRPr="008D6F4E" w:rsidRDefault="00B22636" w:rsidP="00AB6C96">
      <w:pPr>
        <w:pStyle w:val="BodyText"/>
        <w:widowControl/>
        <w:spacing w:after="0"/>
      </w:pPr>
      <w:r w:rsidRPr="008D6F4E">
        <w:t>RTF – (Northwest Power and Conservation Council Northwest) Regional Technical Forum</w:t>
      </w:r>
    </w:p>
    <w:p w14:paraId="4B5D844E" w14:textId="77777777" w:rsidR="00B22636" w:rsidRDefault="00B22636" w:rsidP="00AB6C96">
      <w:pPr>
        <w:pStyle w:val="BodyText"/>
        <w:widowControl/>
        <w:spacing w:after="0"/>
      </w:pPr>
      <w:r w:rsidRPr="008D6F4E">
        <w:t>RE – Renewable energy</w:t>
      </w:r>
    </w:p>
    <w:p w14:paraId="5DA98AC3" w14:textId="77777777" w:rsidR="00B22636" w:rsidRPr="008D6F4E" w:rsidRDefault="00B22636" w:rsidP="00AB6C96">
      <w:pPr>
        <w:pStyle w:val="BodyText"/>
        <w:widowControl/>
        <w:spacing w:after="0"/>
      </w:pPr>
      <w:r>
        <w:t>REC – Renewable Energy Certificate</w:t>
      </w:r>
    </w:p>
    <w:p w14:paraId="4C3D404B" w14:textId="77777777" w:rsidR="00B22636" w:rsidRPr="008D6F4E" w:rsidRDefault="00B22636" w:rsidP="00AB6C96">
      <w:pPr>
        <w:pStyle w:val="BodyText"/>
        <w:widowControl/>
        <w:spacing w:after="0"/>
      </w:pPr>
      <w:r w:rsidRPr="008D6F4E">
        <w:t>RGU – Renewable generating unit</w:t>
      </w:r>
    </w:p>
    <w:p w14:paraId="64D854D6" w14:textId="77777777" w:rsidR="002603D6" w:rsidRDefault="002603D6" w:rsidP="00AB6C96">
      <w:pPr>
        <w:pStyle w:val="BodyText"/>
        <w:widowControl/>
        <w:spacing w:after="0"/>
      </w:pPr>
      <w:r>
        <w:t>RUL – Remaining Useful Life</w:t>
      </w:r>
    </w:p>
    <w:p w14:paraId="5A3B7C8B" w14:textId="77777777" w:rsidR="00B22636" w:rsidRDefault="00B22636" w:rsidP="00AB6C96">
      <w:pPr>
        <w:pStyle w:val="BodyText"/>
        <w:widowControl/>
        <w:spacing w:after="0"/>
      </w:pPr>
      <w:r>
        <w:t>SEE ACTION – State and Local Energy Efficiency Action Network</w:t>
      </w:r>
    </w:p>
    <w:p w14:paraId="3725C26E" w14:textId="77777777" w:rsidR="00B22636" w:rsidRPr="008D6F4E" w:rsidRDefault="00B22636" w:rsidP="00AB6C96">
      <w:pPr>
        <w:pStyle w:val="BodyText"/>
        <w:widowControl/>
        <w:spacing w:after="0"/>
      </w:pPr>
      <w:r w:rsidRPr="008D6F4E">
        <w:t xml:space="preserve">T&amp;D - </w:t>
      </w:r>
      <w:r w:rsidRPr="008D6F4E">
        <w:rPr>
          <w:szCs w:val="22"/>
        </w:rPr>
        <w:t>Transmission and distribution (system)</w:t>
      </w:r>
    </w:p>
    <w:p w14:paraId="3EA0B8F2" w14:textId="58505E91" w:rsidR="00B22636" w:rsidRPr="008D6F4E" w:rsidRDefault="00B22636" w:rsidP="00AB6C96">
      <w:pPr>
        <w:pStyle w:val="BodyText"/>
        <w:widowControl/>
        <w:spacing w:after="0"/>
      </w:pPr>
      <w:r w:rsidRPr="008D6F4E">
        <w:t>UMP – (United States Department of Energy) Uniform Method</w:t>
      </w:r>
      <w:r w:rsidR="0091166A">
        <w:t>s</w:t>
      </w:r>
      <w:r w:rsidRPr="008D6F4E">
        <w:t xml:space="preserve"> Project</w:t>
      </w:r>
    </w:p>
    <w:p w14:paraId="36E40497" w14:textId="77777777" w:rsidR="00B22636" w:rsidRDefault="00B22636" w:rsidP="00AB6C96">
      <w:pPr>
        <w:pStyle w:val="BodyText"/>
        <w:widowControl/>
        <w:spacing w:after="0"/>
      </w:pPr>
      <w:r w:rsidRPr="008D6F4E">
        <w:rPr>
          <w:rFonts w:cs="Calibri"/>
        </w:rPr>
        <w:t>WHP - Waste heat to power</w:t>
      </w:r>
      <w:r w:rsidRPr="00E549BE">
        <w:t xml:space="preserve"> </w:t>
      </w:r>
      <w:r w:rsidRPr="0025471D">
        <w:t>(electricity generation systems)</w:t>
      </w:r>
    </w:p>
    <w:p w14:paraId="6490E52D" w14:textId="77777777" w:rsidR="00B22636" w:rsidRPr="008D6F4E" w:rsidRDefault="00B22636" w:rsidP="00AB6C96">
      <w:pPr>
        <w:pStyle w:val="BodyText"/>
        <w:widowControl/>
        <w:spacing w:after="0"/>
      </w:pPr>
    </w:p>
    <w:p w14:paraId="25B4E4C3" w14:textId="77777777" w:rsidR="00B22636" w:rsidRPr="00703A52" w:rsidRDefault="00B22636" w:rsidP="00703A52">
      <w:pPr>
        <w:sectPr w:rsidR="00B22636" w:rsidRPr="00703A52" w:rsidSect="00AD3C72">
          <w:footerReference w:type="default" r:id="rId13"/>
          <w:pgSz w:w="12240" w:h="15840"/>
          <w:pgMar w:top="1440" w:right="1440" w:bottom="1440" w:left="1440" w:header="720" w:footer="720" w:gutter="0"/>
          <w:pgNumType w:fmt="lowerRoman"/>
          <w:cols w:space="720"/>
        </w:sectPr>
      </w:pPr>
      <w:bookmarkStart w:id="3" w:name="_Toc415668658"/>
    </w:p>
    <w:p w14:paraId="27B8D885" w14:textId="77777777" w:rsidR="00CB6FBA" w:rsidRDefault="002B110B" w:rsidP="00AB6C96">
      <w:pPr>
        <w:pStyle w:val="Heading1"/>
        <w:numPr>
          <w:ilvl w:val="0"/>
          <w:numId w:val="154"/>
        </w:numPr>
      </w:pPr>
      <w:bookmarkStart w:id="4" w:name="_Toc426044616"/>
      <w:r>
        <w:lastRenderedPageBreak/>
        <w:t>Introduction</w:t>
      </w:r>
      <w:bookmarkEnd w:id="4"/>
      <w:r>
        <w:t xml:space="preserve"> </w:t>
      </w:r>
    </w:p>
    <w:p w14:paraId="0F7FCB4A" w14:textId="1ACB6EAD" w:rsidR="004928FC" w:rsidRPr="00075C89" w:rsidRDefault="004928FC" w:rsidP="004928FC">
      <w:pPr>
        <w:pStyle w:val="BodyText"/>
      </w:pPr>
      <w:r>
        <w:t>The Clean Power Plan (CPP) supports the use of demand-side energy efficiency (EE) as a proven, cost-effective, and widely available emission reduction measure</w:t>
      </w:r>
      <w:r w:rsidR="00315927">
        <w:rPr>
          <w:rStyle w:val="FootnoteReference"/>
        </w:rPr>
        <w:footnoteReference w:id="2"/>
      </w:r>
      <w:r>
        <w:t xml:space="preserve"> for the power sector. States, private </w:t>
      </w:r>
      <w:r w:rsidR="00074DA5">
        <w:t xml:space="preserve">organizations and </w:t>
      </w:r>
      <w:r>
        <w:t xml:space="preserve">firms, and other entities around the country have already made substantial investments in EE programs and projects, resulting in lower electricity costs, reduced air emissions, and cleaner air. The EPA expects such investments to continue, and has established provisions in the CPP for crediting the resulting EE savings in certain state </w:t>
      </w:r>
      <w:r w:rsidRPr="00075C89">
        <w:t xml:space="preserve">plans that demonstrate compliance in terms of an emission rate. </w:t>
      </w:r>
    </w:p>
    <w:p w14:paraId="0DD6EA79" w14:textId="4E5BF816" w:rsidR="004928FC" w:rsidRPr="003F28B1" w:rsidRDefault="004928FC" w:rsidP="004928FC">
      <w:pPr>
        <w:pStyle w:val="BodyText"/>
        <w:rPr>
          <w:rFonts w:asciiTheme="majorHAnsi" w:hAnsiTheme="majorHAnsi" w:cstheme="majorHAnsi"/>
        </w:rPr>
      </w:pPr>
      <w:r w:rsidRPr="00075C89">
        <w:t xml:space="preserve">To ensure that EE measures are quantifiable and verifiable, </w:t>
      </w:r>
      <w:r w:rsidRPr="00075C89">
        <w:rPr>
          <w:rFonts w:asciiTheme="majorHAnsi" w:hAnsiTheme="majorHAnsi" w:cstheme="majorHAnsi"/>
        </w:rPr>
        <w:t xml:space="preserve">the </w:t>
      </w:r>
      <w:r w:rsidRPr="00075C89">
        <w:rPr>
          <w:rFonts w:asciiTheme="majorHAnsi" w:hAnsiTheme="majorHAnsi" w:cstheme="majorHAnsi"/>
          <w:iCs/>
        </w:rPr>
        <w:t>EPA’s final emission guidelines require that all EE providers demonstrate</w:t>
      </w:r>
      <w:r w:rsidRPr="003F28B1">
        <w:rPr>
          <w:rFonts w:asciiTheme="majorHAnsi" w:hAnsiTheme="majorHAnsi" w:cstheme="majorHAnsi"/>
          <w:iCs/>
        </w:rPr>
        <w:t xml:space="preserve"> that they will </w:t>
      </w:r>
      <w:r w:rsidR="001B28EE">
        <w:rPr>
          <w:rFonts w:asciiTheme="majorHAnsi" w:hAnsiTheme="majorHAnsi" w:cstheme="majorHAnsi"/>
          <w:iCs/>
        </w:rPr>
        <w:t xml:space="preserve">apply </w:t>
      </w:r>
      <w:r w:rsidRPr="003F28B1">
        <w:rPr>
          <w:rFonts w:asciiTheme="majorHAnsi" w:hAnsiTheme="majorHAnsi" w:cstheme="majorHAnsi"/>
          <w:iCs/>
        </w:rPr>
        <w:t>best-practice EM&amp;V approaches (as discussed in Section VIII.K.3 of the preamble).  One way to make this demonstration is to use the presumptively approvable EM&amp;V approaches specified in the proposed model rule in Section IV.D.8.</w:t>
      </w:r>
      <w:r w:rsidRPr="003F28B1">
        <w:rPr>
          <w:rFonts w:asciiTheme="majorHAnsi" w:hAnsiTheme="majorHAnsi" w:cstheme="majorHAnsi"/>
        </w:rPr>
        <w:t xml:space="preserve"> States may also submit other means of meeting the EM&amp;V requirements so long as the state satisfactorily demonstrates in the state plan submittal that such alternative means of addressing requirements are as stringent as the presumptively approvable approach.</w:t>
      </w:r>
    </w:p>
    <w:p w14:paraId="34A68C95" w14:textId="0AF54B89" w:rsidR="004928FC" w:rsidRDefault="001B28EE" w:rsidP="004928FC">
      <w:pPr>
        <w:pStyle w:val="BodyText"/>
      </w:pPr>
      <w:r>
        <w:t xml:space="preserve">The EPA is providing this draft evaluation, measurement, and verification (EM&amp;V) guidance </w:t>
      </w:r>
      <w:r w:rsidR="00074DA5">
        <w:t xml:space="preserve">as supplemental information </w:t>
      </w:r>
      <w:r>
        <w:t>to help states and EE providers successfully implement the EM&amp;V provisions in the emission guidelines and proposed model rule.</w:t>
      </w:r>
      <w:r w:rsidR="004928FC">
        <w:t xml:space="preserve"> Contents include background information and EM&amp;V </w:t>
      </w:r>
      <w:r w:rsidR="00075C89">
        <w:t>terms</w:t>
      </w:r>
      <w:r w:rsidR="004928FC">
        <w:t xml:space="preserve">, best practices for selecting and applying quantification protocols and methods, procedures for determining appropriate baselines, and other key EM&amp;V topics. </w:t>
      </w:r>
      <w:r w:rsidR="00074DA5">
        <w:t>The guidance is not a regulatory document, and reading this document does not substitute for a thorough review of the applicable regulatory requirements and provisions.</w:t>
      </w:r>
    </w:p>
    <w:p w14:paraId="746BFA88" w14:textId="77777777" w:rsidR="004928FC" w:rsidRDefault="004928FC" w:rsidP="004928FC">
      <w:pPr>
        <w:pStyle w:val="BodyText"/>
      </w:pPr>
      <w:r>
        <w:t>The scope of the guidance is limited to EM&amp;V for demand-side EE. For renewable energy and other zero- and low-emitting measures that generate electricity, all applicable requirements for quantification and verification are provided in the emission guidelines and proposed model rule, and no further guidance is offered at this time. The EM&amp;V guidance similarly does not apply to states submitting mass (or tonnage) based plans. In these cases, compliance is determined solely by CO</w:t>
      </w:r>
      <w:r w:rsidRPr="00AC4956">
        <w:rPr>
          <w:vertAlign w:val="subscript"/>
        </w:rPr>
        <w:t>2</w:t>
      </w:r>
      <w:r>
        <w:t xml:space="preserve"> emissions measurements at the affected source.</w:t>
      </w:r>
    </w:p>
    <w:p w14:paraId="0B19A404" w14:textId="77777777" w:rsidR="00F1726B" w:rsidRDefault="00F1726B" w:rsidP="00AB6C96">
      <w:pPr>
        <w:pStyle w:val="Heading2"/>
        <w:rPr>
          <w:rFonts w:eastAsia="Courier New"/>
        </w:rPr>
      </w:pPr>
      <w:bookmarkStart w:id="5" w:name="_Toc426044617"/>
      <w:r>
        <w:rPr>
          <w:rFonts w:eastAsia="Courier New"/>
        </w:rPr>
        <w:t>Experience with EM&amp;V</w:t>
      </w:r>
      <w:r w:rsidR="006F6310">
        <w:rPr>
          <w:rFonts w:eastAsia="Courier New"/>
        </w:rPr>
        <w:t xml:space="preserve"> for Demand-Side EE</w:t>
      </w:r>
      <w:bookmarkEnd w:id="5"/>
    </w:p>
    <w:p w14:paraId="71B5E6EC" w14:textId="1B63CE1E" w:rsidR="007011D3" w:rsidRDefault="00F1726B" w:rsidP="00703A52">
      <w:pPr>
        <w:pStyle w:val="BodyText"/>
      </w:pPr>
      <w:r w:rsidRPr="00822828">
        <w:t>From the time that demand-side EE emerged as an important energy strategy</w:t>
      </w:r>
      <w:r>
        <w:t xml:space="preserve"> </w:t>
      </w:r>
      <w:r w:rsidRPr="00822828">
        <w:t>in the 1970s,</w:t>
      </w:r>
      <w:r w:rsidRPr="00822828">
        <w:rPr>
          <w:rStyle w:val="FootnoteReference"/>
          <w:rFonts w:ascii="Courier New" w:hAnsi="Courier New" w:cs="Courier New"/>
        </w:rPr>
        <w:footnoteReference w:id="3"/>
      </w:r>
      <w:r w:rsidRPr="00822828">
        <w:t xml:space="preserve"> efforts to </w:t>
      </w:r>
      <w:r w:rsidR="004720A4">
        <w:t xml:space="preserve">quantify and verify </w:t>
      </w:r>
      <w:r w:rsidRPr="00822828">
        <w:t xml:space="preserve">the </w:t>
      </w:r>
      <w:proofErr w:type="spellStart"/>
      <w:r>
        <w:t>MWh</w:t>
      </w:r>
      <w:proofErr w:type="spellEnd"/>
      <w:r>
        <w:t xml:space="preserve"> savings of these </w:t>
      </w:r>
      <w:r w:rsidRPr="00822828">
        <w:t xml:space="preserve">actions have been critical to their success, credibility, and expansion. </w:t>
      </w:r>
      <w:r>
        <w:t xml:space="preserve">The earliest such efforts involved </w:t>
      </w:r>
      <w:r w:rsidR="006F4D93">
        <w:t xml:space="preserve">project-based </w:t>
      </w:r>
      <w:r w:rsidRPr="00822828">
        <w:t>measurement and verification (</w:t>
      </w:r>
      <w:r w:rsidR="006F4D93">
        <w:t>PB-MV</w:t>
      </w:r>
      <w:r w:rsidRPr="00822828">
        <w:t>) of individual projects</w:t>
      </w:r>
      <w:r w:rsidR="009B2AD5">
        <w:t xml:space="preserve">; this was </w:t>
      </w:r>
      <w:r>
        <w:t xml:space="preserve">followed by </w:t>
      </w:r>
      <w:r w:rsidR="00336E6C">
        <w:t xml:space="preserve">an </w:t>
      </w:r>
      <w:r>
        <w:t xml:space="preserve">evolution and improvement </w:t>
      </w:r>
      <w:r w:rsidR="00336E6C">
        <w:t xml:space="preserve">in </w:t>
      </w:r>
      <w:r>
        <w:t>practice</w:t>
      </w:r>
      <w:r w:rsidR="00336E6C">
        <w:t xml:space="preserve">s </w:t>
      </w:r>
      <w:r w:rsidR="009B2AD5">
        <w:t xml:space="preserve">for </w:t>
      </w:r>
      <w:r w:rsidR="00336E6C">
        <w:t xml:space="preserve">a broad range of </w:t>
      </w:r>
      <w:r w:rsidR="00336E6C">
        <w:lastRenderedPageBreak/>
        <w:t>EE program</w:t>
      </w:r>
      <w:r w:rsidR="009B2AD5">
        <w:t xml:space="preserve"> strategies </w:t>
      </w:r>
      <w:r w:rsidR="00336E6C">
        <w:t>and delivery mechanisms across sectors</w:t>
      </w:r>
      <w:r w:rsidR="008247A8">
        <w:t>.</w:t>
      </w:r>
      <w:r w:rsidR="00336E6C">
        <w:rPr>
          <w:rStyle w:val="FootnoteReference"/>
        </w:rPr>
        <w:footnoteReference w:id="4"/>
      </w:r>
      <w:r>
        <w:t xml:space="preserve"> </w:t>
      </w:r>
      <w:r w:rsidR="00AA07E0">
        <w:t>Today</w:t>
      </w:r>
      <w:r w:rsidR="007011D3" w:rsidRPr="007011D3">
        <w:t>, the</w:t>
      </w:r>
      <w:r w:rsidR="00AA07E0">
        <w:t>se</w:t>
      </w:r>
      <w:r w:rsidR="007011D3" w:rsidRPr="007011D3">
        <w:t xml:space="preserve"> EM&amp;V practices are applied by utilitie</w:t>
      </w:r>
      <w:r w:rsidR="00D01E5C">
        <w:t>s, energy service companies (ESCOs),</w:t>
      </w:r>
      <w:r w:rsidR="007011D3" w:rsidRPr="007011D3">
        <w:t xml:space="preserve"> and other EE providers</w:t>
      </w:r>
      <w:r w:rsidR="009B2AD5">
        <w:t>.</w:t>
      </w:r>
      <w:r w:rsidR="001A5A18">
        <w:t xml:space="preserve"> </w:t>
      </w:r>
      <w:r w:rsidR="002C0BB3">
        <w:t xml:space="preserve">They are also </w:t>
      </w:r>
      <w:r w:rsidR="007011D3" w:rsidRPr="007011D3">
        <w:t>backed up by several well-established protocols and guidelines</w:t>
      </w:r>
      <w:r w:rsidR="00D01E5C">
        <w:t>,</w:t>
      </w:r>
      <w:r w:rsidR="007011D3" w:rsidRPr="007011D3">
        <w:t xml:space="preserve"> and overseen by </w:t>
      </w:r>
      <w:r w:rsidR="00C4690A">
        <w:t>Public Utility Commissions (</w:t>
      </w:r>
      <w:r w:rsidR="007011D3" w:rsidRPr="007011D3">
        <w:t>PUCs</w:t>
      </w:r>
      <w:r w:rsidR="00C4690A">
        <w:t>)</w:t>
      </w:r>
      <w:r w:rsidR="007011D3" w:rsidRPr="007011D3">
        <w:t xml:space="preserve"> and other </w:t>
      </w:r>
      <w:r w:rsidR="002C0BB3">
        <w:t>implementing</w:t>
      </w:r>
      <w:r w:rsidR="00917EE6">
        <w:t xml:space="preserve"> agencies and</w:t>
      </w:r>
      <w:r w:rsidR="002C0BB3">
        <w:t xml:space="preserve"> </w:t>
      </w:r>
      <w:r w:rsidR="009B2AD5">
        <w:t>authorities</w:t>
      </w:r>
      <w:r w:rsidR="007011D3" w:rsidRPr="007011D3">
        <w:t xml:space="preserve">. </w:t>
      </w:r>
      <w:r w:rsidR="00AA07E0">
        <w:t xml:space="preserve">The EM&amp;V industry is now </w:t>
      </w:r>
      <w:r w:rsidR="00E76D88">
        <w:t xml:space="preserve">comprises </w:t>
      </w:r>
      <w:r w:rsidR="00AA07E0">
        <w:t>m</w:t>
      </w:r>
      <w:r w:rsidR="007011D3" w:rsidRPr="007011D3">
        <w:t xml:space="preserve">any </w:t>
      </w:r>
      <w:r w:rsidR="00AA07E0">
        <w:t xml:space="preserve">large </w:t>
      </w:r>
      <w:r w:rsidR="007011D3" w:rsidRPr="007011D3">
        <w:t xml:space="preserve">firms and </w:t>
      </w:r>
      <w:r w:rsidR="00D01E5C">
        <w:t>hundreds of in</w:t>
      </w:r>
      <w:r w:rsidR="00AA07E0">
        <w:t xml:space="preserve">dividual </w:t>
      </w:r>
      <w:r w:rsidR="007011D3" w:rsidRPr="007011D3">
        <w:t xml:space="preserve">practitioners, </w:t>
      </w:r>
      <w:r w:rsidR="00AA07E0">
        <w:t xml:space="preserve">and </w:t>
      </w:r>
      <w:r w:rsidR="007011D3" w:rsidRPr="007011D3">
        <w:t xml:space="preserve">is supported by training and certification programs, as well as a rich library of published reports and publicly available data and </w:t>
      </w:r>
      <w:r w:rsidR="00A3592F">
        <w:t>technical resources</w:t>
      </w:r>
      <w:r w:rsidR="007011D3" w:rsidRPr="007011D3">
        <w:t>.</w:t>
      </w:r>
    </w:p>
    <w:p w14:paraId="6A68D1C9" w14:textId="77777777" w:rsidR="00235B09" w:rsidRDefault="00AA07E0" w:rsidP="00703A52">
      <w:pPr>
        <w:pStyle w:val="BodyText"/>
      </w:pPr>
      <w:r>
        <w:t xml:space="preserve">The </w:t>
      </w:r>
      <w:r w:rsidR="007011D3" w:rsidRPr="007011D3">
        <w:t xml:space="preserve">EM&amp;V </w:t>
      </w:r>
      <w:r>
        <w:t>approaches in wide use today</w:t>
      </w:r>
      <w:r w:rsidR="007011D3" w:rsidRPr="007011D3">
        <w:t xml:space="preserve"> – including budget</w:t>
      </w:r>
      <w:r w:rsidR="00D01E5C">
        <w:t xml:space="preserve"> level</w:t>
      </w:r>
      <w:r w:rsidR="007011D3" w:rsidRPr="007011D3">
        <w:t xml:space="preserve">s, oversight procedures, and preferred methods – </w:t>
      </w:r>
      <w:r>
        <w:t>are</w:t>
      </w:r>
      <w:r w:rsidR="00F1726B" w:rsidRPr="00822828">
        <w:t xml:space="preserve"> </w:t>
      </w:r>
      <w:r w:rsidR="00246480">
        <w:t xml:space="preserve">derived from </w:t>
      </w:r>
      <w:r w:rsidR="00F1726B">
        <w:t>PUC</w:t>
      </w:r>
      <w:r w:rsidR="00F1726B" w:rsidRPr="007B0115">
        <w:rPr>
          <w:rStyle w:val="FootnoteReference"/>
        </w:rPr>
        <w:footnoteReference w:id="5"/>
      </w:r>
      <w:r w:rsidR="00F1726B" w:rsidRPr="007B0115">
        <w:rPr>
          <w:rStyle w:val="FootnoteReference"/>
        </w:rPr>
        <w:t xml:space="preserve"> </w:t>
      </w:r>
      <w:r w:rsidR="00F1726B" w:rsidRPr="00822828">
        <w:t>requirements for c</w:t>
      </w:r>
      <w:r w:rsidR="00F1726B">
        <w:t>onsumer</w:t>
      </w:r>
      <w:r w:rsidR="00F1726B" w:rsidRPr="00822828">
        <w:t xml:space="preserve">-funded </w:t>
      </w:r>
      <w:r w:rsidR="00D01E5C">
        <w:t xml:space="preserve">EE </w:t>
      </w:r>
      <w:r w:rsidR="00F1726B" w:rsidRPr="00822828">
        <w:t>programs</w:t>
      </w:r>
      <w:r w:rsidR="009B2AD5">
        <w:t xml:space="preserve">, as well as the </w:t>
      </w:r>
      <w:r w:rsidR="00F1726B">
        <w:t>Federal Energy Management Program</w:t>
      </w:r>
      <w:r w:rsidR="009B2AD5">
        <w:t>’s</w:t>
      </w:r>
      <w:r w:rsidR="00235B09">
        <w:t xml:space="preserve"> (FEMP)</w:t>
      </w:r>
      <w:r w:rsidR="00D01E5C">
        <w:t xml:space="preserve"> </w:t>
      </w:r>
      <w:r w:rsidR="009B2AD5">
        <w:t xml:space="preserve">requirements </w:t>
      </w:r>
      <w:r w:rsidR="00D01E5C">
        <w:t>for ESCO projects</w:t>
      </w:r>
      <w:r w:rsidR="00F1726B" w:rsidRPr="00822828">
        <w:t xml:space="preserve">. </w:t>
      </w:r>
      <w:r w:rsidR="00235B09" w:rsidRPr="00235B09">
        <w:t>While the level of review varies somewhat by state</w:t>
      </w:r>
      <w:r w:rsidR="00235B09">
        <w:t xml:space="preserve"> and program</w:t>
      </w:r>
      <w:r w:rsidR="00235B09" w:rsidRPr="00235B09">
        <w:t>, th</w:t>
      </w:r>
      <w:r w:rsidR="00235B09">
        <w:t xml:space="preserve">ese </w:t>
      </w:r>
      <w:r w:rsidR="00235B09" w:rsidRPr="00235B09">
        <w:t xml:space="preserve">oversight </w:t>
      </w:r>
      <w:r w:rsidR="00235B09">
        <w:t xml:space="preserve">mechanisms have </w:t>
      </w:r>
      <w:r w:rsidR="00235B09" w:rsidRPr="00235B09">
        <w:t xml:space="preserve">generated the majority of the protocols </w:t>
      </w:r>
      <w:r w:rsidR="00235B09">
        <w:t xml:space="preserve">and best practices for quantifying </w:t>
      </w:r>
      <w:r w:rsidR="00235B09" w:rsidRPr="00235B09">
        <w:t>savings</w:t>
      </w:r>
      <w:r w:rsidR="00074067">
        <w:t xml:space="preserve"> in the industry</w:t>
      </w:r>
      <w:r w:rsidR="00235B09" w:rsidRPr="00235B09">
        <w:t xml:space="preserve">. </w:t>
      </w:r>
      <w:r w:rsidR="00040DF2">
        <w:t xml:space="preserve">The specific EM&amp;V approach </w:t>
      </w:r>
      <w:r w:rsidR="009B2AD5">
        <w:t xml:space="preserve">that is </w:t>
      </w:r>
      <w:r w:rsidR="00040DF2">
        <w:t xml:space="preserve">applied to a given program </w:t>
      </w:r>
      <w:r w:rsidR="00040DF2" w:rsidRPr="00DE180B">
        <w:t>or project depends on</w:t>
      </w:r>
      <w:r w:rsidR="00235B09" w:rsidRPr="00DE180B">
        <w:t xml:space="preserve"> </w:t>
      </w:r>
      <w:r w:rsidR="009B2AD5" w:rsidRPr="00DE180B">
        <w:t>the type of EE, overall policy objectives, available budgets, and other factors.</w:t>
      </w:r>
      <w:r w:rsidR="001A5A18">
        <w:t xml:space="preserve"> </w:t>
      </w:r>
      <w:r w:rsidR="00DE180B">
        <w:t>For consumer-funded EE programs and ESCO projects, savings are typically quantified on an annual basis</w:t>
      </w:r>
      <w:r w:rsidR="00235B09" w:rsidRPr="00235B09">
        <w:t xml:space="preserve">. </w:t>
      </w:r>
    </w:p>
    <w:p w14:paraId="5244F525" w14:textId="77777777" w:rsidR="00F1726B" w:rsidRDefault="00235B09" w:rsidP="008E0794">
      <w:pPr>
        <w:pStyle w:val="BodyText"/>
        <w:widowControl/>
      </w:pPr>
      <w:r>
        <w:t>With th</w:t>
      </w:r>
      <w:r w:rsidR="00840CD8">
        <w:t xml:space="preserve">is evolution in </w:t>
      </w:r>
      <w:r w:rsidR="006F6310">
        <w:t xml:space="preserve">the accuracy and reliability of </w:t>
      </w:r>
      <w:r>
        <w:t xml:space="preserve">EM&amp;V, </w:t>
      </w:r>
      <w:r w:rsidR="00840CD8">
        <w:t xml:space="preserve">many </w:t>
      </w:r>
      <w:r>
        <w:t>s</w:t>
      </w:r>
      <w:r w:rsidR="00F1726B">
        <w:t>tates</w:t>
      </w:r>
      <w:r>
        <w:t xml:space="preserve"> and </w:t>
      </w:r>
      <w:r w:rsidR="00F1726B">
        <w:t>u</w:t>
      </w:r>
      <w:r w:rsidR="00F1726B" w:rsidRPr="00822828">
        <w:t>tilities</w:t>
      </w:r>
      <w:r>
        <w:t xml:space="preserve"> </w:t>
      </w:r>
      <w:r w:rsidR="00F1726B">
        <w:t>now routinely rely on EE to achieve energy (</w:t>
      </w:r>
      <w:proofErr w:type="spellStart"/>
      <w:r w:rsidR="00F1726B">
        <w:t>MWh</w:t>
      </w:r>
      <w:proofErr w:type="spellEnd"/>
      <w:r w:rsidR="00F1726B">
        <w:t>) and capacity (MW</w:t>
      </w:r>
      <w:r w:rsidR="00F1726B" w:rsidRPr="00701E8D">
        <w:t>) goals. In addition, t</w:t>
      </w:r>
      <w:r w:rsidR="00F1726B" w:rsidRPr="00701E8D">
        <w:rPr>
          <w:color w:val="000104"/>
        </w:rPr>
        <w:t>wo Independent System Operators (ISOs)</w:t>
      </w:r>
      <w:r w:rsidR="00246480">
        <w:rPr>
          <w:color w:val="000104"/>
        </w:rPr>
        <w:t xml:space="preserve"> – </w:t>
      </w:r>
      <w:r w:rsidR="00074067" w:rsidRPr="00701E8D">
        <w:t>ISO New England (ISO-NE) and PJM</w:t>
      </w:r>
      <w:r w:rsidR="00246480">
        <w:t xml:space="preserve"> – have </w:t>
      </w:r>
      <w:r w:rsidR="00F1726B" w:rsidRPr="00701E8D">
        <w:t>established forward capacity markets (FCMs)</w:t>
      </w:r>
      <w:r w:rsidR="00131920">
        <w:rPr>
          <w:rStyle w:val="FootnoteReference"/>
        </w:rPr>
        <w:footnoteReference w:id="6"/>
      </w:r>
      <w:r w:rsidR="00F1726B" w:rsidRPr="00701E8D">
        <w:t xml:space="preserve"> that pay suppliers </w:t>
      </w:r>
      <w:r w:rsidR="00131920">
        <w:t xml:space="preserve">of </w:t>
      </w:r>
      <w:r w:rsidR="00F1726B">
        <w:t>EE</w:t>
      </w:r>
      <w:r w:rsidR="00F1726B" w:rsidRPr="00701E8D">
        <w:t xml:space="preserve"> programs and other demand-side resources to compete directly with electric generators to meet regional capacity needs.</w:t>
      </w:r>
      <w:r w:rsidR="00F1726B">
        <w:t xml:space="preserve"> </w:t>
      </w:r>
      <w:r w:rsidR="00246480">
        <w:t xml:space="preserve">The oversight and </w:t>
      </w:r>
      <w:r w:rsidR="00813893">
        <w:t xml:space="preserve">quality control of EE resources that are bid into the market is governed by </w:t>
      </w:r>
      <w:r w:rsidR="00F1726B">
        <w:t xml:space="preserve">EM&amp;V </w:t>
      </w:r>
      <w:r w:rsidR="00813893">
        <w:t>rules and requirements defined in evaluation manuals established by ISO-NE and PJM</w:t>
      </w:r>
      <w:r w:rsidR="00F1726B">
        <w:t xml:space="preserve">. </w:t>
      </w:r>
    </w:p>
    <w:p w14:paraId="3A7D6036" w14:textId="77777777" w:rsidR="00073FDE" w:rsidRDefault="00CD3748" w:rsidP="00703A52">
      <w:pPr>
        <w:pStyle w:val="BodyText"/>
      </w:pPr>
      <w:r>
        <w:t xml:space="preserve">Despite improvements in </w:t>
      </w:r>
      <w:r w:rsidR="00073FDE">
        <w:t xml:space="preserve">EM&amp;V </w:t>
      </w:r>
      <w:r>
        <w:t>over time, quantification knowledge</w:t>
      </w:r>
      <w:r w:rsidR="00073FDE" w:rsidRPr="00073FDE">
        <w:t xml:space="preserve"> </w:t>
      </w:r>
      <w:r w:rsidR="00073FDE">
        <w:t xml:space="preserve">is more robust for </w:t>
      </w:r>
      <w:r w:rsidR="00DF52ED">
        <w:t xml:space="preserve">some </w:t>
      </w:r>
      <w:r w:rsidR="00073FDE">
        <w:t xml:space="preserve">EE program and policy types than </w:t>
      </w:r>
      <w:r w:rsidR="00DF52ED">
        <w:t>for</w:t>
      </w:r>
      <w:r w:rsidR="00073FDE">
        <w:t xml:space="preserve"> others.</w:t>
      </w:r>
      <w:r w:rsidR="001A5A18">
        <w:t xml:space="preserve"> </w:t>
      </w:r>
      <w:r w:rsidR="00DF52ED">
        <w:t>Additionally, t</w:t>
      </w:r>
      <w:r w:rsidR="00073FDE">
        <w:t xml:space="preserve">here is limited experience </w:t>
      </w:r>
      <w:r>
        <w:t xml:space="preserve">applying </w:t>
      </w:r>
      <w:r w:rsidR="00073FDE" w:rsidRPr="00073FDE">
        <w:t xml:space="preserve">EM&amp;V procedures and protocols to emissions trading programs, where each </w:t>
      </w:r>
      <w:proofErr w:type="spellStart"/>
      <w:r w:rsidR="00073FDE" w:rsidRPr="00073FDE">
        <w:t>MWh</w:t>
      </w:r>
      <w:proofErr w:type="spellEnd"/>
      <w:r w:rsidR="00073FDE" w:rsidRPr="00073FDE">
        <w:t xml:space="preserve"> of </w:t>
      </w:r>
      <w:r w:rsidR="00040DF2">
        <w:t>replaced</w:t>
      </w:r>
      <w:r w:rsidR="00073FDE" w:rsidRPr="00073FDE">
        <w:t xml:space="preserve"> generation becomes a commodity that can be </w:t>
      </w:r>
      <w:r w:rsidR="00073FDE">
        <w:t xml:space="preserve">bought and </w:t>
      </w:r>
      <w:r w:rsidR="00073FDE" w:rsidRPr="00073FDE">
        <w:t>sold</w:t>
      </w:r>
      <w:r w:rsidR="00073FDE">
        <w:t xml:space="preserve"> by</w:t>
      </w:r>
      <w:r w:rsidR="00073FDE" w:rsidRPr="00073FDE">
        <w:t xml:space="preserve"> a regulated source. </w:t>
      </w:r>
      <w:r w:rsidR="00AE0014">
        <w:t xml:space="preserve">Environmental regulators, </w:t>
      </w:r>
      <w:r w:rsidR="00FC522B">
        <w:t>including</w:t>
      </w:r>
      <w:r w:rsidR="00AE0014">
        <w:t xml:space="preserve"> </w:t>
      </w:r>
      <w:r w:rsidR="00D01E5C">
        <w:t xml:space="preserve">the U.S. </w:t>
      </w:r>
      <w:r w:rsidR="00073FDE" w:rsidRPr="00073FDE">
        <w:t>EPA and most state environmental agencies</w:t>
      </w:r>
      <w:r w:rsidR="00AE0014">
        <w:t>,</w:t>
      </w:r>
      <w:r w:rsidR="00073FDE" w:rsidRPr="00073FDE">
        <w:t xml:space="preserve"> have limited experience quantif</w:t>
      </w:r>
      <w:r>
        <w:t xml:space="preserve">ying </w:t>
      </w:r>
      <w:r w:rsidR="00073FDE" w:rsidRPr="00073FDE">
        <w:t>and verif</w:t>
      </w:r>
      <w:r>
        <w:t xml:space="preserve">ying </w:t>
      </w:r>
      <w:r w:rsidR="00073FDE" w:rsidRPr="00073FDE">
        <w:t>EE in this</w:t>
      </w:r>
      <w:r w:rsidR="00073FDE">
        <w:t xml:space="preserve"> </w:t>
      </w:r>
      <w:r w:rsidR="00073FDE" w:rsidRPr="00073FDE">
        <w:t>regulatory context.</w:t>
      </w:r>
      <w:r w:rsidR="001A5A18">
        <w:t xml:space="preserve"> </w:t>
      </w:r>
      <w:r w:rsidR="00073FDE">
        <w:t xml:space="preserve">As a result, the </w:t>
      </w:r>
      <w:r w:rsidR="00E12958">
        <w:t xml:space="preserve">EPA’s </w:t>
      </w:r>
      <w:r w:rsidR="00073FDE">
        <w:t>final emission guidelines include a number of safeguards and quality</w:t>
      </w:r>
      <w:r w:rsidR="00C86DF5">
        <w:t>-</w:t>
      </w:r>
      <w:r w:rsidR="00073FDE">
        <w:t xml:space="preserve">control features </w:t>
      </w:r>
      <w:r w:rsidR="00534A3C">
        <w:t xml:space="preserve">that are intended </w:t>
      </w:r>
      <w:r w:rsidR="00E12958">
        <w:t xml:space="preserve">to </w:t>
      </w:r>
      <w:r w:rsidR="00DF52ED">
        <w:t xml:space="preserve">ensure the </w:t>
      </w:r>
      <w:r w:rsidR="00DE132A">
        <w:t xml:space="preserve">accuracy and reliability </w:t>
      </w:r>
      <w:r w:rsidR="00DF52ED">
        <w:t>of the claimed EE savings.</w:t>
      </w:r>
    </w:p>
    <w:p w14:paraId="76E0D44D" w14:textId="77777777" w:rsidR="00F1726B" w:rsidRDefault="00186F62" w:rsidP="00AB6C96">
      <w:pPr>
        <w:pStyle w:val="Heading2"/>
      </w:pPr>
      <w:bookmarkStart w:id="6" w:name="_Toc426044618"/>
      <w:r>
        <w:t xml:space="preserve">Determining </w:t>
      </w:r>
      <w:r w:rsidR="00AE0014">
        <w:t>Baseline</w:t>
      </w:r>
      <w:r>
        <w:t>s</w:t>
      </w:r>
      <w:bookmarkEnd w:id="6"/>
      <w:r w:rsidR="001A5A18">
        <w:t xml:space="preserve"> </w:t>
      </w:r>
    </w:p>
    <w:p w14:paraId="2A3D8243" w14:textId="77777777" w:rsidR="007011D3" w:rsidRDefault="00345430" w:rsidP="00D76B48">
      <w:pPr>
        <w:pStyle w:val="BodyText"/>
      </w:pPr>
      <w:r w:rsidRPr="00345430">
        <w:t xml:space="preserve">The key challenge </w:t>
      </w:r>
      <w:r w:rsidR="00D01E5C">
        <w:t xml:space="preserve">with </w:t>
      </w:r>
      <w:r w:rsidR="00DF52ED">
        <w:t>quantifying</w:t>
      </w:r>
      <w:r w:rsidR="00D01E5C">
        <w:t xml:space="preserve"> </w:t>
      </w:r>
      <w:r w:rsidR="00C072E5">
        <w:t xml:space="preserve">EE savings </w:t>
      </w:r>
      <w:r w:rsidR="00D01E5C">
        <w:t xml:space="preserve">is </w:t>
      </w:r>
      <w:r w:rsidR="00C07D32">
        <w:t xml:space="preserve">the identification of </w:t>
      </w:r>
      <w:r w:rsidR="00C072E5">
        <w:t xml:space="preserve">an accurate </w:t>
      </w:r>
      <w:r w:rsidRPr="00345430">
        <w:t xml:space="preserve">baseline </w:t>
      </w:r>
      <w:r w:rsidR="00C072E5">
        <w:t xml:space="preserve">from </w:t>
      </w:r>
      <w:r w:rsidRPr="00345430">
        <w:t xml:space="preserve">which to measure </w:t>
      </w:r>
      <w:proofErr w:type="spellStart"/>
      <w:r w:rsidR="00C072E5">
        <w:t>MWh</w:t>
      </w:r>
      <w:proofErr w:type="spellEnd"/>
      <w:r w:rsidR="00C072E5">
        <w:t xml:space="preserve"> results</w:t>
      </w:r>
      <w:r w:rsidRPr="00345430">
        <w:t xml:space="preserve">. Regardless of the protocols and procedures </w:t>
      </w:r>
      <w:r w:rsidR="00C072E5">
        <w:t xml:space="preserve">applied, </w:t>
      </w:r>
      <w:r w:rsidRPr="00345430">
        <w:t xml:space="preserve">all </w:t>
      </w:r>
      <w:r w:rsidR="00C072E5">
        <w:t xml:space="preserve">savings </w:t>
      </w:r>
      <w:r w:rsidRPr="00345430">
        <w:t xml:space="preserve">values are determined by comparing energy use </w:t>
      </w:r>
      <w:r w:rsidR="008E0794">
        <w:t>with</w:t>
      </w:r>
      <w:r w:rsidRPr="00345430">
        <w:t xml:space="preserve"> an EE program or project </w:t>
      </w:r>
      <w:r w:rsidR="008E0794">
        <w:t>in place</w:t>
      </w:r>
      <w:r w:rsidRPr="00345430">
        <w:t xml:space="preserve"> with the best estimate of the likely energy use in the absence of the project or measure (the “counterfactual” scenario, or baseline). In general, the entity overseeing or managing EE activities determines the applicable baseline prior to EE implementation</w:t>
      </w:r>
      <w:r w:rsidR="00220070">
        <w:t xml:space="preserve"> on the </w:t>
      </w:r>
      <w:r w:rsidRPr="00345430">
        <w:t xml:space="preserve">basis of </w:t>
      </w:r>
      <w:r w:rsidR="001E2007">
        <w:t xml:space="preserve">policy objectives and various </w:t>
      </w:r>
      <w:r w:rsidRPr="00345430">
        <w:t>program</w:t>
      </w:r>
      <w:r w:rsidR="001E2007">
        <w:t>matic</w:t>
      </w:r>
      <w:r w:rsidRPr="00345430">
        <w:t xml:space="preserve"> </w:t>
      </w:r>
      <w:r w:rsidR="00220070">
        <w:t>considerations.</w:t>
      </w:r>
      <w:r w:rsidR="001A5A18">
        <w:t xml:space="preserve"> </w:t>
      </w:r>
      <w:proofErr w:type="spellStart"/>
      <w:r w:rsidR="00220070">
        <w:lastRenderedPageBreak/>
        <w:t>MWh</w:t>
      </w:r>
      <w:proofErr w:type="spellEnd"/>
      <w:r w:rsidR="00220070">
        <w:t xml:space="preserve"> savings are the</w:t>
      </w:r>
      <w:r w:rsidR="00DF52ED">
        <w:t>n</w:t>
      </w:r>
      <w:r w:rsidR="00220070">
        <w:t xml:space="preserve"> quantified </w:t>
      </w:r>
      <w:r w:rsidR="00DF52ED">
        <w:t xml:space="preserve">relative </w:t>
      </w:r>
      <w:r w:rsidR="00220070">
        <w:t xml:space="preserve">to this baseline using EM&amp;V methods determined by program type, </w:t>
      </w:r>
      <w:r w:rsidRPr="00345430">
        <w:t>available</w:t>
      </w:r>
      <w:r w:rsidR="00C072E5">
        <w:t xml:space="preserve"> </w:t>
      </w:r>
      <w:r w:rsidRPr="00345430">
        <w:t>budgets, the magnitude of expected impact</w:t>
      </w:r>
      <w:r w:rsidR="00220070">
        <w:t xml:space="preserve">, and other factors. </w:t>
      </w:r>
    </w:p>
    <w:p w14:paraId="14BB1A96" w14:textId="77777777" w:rsidR="00C65406" w:rsidRPr="00AD3C72" w:rsidRDefault="00C65406" w:rsidP="00C65406">
      <w:pPr>
        <w:pStyle w:val="FigurePlacement"/>
        <w:rPr>
          <w:rStyle w:val="FigurePlacementChar"/>
        </w:rPr>
      </w:pPr>
      <w:r w:rsidRPr="00822828">
        <w:rPr>
          <w:noProof/>
        </w:rPr>
        <w:drawing>
          <wp:inline distT="0" distB="0" distL="0" distR="0" wp14:anchorId="7857FB40" wp14:editId="624EC613">
            <wp:extent cx="5838825" cy="3257550"/>
            <wp:effectExtent l="0" t="0" r="9525"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4" cstate="print"/>
                    <a:srcRect t="2564" r="1762"/>
                    <a:stretch/>
                  </pic:blipFill>
                  <pic:spPr bwMode="auto">
                    <a:xfrm>
                      <a:off x="0" y="0"/>
                      <a:ext cx="5838825" cy="3257550"/>
                    </a:xfrm>
                    <a:prstGeom prst="rect">
                      <a:avLst/>
                    </a:prstGeom>
                    <a:noFill/>
                    <a:ln>
                      <a:noFill/>
                    </a:ln>
                    <a:extLst>
                      <a:ext uri="{53640926-AAD7-44D8-BBD7-CCE9431645EC}">
                        <a14:shadowObscured xmlns:a14="http://schemas.microsoft.com/office/drawing/2010/main"/>
                      </a:ext>
                    </a:extLst>
                  </pic:spPr>
                </pic:pic>
              </a:graphicData>
            </a:graphic>
          </wp:inline>
        </w:drawing>
      </w:r>
    </w:p>
    <w:p w14:paraId="68F7A297" w14:textId="77777777" w:rsidR="00C65406" w:rsidRPr="001D4975" w:rsidRDefault="00C65406" w:rsidP="00C65406">
      <w:pPr>
        <w:pStyle w:val="Caption"/>
        <w:keepNext w:val="0"/>
      </w:pPr>
      <w:bookmarkStart w:id="7" w:name="_Toc426022026"/>
      <w:r>
        <w:t xml:space="preserve">Figure </w:t>
      </w:r>
      <w:r w:rsidR="003D6E4F">
        <w:fldChar w:fldCharType="begin"/>
      </w:r>
      <w:r w:rsidR="003D6E4F">
        <w:instrText xml:space="preserve"> STYLEREF 1 \s </w:instrText>
      </w:r>
      <w:r w:rsidR="003D6E4F">
        <w:fldChar w:fldCharType="separate"/>
      </w:r>
      <w:r>
        <w:rPr>
          <w:noProof/>
        </w:rPr>
        <w:t>1</w:t>
      </w:r>
      <w:r w:rsidR="003D6E4F">
        <w:rPr>
          <w:noProof/>
        </w:rPr>
        <w:fldChar w:fldCharType="end"/>
      </w:r>
      <w:r>
        <w:noBreakHyphen/>
      </w:r>
      <w:r w:rsidR="003D6E4F">
        <w:fldChar w:fldCharType="begin"/>
      </w:r>
      <w:r w:rsidR="003D6E4F">
        <w:instrText xml:space="preserve"> SEQ Figure \* ARABIC \s 1 </w:instrText>
      </w:r>
      <w:r w:rsidR="003D6E4F">
        <w:fldChar w:fldCharType="separate"/>
      </w:r>
      <w:r>
        <w:rPr>
          <w:noProof/>
        </w:rPr>
        <w:t>1</w:t>
      </w:r>
      <w:r w:rsidR="003D6E4F">
        <w:rPr>
          <w:noProof/>
        </w:rPr>
        <w:fldChar w:fldCharType="end"/>
      </w:r>
      <w:r>
        <w:t xml:space="preserve">. </w:t>
      </w:r>
      <w:r w:rsidRPr="001D4975">
        <w:t xml:space="preserve">Energy Use Before, </w:t>
      </w:r>
      <w:proofErr w:type="gramStart"/>
      <w:r w:rsidRPr="001D4975">
        <w:t>During</w:t>
      </w:r>
      <w:proofErr w:type="gramEnd"/>
      <w:r w:rsidRPr="001D4975">
        <w:t>, and After an E</w:t>
      </w:r>
      <w:r>
        <w:t>E</w:t>
      </w:r>
      <w:r w:rsidRPr="001D4975">
        <w:t xml:space="preserve"> Project is Installed</w:t>
      </w:r>
      <w:r w:rsidRPr="001D4975">
        <w:rPr>
          <w:rStyle w:val="FootnoteReference"/>
          <w:rFonts w:ascii="Courier New" w:hAnsi="Courier New" w:cs="Courier New"/>
          <w:i/>
        </w:rPr>
        <w:footnoteReference w:id="7"/>
      </w:r>
      <w:bookmarkEnd w:id="7"/>
    </w:p>
    <w:p w14:paraId="7F255A3C" w14:textId="77777777" w:rsidR="007F5236" w:rsidRPr="009A47D5" w:rsidRDefault="007F5236" w:rsidP="00AB6C96">
      <w:pPr>
        <w:pStyle w:val="Heading2"/>
        <w:rPr>
          <w:rFonts w:eastAsia="Courier New"/>
        </w:rPr>
      </w:pPr>
      <w:bookmarkStart w:id="8" w:name="_Toc426044619"/>
      <w:r>
        <w:rPr>
          <w:rFonts w:eastAsia="Courier New"/>
        </w:rPr>
        <w:t>Approach to EM&amp;V in the Emission Guidelines</w:t>
      </w:r>
      <w:bookmarkEnd w:id="8"/>
    </w:p>
    <w:p w14:paraId="5703B8C4" w14:textId="6AC70E36" w:rsidR="007F5236" w:rsidRDefault="007F5236" w:rsidP="00AB6C96">
      <w:pPr>
        <w:pStyle w:val="BodyText"/>
        <w:widowControl/>
      </w:pPr>
      <w:r>
        <w:t xml:space="preserve">In June 2014, </w:t>
      </w:r>
      <w:r w:rsidR="003F0E90">
        <w:t xml:space="preserve">the </w:t>
      </w:r>
      <w:r>
        <w:t xml:space="preserve">EPA proposed </w:t>
      </w:r>
      <w:r w:rsidR="00B54252">
        <w:t xml:space="preserve">carbon pollution </w:t>
      </w:r>
      <w:r>
        <w:t xml:space="preserve">emission guidelines </w:t>
      </w:r>
      <w:r w:rsidR="00B54252">
        <w:t xml:space="preserve">for </w:t>
      </w:r>
      <w:r w:rsidR="001E2007">
        <w:t xml:space="preserve">certain existing </w:t>
      </w:r>
      <w:r w:rsidR="00B54252">
        <w:t>EGUs</w:t>
      </w:r>
      <w:r w:rsidR="001E2007">
        <w:t xml:space="preserve">, as well as </w:t>
      </w:r>
      <w:r>
        <w:t>a “State Plans Considerations” technical support document</w:t>
      </w:r>
      <w:r w:rsidR="00C07D32">
        <w:t xml:space="preserve"> (TSD) </w:t>
      </w:r>
      <w:r>
        <w:rPr>
          <w:rStyle w:val="FootnoteReference"/>
          <w:rFonts w:ascii="Courier New" w:eastAsia="Courier New" w:hAnsi="Courier New" w:cs="Courier New"/>
          <w:color w:val="000000" w:themeColor="text1"/>
        </w:rPr>
        <w:footnoteReference w:id="8"/>
      </w:r>
      <w:r>
        <w:t xml:space="preserve"> that outlined a general approach </w:t>
      </w:r>
      <w:r w:rsidR="001E2007">
        <w:t xml:space="preserve">to </w:t>
      </w:r>
      <w:r>
        <w:t xml:space="preserve">establishing EM&amp;V requirements and guidance. The </w:t>
      </w:r>
      <w:r w:rsidR="00C07D32">
        <w:t xml:space="preserve">TSD proposed </w:t>
      </w:r>
      <w:r>
        <w:t xml:space="preserve">that </w:t>
      </w:r>
      <w:r w:rsidR="001E2007">
        <w:t>the EPA</w:t>
      </w:r>
      <w:r w:rsidR="001C7A33">
        <w:t xml:space="preserve">’s EM&amp;V </w:t>
      </w:r>
      <w:r w:rsidR="001B28EE">
        <w:t xml:space="preserve">provisions </w:t>
      </w:r>
      <w:r w:rsidR="00C07D32">
        <w:t>c</w:t>
      </w:r>
      <w:r w:rsidR="00DF52ED">
        <w:t xml:space="preserve">ould </w:t>
      </w:r>
      <w:r>
        <w:t>leverag</w:t>
      </w:r>
      <w:r w:rsidR="001C7A33">
        <w:t>e</w:t>
      </w:r>
      <w:r>
        <w:t xml:space="preserve"> the industry-standard practices, protocols, and methods currently utilized by the majority of states implementing demand-side EE and RE programs. The EPA further noted that many state PUCs, and other regulatory bodies and program management authorities, already have significant EM&amp;V infrastructure in place, and some have been applying, refining, and enhancing their approaches for over 30 years. </w:t>
      </w:r>
    </w:p>
    <w:p w14:paraId="44D4128A" w14:textId="31DED3C3" w:rsidR="00840CD8" w:rsidRDefault="009D2131" w:rsidP="0071129B">
      <w:pPr>
        <w:pStyle w:val="BodyText"/>
      </w:pPr>
      <w:r>
        <w:t xml:space="preserve">Most </w:t>
      </w:r>
      <w:r w:rsidR="001C7A33">
        <w:t xml:space="preserve">public </w:t>
      </w:r>
      <w:r w:rsidR="00F1726B">
        <w:t>comment</w:t>
      </w:r>
      <w:r w:rsidR="001C7A33">
        <w:t xml:space="preserve">s on this topic </w:t>
      </w:r>
      <w:r w:rsidR="00F1726B">
        <w:t xml:space="preserve">affirmed that the </w:t>
      </w:r>
      <w:r w:rsidR="00357A7A">
        <w:t xml:space="preserve">protocols and </w:t>
      </w:r>
      <w:r w:rsidR="00F1726B">
        <w:t xml:space="preserve">procedures already in place and widely </w:t>
      </w:r>
      <w:r w:rsidR="001C7A33">
        <w:t>use</w:t>
      </w:r>
      <w:r w:rsidR="00C07D32">
        <w:t>d</w:t>
      </w:r>
      <w:r w:rsidR="001C7A33">
        <w:t xml:space="preserve"> should </w:t>
      </w:r>
      <w:r w:rsidR="00F1726B">
        <w:t xml:space="preserve">indeed </w:t>
      </w:r>
      <w:r w:rsidR="001C7A33">
        <w:t xml:space="preserve">be leveraged in </w:t>
      </w:r>
      <w:r w:rsidR="00F1726B">
        <w:t>the</w:t>
      </w:r>
      <w:r w:rsidR="002E057F">
        <w:t xml:space="preserve"> EPA’s final emission guidelines</w:t>
      </w:r>
      <w:r w:rsidR="00F1726B">
        <w:t xml:space="preserve">. Commenters also provided numerous examples of </w:t>
      </w:r>
      <w:r w:rsidR="00840CD8">
        <w:t xml:space="preserve">well-regarded </w:t>
      </w:r>
      <w:r w:rsidR="00F1726B">
        <w:t xml:space="preserve">oversight approaches, quality-control practices, and quantification and verification methodologies that are currently </w:t>
      </w:r>
      <w:r w:rsidR="001C7A33">
        <w:t>applied</w:t>
      </w:r>
      <w:r w:rsidR="00840CD8">
        <w:t xml:space="preserve"> (in addition to pointing out needed improvements</w:t>
      </w:r>
      <w:r w:rsidR="00980294">
        <w:t xml:space="preserve"> to EM&amp;V practices</w:t>
      </w:r>
      <w:r w:rsidR="00840CD8">
        <w:t>, especially relating to cross-jurisdiction</w:t>
      </w:r>
      <w:r w:rsidR="00980294">
        <w:t>al</w:t>
      </w:r>
      <w:r w:rsidR="00840CD8">
        <w:t xml:space="preserve"> </w:t>
      </w:r>
      <w:r w:rsidR="00A8478E">
        <w:t>inconsistencies in the way EM&amp;V is applied).</w:t>
      </w:r>
      <w:r w:rsidR="001A5A18">
        <w:t xml:space="preserve"> </w:t>
      </w:r>
      <w:r w:rsidR="0071129B">
        <w:t xml:space="preserve">Additional perspectives shared in comments include the importance of striking a reasonable balance between EM&amp;V rigor and accuracy on the one hand, and evaluation costs </w:t>
      </w:r>
      <w:r w:rsidR="0071129B">
        <w:lastRenderedPageBreak/>
        <w:t xml:space="preserve">and effort on the other, and the need for the EPA to </w:t>
      </w:r>
      <w:r w:rsidR="0071129B" w:rsidRPr="00E12958">
        <w:rPr>
          <w:color w:val="000000" w:themeColor="text1"/>
        </w:rPr>
        <w:t>avoid excessive interference with EM&amp;V practices that are already robust, transparent</w:t>
      </w:r>
      <w:r w:rsidR="0071129B">
        <w:rPr>
          <w:color w:val="000000" w:themeColor="text1"/>
        </w:rPr>
        <w:t>,</w:t>
      </w:r>
      <w:r w:rsidR="0071129B" w:rsidRPr="00E12958">
        <w:rPr>
          <w:rStyle w:val="FootnoteReference"/>
          <w:color w:val="000000" w:themeColor="text1"/>
        </w:rPr>
        <w:footnoteReference w:id="9"/>
      </w:r>
      <w:r w:rsidR="0071129B" w:rsidRPr="00E12958">
        <w:rPr>
          <w:color w:val="000000" w:themeColor="text1"/>
        </w:rPr>
        <w:t xml:space="preserve"> and working well</w:t>
      </w:r>
      <w:r w:rsidR="0071129B">
        <w:rPr>
          <w:color w:val="000000" w:themeColor="text1"/>
        </w:rPr>
        <w:t>. Finally, commenters indicated that it is critical for the agency to support the continued evolution of credible EM&amp;V practices into the future.</w:t>
      </w:r>
    </w:p>
    <w:p w14:paraId="2DA96CDF" w14:textId="4749EDEC" w:rsidR="00F1726B" w:rsidRPr="002F0762" w:rsidRDefault="00F1726B" w:rsidP="00AB6C96">
      <w:pPr>
        <w:pStyle w:val="Heading2"/>
      </w:pPr>
      <w:bookmarkStart w:id="9" w:name="_Toc426044620"/>
      <w:r>
        <w:t>Applicability and Scope</w:t>
      </w:r>
      <w:r w:rsidR="00C74581">
        <w:t xml:space="preserve"> of this Guidance Document</w:t>
      </w:r>
      <w:bookmarkEnd w:id="9"/>
      <w:r>
        <w:t xml:space="preserve"> </w:t>
      </w:r>
    </w:p>
    <w:p w14:paraId="57C2790F" w14:textId="0E4B4BB9" w:rsidR="00980294" w:rsidRDefault="00435CE6" w:rsidP="00AB6C96">
      <w:pPr>
        <w:pStyle w:val="BodyText"/>
        <w:widowControl/>
      </w:pPr>
      <w:r w:rsidRPr="00CB6FBA">
        <w:rPr>
          <w:b/>
          <w:i/>
          <w:noProof/>
        </w:rPr>
        <mc:AlternateContent>
          <mc:Choice Requires="wps">
            <w:drawing>
              <wp:anchor distT="91440" distB="91440" distL="91440" distR="91440" simplePos="0" relativeHeight="251648512" behindDoc="0" locked="0" layoutInCell="1" allowOverlap="1" wp14:anchorId="0311C29D" wp14:editId="6C9D9461">
                <wp:simplePos x="0" y="0"/>
                <wp:positionH relativeFrom="margin">
                  <wp:align>right</wp:align>
                </wp:positionH>
                <wp:positionV relativeFrom="paragraph">
                  <wp:posOffset>134043</wp:posOffset>
                </wp:positionV>
                <wp:extent cx="3920490" cy="3942080"/>
                <wp:effectExtent l="0" t="0" r="22860" b="20320"/>
                <wp:wrapSquare wrapText="bothSides"/>
                <wp:docPr id="4" name="Text Box 4"/>
                <wp:cNvGraphicFramePr/>
                <a:graphic xmlns:a="http://schemas.openxmlformats.org/drawingml/2006/main">
                  <a:graphicData uri="http://schemas.microsoft.com/office/word/2010/wordprocessingShape">
                    <wps:wsp>
                      <wps:cNvSpPr txBox="1"/>
                      <wps:spPr>
                        <a:xfrm>
                          <a:off x="0" y="0"/>
                          <a:ext cx="3920490" cy="3942080"/>
                        </a:xfrm>
                        <a:prstGeom prst="rect">
                          <a:avLst/>
                        </a:prstGeom>
                        <a:solidFill>
                          <a:srgbClr val="D1E1FF"/>
                        </a:solidFill>
                        <a:ln w="9525">
                          <a:solidFill>
                            <a:srgbClr val="4A7EBB"/>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61B1B033" w14:textId="77777777" w:rsidR="00133485" w:rsidRPr="00F650D3" w:rsidRDefault="00133485" w:rsidP="00ED0FC2">
                            <w:pPr>
                              <w:pStyle w:val="BodyTextBold"/>
                              <w:spacing w:after="120"/>
                              <w:rPr>
                                <w:rFonts w:asciiTheme="majorHAnsi" w:hAnsiTheme="majorHAnsi"/>
                              </w:rPr>
                            </w:pPr>
                            <w:r>
                              <w:rPr>
                                <w:rFonts w:asciiTheme="majorHAnsi" w:hAnsiTheme="majorHAnsi"/>
                              </w:rPr>
                              <w:t xml:space="preserve">What is </w:t>
                            </w:r>
                            <w:r>
                              <w:rPr>
                                <w:rFonts w:asciiTheme="majorHAnsi" w:hAnsiTheme="majorHAnsi"/>
                                <w:i/>
                              </w:rPr>
                              <w:t xml:space="preserve">Not </w:t>
                            </w:r>
                            <w:proofErr w:type="gramStart"/>
                            <w:r>
                              <w:rPr>
                                <w:rFonts w:asciiTheme="majorHAnsi" w:hAnsiTheme="majorHAnsi"/>
                              </w:rPr>
                              <w:t>Covered</w:t>
                            </w:r>
                            <w:proofErr w:type="gramEnd"/>
                          </w:p>
                          <w:p w14:paraId="78C1867D" w14:textId="77777777" w:rsidR="00133485" w:rsidRDefault="00133485" w:rsidP="00ED0FC2">
                            <w:pPr>
                              <w:pStyle w:val="BodyText"/>
                              <w:spacing w:after="120"/>
                              <w:rPr>
                                <w:rFonts w:asciiTheme="majorHAnsi" w:hAnsiTheme="majorHAnsi"/>
                                <w:szCs w:val="22"/>
                              </w:rPr>
                            </w:pPr>
                            <w:r>
                              <w:rPr>
                                <w:rFonts w:asciiTheme="majorHAnsi" w:hAnsiTheme="majorHAnsi"/>
                                <w:szCs w:val="22"/>
                              </w:rPr>
                              <w:t>T</w:t>
                            </w:r>
                            <w:r w:rsidRPr="00F650D3">
                              <w:rPr>
                                <w:rFonts w:asciiTheme="majorHAnsi" w:hAnsiTheme="majorHAnsi"/>
                                <w:szCs w:val="22"/>
                              </w:rPr>
                              <w:t xml:space="preserve">his </w:t>
                            </w:r>
                            <w:r>
                              <w:rPr>
                                <w:rFonts w:asciiTheme="majorHAnsi" w:hAnsiTheme="majorHAnsi"/>
                                <w:szCs w:val="22"/>
                              </w:rPr>
                              <w:t xml:space="preserve">document provides guidance on the best practices, technical </w:t>
                            </w:r>
                            <w:r w:rsidRPr="00F650D3">
                              <w:rPr>
                                <w:rFonts w:asciiTheme="majorHAnsi" w:hAnsiTheme="majorHAnsi"/>
                                <w:szCs w:val="22"/>
                              </w:rPr>
                              <w:t>assumptions, and</w:t>
                            </w:r>
                            <w:r>
                              <w:rPr>
                                <w:rFonts w:asciiTheme="majorHAnsi" w:hAnsiTheme="majorHAnsi"/>
                                <w:szCs w:val="22"/>
                              </w:rPr>
                              <w:t xml:space="preserve"> industry-standard protocols and procedures </w:t>
                            </w:r>
                            <w:r w:rsidRPr="00F650D3">
                              <w:rPr>
                                <w:rFonts w:asciiTheme="majorHAnsi" w:hAnsiTheme="majorHAnsi"/>
                                <w:szCs w:val="22"/>
                              </w:rPr>
                              <w:t xml:space="preserve">that can be used to quantify </w:t>
                            </w:r>
                            <w:r>
                              <w:rPr>
                                <w:rFonts w:asciiTheme="majorHAnsi" w:hAnsiTheme="majorHAnsi"/>
                                <w:szCs w:val="22"/>
                              </w:rPr>
                              <w:t xml:space="preserve">and verify </w:t>
                            </w:r>
                            <w:proofErr w:type="spellStart"/>
                            <w:r w:rsidRPr="00F650D3">
                              <w:rPr>
                                <w:rFonts w:asciiTheme="majorHAnsi" w:hAnsiTheme="majorHAnsi"/>
                                <w:szCs w:val="22"/>
                              </w:rPr>
                              <w:t>MWh</w:t>
                            </w:r>
                            <w:proofErr w:type="spellEnd"/>
                            <w:r w:rsidRPr="00F650D3">
                              <w:rPr>
                                <w:rFonts w:asciiTheme="majorHAnsi" w:hAnsiTheme="majorHAnsi"/>
                                <w:szCs w:val="22"/>
                              </w:rPr>
                              <w:t xml:space="preserve"> savings from </w:t>
                            </w:r>
                            <w:r>
                              <w:rPr>
                                <w:rFonts w:asciiTheme="majorHAnsi" w:hAnsiTheme="majorHAnsi"/>
                                <w:szCs w:val="22"/>
                              </w:rPr>
                              <w:t xml:space="preserve">demand-side </w:t>
                            </w:r>
                            <w:r w:rsidRPr="00F650D3">
                              <w:rPr>
                                <w:rFonts w:asciiTheme="majorHAnsi" w:hAnsiTheme="majorHAnsi"/>
                                <w:szCs w:val="22"/>
                              </w:rPr>
                              <w:t xml:space="preserve">EE. </w:t>
                            </w:r>
                          </w:p>
                          <w:p w14:paraId="3351742E" w14:textId="77777777" w:rsidR="00133485" w:rsidRPr="00F650D3" w:rsidRDefault="00133485" w:rsidP="00ED0FC2">
                            <w:pPr>
                              <w:pStyle w:val="BodyText"/>
                              <w:spacing w:after="120"/>
                              <w:rPr>
                                <w:rFonts w:asciiTheme="majorHAnsi" w:hAnsiTheme="majorHAnsi"/>
                                <w:szCs w:val="22"/>
                              </w:rPr>
                            </w:pPr>
                            <w:r w:rsidRPr="00F650D3">
                              <w:rPr>
                                <w:rFonts w:asciiTheme="majorHAnsi" w:hAnsiTheme="majorHAnsi"/>
                                <w:szCs w:val="22"/>
                              </w:rPr>
                              <w:t xml:space="preserve">This document </w:t>
                            </w:r>
                            <w:r w:rsidRPr="00F650D3">
                              <w:rPr>
                                <w:rFonts w:asciiTheme="majorHAnsi" w:hAnsiTheme="majorHAnsi"/>
                                <w:i/>
                                <w:szCs w:val="22"/>
                              </w:rPr>
                              <w:t>does not</w:t>
                            </w:r>
                            <w:r w:rsidRPr="00F650D3">
                              <w:rPr>
                                <w:rFonts w:asciiTheme="majorHAnsi" w:hAnsiTheme="majorHAnsi"/>
                                <w:szCs w:val="22"/>
                              </w:rPr>
                              <w:t>:</w:t>
                            </w:r>
                          </w:p>
                          <w:p w14:paraId="56E2CB79" w14:textId="77777777" w:rsidR="00133485" w:rsidRPr="00BF0E4A" w:rsidRDefault="00133485" w:rsidP="00713DC8">
                            <w:pPr>
                              <w:pStyle w:val="BulletLevel1"/>
                              <w:ind w:left="180" w:hanging="180"/>
                              <w:rPr>
                                <w:rFonts w:asciiTheme="majorHAnsi" w:hAnsiTheme="majorHAnsi"/>
                                <w:b/>
                                <w:szCs w:val="22"/>
                              </w:rPr>
                            </w:pPr>
                            <w:r>
                              <w:rPr>
                                <w:rFonts w:asciiTheme="majorHAnsi" w:hAnsiTheme="majorHAnsi"/>
                                <w:szCs w:val="22"/>
                              </w:rPr>
                              <w:t xml:space="preserve">Apply to zero- or low-emitting measures other than EE. </w:t>
                            </w:r>
                          </w:p>
                          <w:p w14:paraId="55A4B4BA" w14:textId="77777777" w:rsidR="00133485" w:rsidRPr="007B0115" w:rsidRDefault="00133485" w:rsidP="00713DC8">
                            <w:pPr>
                              <w:pStyle w:val="BulletLevel1"/>
                              <w:ind w:left="180" w:hanging="180"/>
                              <w:rPr>
                                <w:rFonts w:asciiTheme="majorHAnsi" w:hAnsiTheme="majorHAnsi"/>
                                <w:b/>
                                <w:szCs w:val="22"/>
                              </w:rPr>
                            </w:pPr>
                            <w:r w:rsidRPr="00F650D3">
                              <w:rPr>
                                <w:rFonts w:asciiTheme="majorHAnsi" w:hAnsiTheme="majorHAnsi"/>
                                <w:szCs w:val="22"/>
                              </w:rPr>
                              <w:t xml:space="preserve">Prescribe which demand-side EE </w:t>
                            </w:r>
                            <w:r w:rsidRPr="007B0115">
                              <w:rPr>
                                <w:rFonts w:asciiTheme="majorHAnsi" w:hAnsiTheme="majorHAnsi"/>
                                <w:szCs w:val="22"/>
                              </w:rPr>
                              <w:t>measures are eligible.</w:t>
                            </w:r>
                          </w:p>
                          <w:p w14:paraId="2AB62042" w14:textId="77777777" w:rsidR="00133485" w:rsidRPr="007B0115" w:rsidRDefault="00133485" w:rsidP="00713DC8">
                            <w:pPr>
                              <w:pStyle w:val="BulletLevel1"/>
                              <w:ind w:left="180" w:hanging="180"/>
                              <w:rPr>
                                <w:rFonts w:asciiTheme="majorHAnsi" w:hAnsiTheme="majorHAnsi"/>
                                <w:b/>
                                <w:szCs w:val="22"/>
                              </w:rPr>
                            </w:pPr>
                            <w:r w:rsidRPr="007B0115">
                              <w:rPr>
                                <w:rFonts w:asciiTheme="majorHAnsi" w:hAnsiTheme="majorHAnsi"/>
                                <w:szCs w:val="22"/>
                              </w:rPr>
                              <w:t xml:space="preserve">Provide criteria for </w:t>
                            </w:r>
                            <w:r w:rsidRPr="007B0115">
                              <w:rPr>
                                <w:rFonts w:asciiTheme="majorHAnsi" w:hAnsiTheme="majorHAnsi"/>
                                <w:i/>
                                <w:szCs w:val="22"/>
                              </w:rPr>
                              <w:t>projecting</w:t>
                            </w:r>
                            <w:r w:rsidRPr="007B0115">
                              <w:rPr>
                                <w:rFonts w:asciiTheme="majorHAnsi" w:hAnsiTheme="majorHAnsi"/>
                                <w:szCs w:val="22"/>
                              </w:rPr>
                              <w:t xml:space="preserve"> the impacts of such measures. </w:t>
                            </w:r>
                          </w:p>
                          <w:p w14:paraId="280051E7" w14:textId="77777777" w:rsidR="00133485" w:rsidRPr="007B0115" w:rsidRDefault="00133485" w:rsidP="00713DC8">
                            <w:pPr>
                              <w:pStyle w:val="BulletLevel1"/>
                              <w:ind w:left="180" w:hanging="180"/>
                              <w:rPr>
                                <w:rFonts w:asciiTheme="majorHAnsi" w:hAnsiTheme="majorHAnsi"/>
                                <w:b/>
                                <w:szCs w:val="22"/>
                              </w:rPr>
                            </w:pPr>
                            <w:r w:rsidRPr="007B0115">
                              <w:rPr>
                                <w:rFonts w:asciiTheme="majorHAnsi" w:hAnsiTheme="majorHAnsi"/>
                                <w:szCs w:val="22"/>
                              </w:rPr>
                              <w:t xml:space="preserve">Offer information or resources </w:t>
                            </w:r>
                            <w:r>
                              <w:rPr>
                                <w:rFonts w:asciiTheme="majorHAnsi" w:hAnsiTheme="majorHAnsi"/>
                                <w:szCs w:val="22"/>
                              </w:rPr>
                              <w:t xml:space="preserve">about </w:t>
                            </w:r>
                            <w:r w:rsidRPr="007B0115">
                              <w:rPr>
                                <w:rFonts w:asciiTheme="majorHAnsi" w:hAnsiTheme="majorHAnsi"/>
                                <w:szCs w:val="22"/>
                              </w:rPr>
                              <w:t>calculating displaced CO</w:t>
                            </w:r>
                            <w:r w:rsidRPr="007B0115">
                              <w:rPr>
                                <w:rFonts w:asciiTheme="majorHAnsi" w:hAnsiTheme="majorHAnsi"/>
                                <w:szCs w:val="22"/>
                                <w:vertAlign w:val="subscript"/>
                              </w:rPr>
                              <w:t>2</w:t>
                            </w:r>
                            <w:r w:rsidRPr="007B0115">
                              <w:rPr>
                                <w:rFonts w:asciiTheme="majorHAnsi" w:hAnsiTheme="majorHAnsi"/>
                                <w:szCs w:val="22"/>
                              </w:rPr>
                              <w:t xml:space="preserve"> emissions from EE. </w:t>
                            </w:r>
                          </w:p>
                          <w:p w14:paraId="2F52E129" w14:textId="77777777" w:rsidR="00133485" w:rsidRPr="007B0115" w:rsidRDefault="00133485" w:rsidP="00713DC8">
                            <w:pPr>
                              <w:pStyle w:val="BulletLevel1"/>
                              <w:ind w:left="180" w:hanging="180"/>
                              <w:rPr>
                                <w:rFonts w:asciiTheme="majorHAnsi" w:hAnsiTheme="majorHAnsi"/>
                                <w:b/>
                                <w:szCs w:val="22"/>
                              </w:rPr>
                            </w:pPr>
                            <w:r w:rsidRPr="007B0115">
                              <w:rPr>
                                <w:rFonts w:asciiTheme="majorHAnsi" w:hAnsiTheme="majorHAnsi"/>
                                <w:szCs w:val="22"/>
                              </w:rPr>
                              <w:t xml:space="preserve">Address the accounting procedures for how a quantified and verified </w:t>
                            </w:r>
                            <w:proofErr w:type="spellStart"/>
                            <w:r w:rsidRPr="007B0115">
                              <w:rPr>
                                <w:rFonts w:asciiTheme="majorHAnsi" w:hAnsiTheme="majorHAnsi"/>
                                <w:szCs w:val="22"/>
                              </w:rPr>
                              <w:t>MWh</w:t>
                            </w:r>
                            <w:proofErr w:type="spellEnd"/>
                            <w:r w:rsidRPr="007B0115">
                              <w:rPr>
                                <w:rFonts w:asciiTheme="majorHAnsi" w:hAnsiTheme="majorHAnsi"/>
                                <w:szCs w:val="22"/>
                              </w:rPr>
                              <w:t xml:space="preserve"> can be used to adjust a rate, or for how cross-jurisdictional issues are addressed.</w:t>
                            </w:r>
                          </w:p>
                          <w:p w14:paraId="1994BE5C" w14:textId="77777777" w:rsidR="00133485" w:rsidRPr="007B0115" w:rsidRDefault="00133485" w:rsidP="00713DC8">
                            <w:pPr>
                              <w:pStyle w:val="BulletLevel1"/>
                              <w:ind w:left="180" w:hanging="180"/>
                              <w:rPr>
                                <w:rFonts w:asciiTheme="majorHAnsi" w:hAnsiTheme="majorHAnsi"/>
                                <w:b/>
                                <w:szCs w:val="22"/>
                              </w:rPr>
                            </w:pPr>
                            <w:r>
                              <w:rPr>
                                <w:rFonts w:asciiTheme="majorHAnsi" w:hAnsiTheme="majorHAnsi"/>
                                <w:szCs w:val="22"/>
                              </w:rPr>
                              <w:t>Provide information on other s</w:t>
                            </w:r>
                            <w:r w:rsidRPr="007B0115">
                              <w:rPr>
                                <w:rFonts w:asciiTheme="majorHAnsi" w:hAnsiTheme="majorHAnsi"/>
                                <w:szCs w:val="22"/>
                              </w:rPr>
                              <w:t>tate plan requirements, such as the operation of ERC tracking</w:t>
                            </w:r>
                            <w:r>
                              <w:rPr>
                                <w:rFonts w:asciiTheme="majorHAnsi" w:hAnsiTheme="majorHAnsi"/>
                                <w:szCs w:val="22"/>
                              </w:rPr>
                              <w:t xml:space="preserve"> or emission trading</w:t>
                            </w:r>
                            <w:r w:rsidRPr="007B0115">
                              <w:rPr>
                                <w:rFonts w:asciiTheme="majorHAnsi" w:hAnsiTheme="majorHAnsi"/>
                                <w:szCs w:val="22"/>
                              </w:rPr>
                              <w:t xml:space="preserve"> systems. </w:t>
                            </w:r>
                          </w:p>
                          <w:p w14:paraId="7A578870" w14:textId="77777777" w:rsidR="00133485" w:rsidRPr="00ED64BA" w:rsidRDefault="00133485" w:rsidP="007B0115">
                            <w:pPr>
                              <w:pStyle w:val="BodyText"/>
                              <w:rPr>
                                <w:szCs w:val="22"/>
                              </w:rPr>
                            </w:pPr>
                            <w:r w:rsidRPr="007B0115">
                              <w:rPr>
                                <w:rFonts w:asciiTheme="majorHAnsi" w:hAnsiTheme="majorHAnsi"/>
                                <w:szCs w:val="22"/>
                              </w:rPr>
                              <w:t xml:space="preserve">Information about these aspects of </w:t>
                            </w:r>
                            <w:r>
                              <w:rPr>
                                <w:rFonts w:asciiTheme="majorHAnsi" w:hAnsiTheme="majorHAnsi"/>
                                <w:szCs w:val="22"/>
                              </w:rPr>
                              <w:t>s</w:t>
                            </w:r>
                            <w:r w:rsidRPr="007B0115">
                              <w:rPr>
                                <w:rFonts w:asciiTheme="majorHAnsi" w:hAnsiTheme="majorHAnsi"/>
                                <w:szCs w:val="22"/>
                              </w:rPr>
                              <w:t xml:space="preserve">tate plan submissions is provided </w:t>
                            </w:r>
                            <w:r w:rsidRPr="001B28EE">
                              <w:rPr>
                                <w:rFonts w:asciiTheme="majorHAnsi" w:hAnsiTheme="majorHAnsi"/>
                                <w:szCs w:val="22"/>
                              </w:rPr>
                              <w:t>in Section VIII of the draft model rule.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1C29D" id="_x0000_t202" coordsize="21600,21600" o:spt="202" path="m,l,21600r21600,l21600,xe">
                <v:stroke joinstyle="miter"/>
                <v:path gradientshapeok="t" o:connecttype="rect"/>
              </v:shapetype>
              <v:shape id="Text Box 4" o:spid="_x0000_s1026" type="#_x0000_t202" style="position:absolute;margin-left:257.5pt;margin-top:10.55pt;width:308.7pt;height:310.4pt;z-index:251648512;visibility:visible;mso-wrap-style:square;mso-width-percent:0;mso-height-percent:0;mso-wrap-distance-left:7.2pt;mso-wrap-distance-top:7.2pt;mso-wrap-distance-right:7.2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" fillcolor="#d1e1ff" strokecolor="#4a7ebb">
                <v:textbox>
                  <w:txbxContent>
                    <w:p w14:paraId="61B1B033" w14:textId="77777777" w:rsidR="00133485" w:rsidRPr="00F650D3" w:rsidRDefault="00133485" w:rsidP="00ED0FC2">
                      <w:pPr>
                        <w:pStyle w:val="BodyTextBold"/>
                        <w:spacing w:after="120"/>
                        <w:rPr>
                          <w:rFonts w:asciiTheme="majorHAnsi" w:hAnsiTheme="majorHAnsi"/>
                        </w:rPr>
                      </w:pPr>
                      <w:r>
                        <w:rPr>
                          <w:rFonts w:asciiTheme="majorHAnsi" w:hAnsiTheme="majorHAnsi"/>
                        </w:rPr>
                        <w:t xml:space="preserve">What is </w:t>
                      </w:r>
                      <w:r>
                        <w:rPr>
                          <w:rFonts w:asciiTheme="majorHAnsi" w:hAnsiTheme="majorHAnsi"/>
                          <w:i/>
                        </w:rPr>
                        <w:t xml:space="preserve">Not </w:t>
                      </w:r>
                      <w:proofErr w:type="gramStart"/>
                      <w:r>
                        <w:rPr>
                          <w:rFonts w:asciiTheme="majorHAnsi" w:hAnsiTheme="majorHAnsi"/>
                        </w:rPr>
                        <w:t>Covered</w:t>
                      </w:r>
                      <w:proofErr w:type="gramEnd"/>
                    </w:p>
                    <w:p w14:paraId="78C1867D" w14:textId="77777777" w:rsidR="00133485" w:rsidRDefault="00133485" w:rsidP="00ED0FC2">
                      <w:pPr>
                        <w:pStyle w:val="BodyText"/>
                        <w:spacing w:after="120"/>
                        <w:rPr>
                          <w:rFonts w:asciiTheme="majorHAnsi" w:hAnsiTheme="majorHAnsi"/>
                          <w:szCs w:val="22"/>
                        </w:rPr>
                      </w:pPr>
                      <w:r>
                        <w:rPr>
                          <w:rFonts w:asciiTheme="majorHAnsi" w:hAnsiTheme="majorHAnsi"/>
                          <w:szCs w:val="22"/>
                        </w:rPr>
                        <w:t>T</w:t>
                      </w:r>
                      <w:r w:rsidRPr="00F650D3">
                        <w:rPr>
                          <w:rFonts w:asciiTheme="majorHAnsi" w:hAnsiTheme="majorHAnsi"/>
                          <w:szCs w:val="22"/>
                        </w:rPr>
                        <w:t xml:space="preserve">his </w:t>
                      </w:r>
                      <w:r>
                        <w:rPr>
                          <w:rFonts w:asciiTheme="majorHAnsi" w:hAnsiTheme="majorHAnsi"/>
                          <w:szCs w:val="22"/>
                        </w:rPr>
                        <w:t xml:space="preserve">document provides guidance on the best practices, technical </w:t>
                      </w:r>
                      <w:r w:rsidRPr="00F650D3">
                        <w:rPr>
                          <w:rFonts w:asciiTheme="majorHAnsi" w:hAnsiTheme="majorHAnsi"/>
                          <w:szCs w:val="22"/>
                        </w:rPr>
                        <w:t>assumptions, and</w:t>
                      </w:r>
                      <w:r>
                        <w:rPr>
                          <w:rFonts w:asciiTheme="majorHAnsi" w:hAnsiTheme="majorHAnsi"/>
                          <w:szCs w:val="22"/>
                        </w:rPr>
                        <w:t xml:space="preserve"> industry-standard protocols and procedures </w:t>
                      </w:r>
                      <w:r w:rsidRPr="00F650D3">
                        <w:rPr>
                          <w:rFonts w:asciiTheme="majorHAnsi" w:hAnsiTheme="majorHAnsi"/>
                          <w:szCs w:val="22"/>
                        </w:rPr>
                        <w:t xml:space="preserve">that can be used to quantify </w:t>
                      </w:r>
                      <w:r>
                        <w:rPr>
                          <w:rFonts w:asciiTheme="majorHAnsi" w:hAnsiTheme="majorHAnsi"/>
                          <w:szCs w:val="22"/>
                        </w:rPr>
                        <w:t xml:space="preserve">and verify </w:t>
                      </w:r>
                      <w:proofErr w:type="spellStart"/>
                      <w:r w:rsidRPr="00F650D3">
                        <w:rPr>
                          <w:rFonts w:asciiTheme="majorHAnsi" w:hAnsiTheme="majorHAnsi"/>
                          <w:szCs w:val="22"/>
                        </w:rPr>
                        <w:t>MWh</w:t>
                      </w:r>
                      <w:proofErr w:type="spellEnd"/>
                      <w:r w:rsidRPr="00F650D3">
                        <w:rPr>
                          <w:rFonts w:asciiTheme="majorHAnsi" w:hAnsiTheme="majorHAnsi"/>
                          <w:szCs w:val="22"/>
                        </w:rPr>
                        <w:t xml:space="preserve"> savings from </w:t>
                      </w:r>
                      <w:r>
                        <w:rPr>
                          <w:rFonts w:asciiTheme="majorHAnsi" w:hAnsiTheme="majorHAnsi"/>
                          <w:szCs w:val="22"/>
                        </w:rPr>
                        <w:t xml:space="preserve">demand-side </w:t>
                      </w:r>
                      <w:r w:rsidRPr="00F650D3">
                        <w:rPr>
                          <w:rFonts w:asciiTheme="majorHAnsi" w:hAnsiTheme="majorHAnsi"/>
                          <w:szCs w:val="22"/>
                        </w:rPr>
                        <w:t xml:space="preserve">EE. </w:t>
                      </w:r>
                    </w:p>
                    <w:p w14:paraId="3351742E" w14:textId="77777777" w:rsidR="00133485" w:rsidRPr="00F650D3" w:rsidRDefault="00133485" w:rsidP="00ED0FC2">
                      <w:pPr>
                        <w:pStyle w:val="BodyText"/>
                        <w:spacing w:after="120"/>
                        <w:rPr>
                          <w:rFonts w:asciiTheme="majorHAnsi" w:hAnsiTheme="majorHAnsi"/>
                          <w:szCs w:val="22"/>
                        </w:rPr>
                      </w:pPr>
                      <w:r w:rsidRPr="00F650D3">
                        <w:rPr>
                          <w:rFonts w:asciiTheme="majorHAnsi" w:hAnsiTheme="majorHAnsi"/>
                          <w:szCs w:val="22"/>
                        </w:rPr>
                        <w:t xml:space="preserve">This document </w:t>
                      </w:r>
                      <w:r w:rsidRPr="00F650D3">
                        <w:rPr>
                          <w:rFonts w:asciiTheme="majorHAnsi" w:hAnsiTheme="majorHAnsi"/>
                          <w:i/>
                          <w:szCs w:val="22"/>
                        </w:rPr>
                        <w:t>does not</w:t>
                      </w:r>
                      <w:r w:rsidRPr="00F650D3">
                        <w:rPr>
                          <w:rFonts w:asciiTheme="majorHAnsi" w:hAnsiTheme="majorHAnsi"/>
                          <w:szCs w:val="22"/>
                        </w:rPr>
                        <w:t>:</w:t>
                      </w:r>
                    </w:p>
                    <w:p w14:paraId="56E2CB79" w14:textId="77777777" w:rsidR="00133485" w:rsidRPr="00BF0E4A" w:rsidRDefault="00133485" w:rsidP="00713DC8">
                      <w:pPr>
                        <w:pStyle w:val="BulletLevel1"/>
                        <w:ind w:left="180" w:hanging="180"/>
                        <w:rPr>
                          <w:rFonts w:asciiTheme="majorHAnsi" w:hAnsiTheme="majorHAnsi"/>
                          <w:b/>
                          <w:szCs w:val="22"/>
                        </w:rPr>
                      </w:pPr>
                      <w:r>
                        <w:rPr>
                          <w:rFonts w:asciiTheme="majorHAnsi" w:hAnsiTheme="majorHAnsi"/>
                          <w:szCs w:val="22"/>
                        </w:rPr>
                        <w:t xml:space="preserve">Apply to zero- or low-emitting measures other than EE. </w:t>
                      </w:r>
                    </w:p>
                    <w:p w14:paraId="55A4B4BA" w14:textId="77777777" w:rsidR="00133485" w:rsidRPr="007B0115" w:rsidRDefault="00133485" w:rsidP="00713DC8">
                      <w:pPr>
                        <w:pStyle w:val="BulletLevel1"/>
                        <w:ind w:left="180" w:hanging="180"/>
                        <w:rPr>
                          <w:rFonts w:asciiTheme="majorHAnsi" w:hAnsiTheme="majorHAnsi"/>
                          <w:b/>
                          <w:szCs w:val="22"/>
                        </w:rPr>
                      </w:pPr>
                      <w:r w:rsidRPr="00F650D3">
                        <w:rPr>
                          <w:rFonts w:asciiTheme="majorHAnsi" w:hAnsiTheme="majorHAnsi"/>
                          <w:szCs w:val="22"/>
                        </w:rPr>
                        <w:t xml:space="preserve">Prescribe which demand-side EE </w:t>
                      </w:r>
                      <w:r w:rsidRPr="007B0115">
                        <w:rPr>
                          <w:rFonts w:asciiTheme="majorHAnsi" w:hAnsiTheme="majorHAnsi"/>
                          <w:szCs w:val="22"/>
                        </w:rPr>
                        <w:t>measures are eligible.</w:t>
                      </w:r>
                    </w:p>
                    <w:p w14:paraId="2AB62042" w14:textId="77777777" w:rsidR="00133485" w:rsidRPr="007B0115" w:rsidRDefault="00133485" w:rsidP="00713DC8">
                      <w:pPr>
                        <w:pStyle w:val="BulletLevel1"/>
                        <w:ind w:left="180" w:hanging="180"/>
                        <w:rPr>
                          <w:rFonts w:asciiTheme="majorHAnsi" w:hAnsiTheme="majorHAnsi"/>
                          <w:b/>
                          <w:szCs w:val="22"/>
                        </w:rPr>
                      </w:pPr>
                      <w:r w:rsidRPr="007B0115">
                        <w:rPr>
                          <w:rFonts w:asciiTheme="majorHAnsi" w:hAnsiTheme="majorHAnsi"/>
                          <w:szCs w:val="22"/>
                        </w:rPr>
                        <w:t xml:space="preserve">Provide criteria for </w:t>
                      </w:r>
                      <w:r w:rsidRPr="007B0115">
                        <w:rPr>
                          <w:rFonts w:asciiTheme="majorHAnsi" w:hAnsiTheme="majorHAnsi"/>
                          <w:i/>
                          <w:szCs w:val="22"/>
                        </w:rPr>
                        <w:t>projecting</w:t>
                      </w:r>
                      <w:r w:rsidRPr="007B0115">
                        <w:rPr>
                          <w:rFonts w:asciiTheme="majorHAnsi" w:hAnsiTheme="majorHAnsi"/>
                          <w:szCs w:val="22"/>
                        </w:rPr>
                        <w:t xml:space="preserve"> the impacts of such measures. </w:t>
                      </w:r>
                    </w:p>
                    <w:p w14:paraId="280051E7" w14:textId="77777777" w:rsidR="00133485" w:rsidRPr="007B0115" w:rsidRDefault="00133485" w:rsidP="00713DC8">
                      <w:pPr>
                        <w:pStyle w:val="BulletLevel1"/>
                        <w:ind w:left="180" w:hanging="180"/>
                        <w:rPr>
                          <w:rFonts w:asciiTheme="majorHAnsi" w:hAnsiTheme="majorHAnsi"/>
                          <w:b/>
                          <w:szCs w:val="22"/>
                        </w:rPr>
                      </w:pPr>
                      <w:r w:rsidRPr="007B0115">
                        <w:rPr>
                          <w:rFonts w:asciiTheme="majorHAnsi" w:hAnsiTheme="majorHAnsi"/>
                          <w:szCs w:val="22"/>
                        </w:rPr>
                        <w:t xml:space="preserve">Offer information or resources </w:t>
                      </w:r>
                      <w:r>
                        <w:rPr>
                          <w:rFonts w:asciiTheme="majorHAnsi" w:hAnsiTheme="majorHAnsi"/>
                          <w:szCs w:val="22"/>
                        </w:rPr>
                        <w:t xml:space="preserve">about </w:t>
                      </w:r>
                      <w:r w:rsidRPr="007B0115">
                        <w:rPr>
                          <w:rFonts w:asciiTheme="majorHAnsi" w:hAnsiTheme="majorHAnsi"/>
                          <w:szCs w:val="22"/>
                        </w:rPr>
                        <w:t>calculating displaced CO</w:t>
                      </w:r>
                      <w:r w:rsidRPr="007B0115">
                        <w:rPr>
                          <w:rFonts w:asciiTheme="majorHAnsi" w:hAnsiTheme="majorHAnsi"/>
                          <w:szCs w:val="22"/>
                          <w:vertAlign w:val="subscript"/>
                        </w:rPr>
                        <w:t>2</w:t>
                      </w:r>
                      <w:r w:rsidRPr="007B0115">
                        <w:rPr>
                          <w:rFonts w:asciiTheme="majorHAnsi" w:hAnsiTheme="majorHAnsi"/>
                          <w:szCs w:val="22"/>
                        </w:rPr>
                        <w:t xml:space="preserve"> emissions from EE. </w:t>
                      </w:r>
                    </w:p>
                    <w:p w14:paraId="2F52E129" w14:textId="77777777" w:rsidR="00133485" w:rsidRPr="007B0115" w:rsidRDefault="00133485" w:rsidP="00713DC8">
                      <w:pPr>
                        <w:pStyle w:val="BulletLevel1"/>
                        <w:ind w:left="180" w:hanging="180"/>
                        <w:rPr>
                          <w:rFonts w:asciiTheme="majorHAnsi" w:hAnsiTheme="majorHAnsi"/>
                          <w:b/>
                          <w:szCs w:val="22"/>
                        </w:rPr>
                      </w:pPr>
                      <w:r w:rsidRPr="007B0115">
                        <w:rPr>
                          <w:rFonts w:asciiTheme="majorHAnsi" w:hAnsiTheme="majorHAnsi"/>
                          <w:szCs w:val="22"/>
                        </w:rPr>
                        <w:t xml:space="preserve">Address the accounting procedures for how a quantified and verified </w:t>
                      </w:r>
                      <w:proofErr w:type="spellStart"/>
                      <w:r w:rsidRPr="007B0115">
                        <w:rPr>
                          <w:rFonts w:asciiTheme="majorHAnsi" w:hAnsiTheme="majorHAnsi"/>
                          <w:szCs w:val="22"/>
                        </w:rPr>
                        <w:t>MWh</w:t>
                      </w:r>
                      <w:proofErr w:type="spellEnd"/>
                      <w:r w:rsidRPr="007B0115">
                        <w:rPr>
                          <w:rFonts w:asciiTheme="majorHAnsi" w:hAnsiTheme="majorHAnsi"/>
                          <w:szCs w:val="22"/>
                        </w:rPr>
                        <w:t xml:space="preserve"> can be used to adjust a rate, or for how cross-jurisdictional issues are addressed.</w:t>
                      </w:r>
                    </w:p>
                    <w:p w14:paraId="1994BE5C" w14:textId="77777777" w:rsidR="00133485" w:rsidRPr="007B0115" w:rsidRDefault="00133485" w:rsidP="00713DC8">
                      <w:pPr>
                        <w:pStyle w:val="BulletLevel1"/>
                        <w:ind w:left="180" w:hanging="180"/>
                        <w:rPr>
                          <w:rFonts w:asciiTheme="majorHAnsi" w:hAnsiTheme="majorHAnsi"/>
                          <w:b/>
                          <w:szCs w:val="22"/>
                        </w:rPr>
                      </w:pPr>
                      <w:r>
                        <w:rPr>
                          <w:rFonts w:asciiTheme="majorHAnsi" w:hAnsiTheme="majorHAnsi"/>
                          <w:szCs w:val="22"/>
                        </w:rPr>
                        <w:t>Provide information on other s</w:t>
                      </w:r>
                      <w:r w:rsidRPr="007B0115">
                        <w:rPr>
                          <w:rFonts w:asciiTheme="majorHAnsi" w:hAnsiTheme="majorHAnsi"/>
                          <w:szCs w:val="22"/>
                        </w:rPr>
                        <w:t>tate plan requirements, such as the operation of ERC tracking</w:t>
                      </w:r>
                      <w:r>
                        <w:rPr>
                          <w:rFonts w:asciiTheme="majorHAnsi" w:hAnsiTheme="majorHAnsi"/>
                          <w:szCs w:val="22"/>
                        </w:rPr>
                        <w:t xml:space="preserve"> or emission trading</w:t>
                      </w:r>
                      <w:r w:rsidRPr="007B0115">
                        <w:rPr>
                          <w:rFonts w:asciiTheme="majorHAnsi" w:hAnsiTheme="majorHAnsi"/>
                          <w:szCs w:val="22"/>
                        </w:rPr>
                        <w:t xml:space="preserve"> systems. </w:t>
                      </w:r>
                    </w:p>
                    <w:p w14:paraId="7A578870" w14:textId="77777777" w:rsidR="00133485" w:rsidRPr="00ED64BA" w:rsidRDefault="00133485" w:rsidP="007B0115">
                      <w:pPr>
                        <w:pStyle w:val="BodyText"/>
                        <w:rPr>
                          <w:szCs w:val="22"/>
                        </w:rPr>
                      </w:pPr>
                      <w:r w:rsidRPr="007B0115">
                        <w:rPr>
                          <w:rFonts w:asciiTheme="majorHAnsi" w:hAnsiTheme="majorHAnsi"/>
                          <w:szCs w:val="22"/>
                        </w:rPr>
                        <w:t xml:space="preserve">Information about these aspects of </w:t>
                      </w:r>
                      <w:r>
                        <w:rPr>
                          <w:rFonts w:asciiTheme="majorHAnsi" w:hAnsiTheme="majorHAnsi"/>
                          <w:szCs w:val="22"/>
                        </w:rPr>
                        <w:t>s</w:t>
                      </w:r>
                      <w:r w:rsidRPr="007B0115">
                        <w:rPr>
                          <w:rFonts w:asciiTheme="majorHAnsi" w:hAnsiTheme="majorHAnsi"/>
                          <w:szCs w:val="22"/>
                        </w:rPr>
                        <w:t xml:space="preserve">tate plan submissions is provided </w:t>
                      </w:r>
                      <w:r w:rsidRPr="001B28EE">
                        <w:rPr>
                          <w:rFonts w:asciiTheme="majorHAnsi" w:hAnsiTheme="majorHAnsi"/>
                          <w:szCs w:val="22"/>
                        </w:rPr>
                        <w:t>in Section VIII of the draft model rule.</w:t>
                      </w:r>
                    </w:p>
                  </w:txbxContent>
                </v:textbox>
                <w10:wrap type="square" anchorx="margin"/>
              </v:shape>
            </w:pict>
          </mc:Fallback>
        </mc:AlternateContent>
      </w:r>
      <w:r w:rsidR="00F1726B">
        <w:t xml:space="preserve">This document establishes guidance </w:t>
      </w:r>
      <w:r w:rsidR="00980294">
        <w:t xml:space="preserve">to help </w:t>
      </w:r>
      <w:r w:rsidR="00F1726B">
        <w:t xml:space="preserve">states, </w:t>
      </w:r>
      <w:r w:rsidR="00652A96">
        <w:t xml:space="preserve">affected EGUs, and </w:t>
      </w:r>
      <w:r w:rsidR="00F1726B">
        <w:t>EE</w:t>
      </w:r>
      <w:r w:rsidR="003F0E90">
        <w:t xml:space="preserve"> </w:t>
      </w:r>
      <w:r w:rsidR="00F1726B">
        <w:t>providers</w:t>
      </w:r>
      <w:r w:rsidR="00652A96">
        <w:t xml:space="preserve"> (</w:t>
      </w:r>
      <w:r w:rsidR="002537FA">
        <w:t xml:space="preserve">including </w:t>
      </w:r>
      <w:r w:rsidR="00652A96">
        <w:t>the firms they hire)</w:t>
      </w:r>
      <w:r w:rsidR="00F1726B">
        <w:t xml:space="preserve"> </w:t>
      </w:r>
      <w:r w:rsidR="00980294">
        <w:t>implement the</w:t>
      </w:r>
      <w:r w:rsidR="0081189D">
        <w:t xml:space="preserve"> requirements in the </w:t>
      </w:r>
      <w:r w:rsidR="00980294">
        <w:t xml:space="preserve">EPA’s </w:t>
      </w:r>
      <w:r w:rsidR="0081189D">
        <w:t xml:space="preserve">emission guidelines, as well as the </w:t>
      </w:r>
      <w:r w:rsidR="0021160E">
        <w:t xml:space="preserve">presumptively approvable EM&amp;V approaches </w:t>
      </w:r>
      <w:r w:rsidR="00980294">
        <w:t xml:space="preserve">for </w:t>
      </w:r>
      <w:r w:rsidR="00F1726B">
        <w:t>quantify</w:t>
      </w:r>
      <w:r w:rsidR="00980294">
        <w:t>ing</w:t>
      </w:r>
      <w:r w:rsidR="00F1726B">
        <w:t xml:space="preserve"> and verify</w:t>
      </w:r>
      <w:r w:rsidR="00980294">
        <w:t>ing</w:t>
      </w:r>
      <w:r w:rsidR="00F1726B">
        <w:t xml:space="preserve"> </w:t>
      </w:r>
      <w:proofErr w:type="spellStart"/>
      <w:r w:rsidR="00F1726B">
        <w:t>MWh</w:t>
      </w:r>
      <w:proofErr w:type="spellEnd"/>
      <w:r w:rsidR="00F1726B">
        <w:t xml:space="preserve"> savings</w:t>
      </w:r>
      <w:r w:rsidR="0081189D">
        <w:t xml:space="preserve">. As specified above, the guidance </w:t>
      </w:r>
      <w:r w:rsidR="0021160E">
        <w:t xml:space="preserve">applies </w:t>
      </w:r>
      <w:r w:rsidR="00F1726B">
        <w:t>only in the context of rate-based state plans</w:t>
      </w:r>
      <w:r w:rsidR="009D2131">
        <w:t>—</w:t>
      </w:r>
      <w:r w:rsidR="00F1726B">
        <w:t xml:space="preserve">including </w:t>
      </w:r>
      <w:r w:rsidR="0021160E">
        <w:t>“</w:t>
      </w:r>
      <w:r w:rsidR="00F1726B">
        <w:t>emission standards</w:t>
      </w:r>
      <w:r w:rsidR="0021160E">
        <w:t>”</w:t>
      </w:r>
      <w:r w:rsidR="00F1726B">
        <w:t xml:space="preserve"> and </w:t>
      </w:r>
      <w:r w:rsidR="0021160E">
        <w:t>“</w:t>
      </w:r>
      <w:r w:rsidR="00F1726B">
        <w:t>state measures</w:t>
      </w:r>
      <w:r w:rsidR="0021160E">
        <w:t>”</w:t>
      </w:r>
      <w:r w:rsidR="00F1726B">
        <w:t xml:space="preserve"> plan types</w:t>
      </w:r>
      <w:r w:rsidR="009D2131">
        <w:t>—</w:t>
      </w:r>
      <w:r w:rsidR="00F1726B">
        <w:t xml:space="preserve">that explicitly credit </w:t>
      </w:r>
      <w:proofErr w:type="spellStart"/>
      <w:r w:rsidR="00F1726B">
        <w:t>MWh</w:t>
      </w:r>
      <w:proofErr w:type="spellEnd"/>
      <w:r w:rsidR="00F1726B">
        <w:t xml:space="preserve"> savings in the form of ERCs or </w:t>
      </w:r>
      <w:r w:rsidR="003F0E90">
        <w:t xml:space="preserve">other </w:t>
      </w:r>
      <w:r w:rsidR="00F1726B">
        <w:t>denominator rate adjustments.</w:t>
      </w:r>
      <w:r w:rsidR="001656D8">
        <w:t xml:space="preserve"> </w:t>
      </w:r>
    </w:p>
    <w:p w14:paraId="5AAB0A51" w14:textId="21BE40DF" w:rsidR="009C0AB7" w:rsidRPr="004B5A5D" w:rsidRDefault="009C0AB7" w:rsidP="00703A52">
      <w:pPr>
        <w:pStyle w:val="BodyText"/>
      </w:pPr>
      <w:r>
        <w:t xml:space="preserve">In </w:t>
      </w:r>
      <w:r w:rsidR="0021160E">
        <w:t>terms of programmatic applicability</w:t>
      </w:r>
      <w:r>
        <w:t xml:space="preserve">, this </w:t>
      </w:r>
      <w:r w:rsidR="0081189D">
        <w:t xml:space="preserve">document </w:t>
      </w:r>
      <w:r>
        <w:t xml:space="preserve">applies to all EE activities initiated by EE providers such as investor-owned utilities (IOUs), public utilities, </w:t>
      </w:r>
      <w:r w:rsidR="00074DA5">
        <w:t xml:space="preserve">private organizations (such as </w:t>
      </w:r>
      <w:r>
        <w:t>energy services companies</w:t>
      </w:r>
      <w:r w:rsidR="00074DA5">
        <w:t xml:space="preserve">, or </w:t>
      </w:r>
      <w:r>
        <w:t xml:space="preserve">ESCOs), and </w:t>
      </w:r>
      <w:r w:rsidR="00074DA5">
        <w:t>the owners and operators of</w:t>
      </w:r>
      <w:r>
        <w:t xml:space="preserve"> large commercial and industrial end-users.</w:t>
      </w:r>
      <w:r w:rsidR="001A5A18">
        <w:t xml:space="preserve"> </w:t>
      </w:r>
      <w:r>
        <w:t>It is also applicable to programs implemented in all customer sectors, including low-income.</w:t>
      </w:r>
      <w:r>
        <w:rPr>
          <w:rStyle w:val="FootnoteReference"/>
        </w:rPr>
        <w:footnoteReference w:id="10"/>
      </w:r>
      <w:r w:rsidR="001A5A18">
        <w:t xml:space="preserve"> </w:t>
      </w:r>
    </w:p>
    <w:p w14:paraId="6EB7A568" w14:textId="356B2865" w:rsidR="00F1726B" w:rsidRDefault="00F943E3" w:rsidP="00AB6C96">
      <w:pPr>
        <w:pStyle w:val="BodyText"/>
        <w:widowControl/>
      </w:pPr>
      <w:r>
        <w:lastRenderedPageBreak/>
        <w:t xml:space="preserve">This EM&amp;V guidance does not apply to states electing to submit mass-based plans in which compliance is based on monitored emissions at the </w:t>
      </w:r>
      <w:r w:rsidR="001B28EE">
        <w:t>affected source</w:t>
      </w:r>
      <w:r>
        <w:rPr>
          <w:rStyle w:val="FootnoteReference"/>
        </w:rPr>
        <w:footnoteReference w:id="11"/>
      </w:r>
      <w:r w:rsidR="009126DD">
        <w:t xml:space="preserve">. Therefore, </w:t>
      </w:r>
      <w:r>
        <w:t xml:space="preserve">mass-based </w:t>
      </w:r>
      <w:r w:rsidR="00F1726B">
        <w:t xml:space="preserve">plans do not </w:t>
      </w:r>
      <w:r w:rsidR="00652A96">
        <w:t xml:space="preserve">require </w:t>
      </w:r>
      <w:r w:rsidR="00F1726B">
        <w:t xml:space="preserve">explicit adjustments </w:t>
      </w:r>
      <w:r w:rsidR="00652A96">
        <w:t xml:space="preserve">to emission rates </w:t>
      </w:r>
      <w:r w:rsidR="00F1726B">
        <w:t>based on demand-side EE</w:t>
      </w:r>
      <w:r w:rsidR="009126DD">
        <w:t>.</w:t>
      </w:r>
      <w:r w:rsidDel="00F943E3">
        <w:t xml:space="preserve"> </w:t>
      </w:r>
    </w:p>
    <w:p w14:paraId="16517AC6" w14:textId="77777777" w:rsidR="00F1726B" w:rsidRPr="00D7487D" w:rsidRDefault="00F1726B" w:rsidP="001A7E81">
      <w:pPr>
        <w:pStyle w:val="Heading2"/>
      </w:pPr>
      <w:bookmarkStart w:id="10" w:name="_Toc423535469"/>
      <w:bookmarkStart w:id="11" w:name="_Toc423535470"/>
      <w:bookmarkStart w:id="12" w:name="_Toc423535471"/>
      <w:bookmarkStart w:id="13" w:name="_Toc423535472"/>
      <w:bookmarkStart w:id="14" w:name="_Toc423535473"/>
      <w:bookmarkStart w:id="15" w:name="_Toc423535474"/>
      <w:bookmarkStart w:id="16" w:name="_Toc426044621"/>
      <w:bookmarkEnd w:id="10"/>
      <w:bookmarkEnd w:id="11"/>
      <w:bookmarkEnd w:id="12"/>
      <w:bookmarkEnd w:id="13"/>
      <w:bookmarkEnd w:id="14"/>
      <w:bookmarkEnd w:id="15"/>
      <w:r>
        <w:t>How to Use this Document</w:t>
      </w:r>
      <w:bookmarkEnd w:id="16"/>
    </w:p>
    <w:p w14:paraId="77AE288D" w14:textId="77777777" w:rsidR="00F1726B" w:rsidRPr="002E7685" w:rsidRDefault="00F1726B" w:rsidP="00AB6C96">
      <w:pPr>
        <w:pStyle w:val="BodyText"/>
        <w:widowControl/>
      </w:pPr>
      <w:r w:rsidRPr="002E7685">
        <w:t>This guidance is organized and intended to be used, as follows:</w:t>
      </w:r>
    </w:p>
    <w:p w14:paraId="6F56AD78" w14:textId="77777777" w:rsidR="00F1726B" w:rsidRPr="00A80CE8" w:rsidRDefault="00F1726B" w:rsidP="00AB6C96">
      <w:pPr>
        <w:pStyle w:val="BulletLevel1"/>
      </w:pPr>
      <w:r>
        <w:rPr>
          <w:b/>
        </w:rPr>
        <w:t xml:space="preserve">Section </w:t>
      </w:r>
      <w:r w:rsidR="00C95CD7">
        <w:rPr>
          <w:b/>
        </w:rPr>
        <w:t>2</w:t>
      </w:r>
      <w:r w:rsidRPr="00A80CE8">
        <w:t xml:space="preserve"> </w:t>
      </w:r>
      <w:r w:rsidR="00F258E8">
        <w:t xml:space="preserve">provides a high-level discussion of 12 key EM&amp;V topics </w:t>
      </w:r>
      <w:r>
        <w:t>and establishes guidance</w:t>
      </w:r>
      <w:r w:rsidR="00EC43B8">
        <w:t xml:space="preserve"> to help EE providers develop EM&amp;V plans that document how the applicable regulatory requirements will be addressed</w:t>
      </w:r>
      <w:r w:rsidR="00F258E8">
        <w:t xml:space="preserve">. The </w:t>
      </w:r>
      <w:r w:rsidR="00EC43B8">
        <w:t xml:space="preserve">guidance </w:t>
      </w:r>
      <w:r w:rsidR="00F258E8">
        <w:t xml:space="preserve">in this section applies </w:t>
      </w:r>
      <w:r>
        <w:t>to all demand-side EE used to generate ERCs and otherwise adjust an emission rate.</w:t>
      </w:r>
      <w:r w:rsidRPr="00A80CE8">
        <w:t xml:space="preserve"> </w:t>
      </w:r>
    </w:p>
    <w:p w14:paraId="6B49C55C" w14:textId="77777777" w:rsidR="00F1726B" w:rsidRPr="001D5FD7" w:rsidRDefault="00F1726B" w:rsidP="00FC6CC2">
      <w:pPr>
        <w:pStyle w:val="BulletLevel1"/>
      </w:pPr>
      <w:r>
        <w:rPr>
          <w:b/>
        </w:rPr>
        <w:t xml:space="preserve">Section </w:t>
      </w:r>
      <w:r w:rsidR="00C95CD7">
        <w:rPr>
          <w:b/>
        </w:rPr>
        <w:t>3</w:t>
      </w:r>
      <w:r w:rsidRPr="00A80CE8">
        <w:rPr>
          <w:b/>
        </w:rPr>
        <w:t xml:space="preserve"> </w:t>
      </w:r>
      <w:r w:rsidRPr="00A80CE8">
        <w:t>es</w:t>
      </w:r>
      <w:r>
        <w:t>tablishes additional EM&amp;V guidance</w:t>
      </w:r>
      <w:r w:rsidR="00ED64BA">
        <w:t>—</w:t>
      </w:r>
      <w:r>
        <w:t xml:space="preserve">beyond the general guidance provided in </w:t>
      </w:r>
      <w:r w:rsidR="00D734C9">
        <w:t>Section </w:t>
      </w:r>
      <w:r w:rsidR="00C95CD7">
        <w:t>2</w:t>
      </w:r>
      <w:r w:rsidR="00D734C9">
        <w:t>—</w:t>
      </w:r>
      <w:r>
        <w:t>for</w:t>
      </w:r>
      <w:r w:rsidR="00EC43B8">
        <w:t xml:space="preserve"> several</w:t>
      </w:r>
      <w:r>
        <w:t xml:space="preserve"> </w:t>
      </w:r>
      <w:r w:rsidR="002537FA">
        <w:t xml:space="preserve">common </w:t>
      </w:r>
      <w:r>
        <w:t>EE program and project types.</w:t>
      </w:r>
      <w:r w:rsidR="001A5A18">
        <w:t xml:space="preserve"> </w:t>
      </w:r>
      <w:r>
        <w:t xml:space="preserve">The </w:t>
      </w:r>
      <w:r w:rsidRPr="001D5FD7">
        <w:t xml:space="preserve">specific program and project types addressed </w:t>
      </w:r>
      <w:r w:rsidR="00E76D88">
        <w:t>comprise</w:t>
      </w:r>
      <w:r w:rsidRPr="001D5FD7">
        <w:t xml:space="preserve">: </w:t>
      </w:r>
    </w:p>
    <w:p w14:paraId="08254280" w14:textId="77777777" w:rsidR="00F1726B" w:rsidRPr="001D5FD7" w:rsidRDefault="00F1726B" w:rsidP="00AB6C96">
      <w:pPr>
        <w:pStyle w:val="BulletLevel2"/>
      </w:pPr>
      <w:r w:rsidRPr="001D5FD7">
        <w:t>Programs implemented using utility customer funds (“utility EE programs”)</w:t>
      </w:r>
    </w:p>
    <w:p w14:paraId="1874E784" w14:textId="77777777" w:rsidR="00F062AC" w:rsidRPr="001D5FD7" w:rsidRDefault="00F062AC" w:rsidP="00F062AC">
      <w:pPr>
        <w:pStyle w:val="BulletLevel2"/>
      </w:pPr>
      <w:r w:rsidRPr="001D5FD7">
        <w:t>Individual or aggregated EE projects</w:t>
      </w:r>
      <w:r>
        <w:t xml:space="preserve">, such as those </w:t>
      </w:r>
      <w:r w:rsidRPr="001D5FD7">
        <w:t>implemented by ESCOs</w:t>
      </w:r>
      <w:r>
        <w:t xml:space="preserve"> or at industrial facilities (e.g., water treatment plants)</w:t>
      </w:r>
    </w:p>
    <w:p w14:paraId="57E28393" w14:textId="77777777" w:rsidR="00F1726B" w:rsidRPr="001D5FD7" w:rsidRDefault="00F1726B" w:rsidP="00AB6C96">
      <w:pPr>
        <w:pStyle w:val="BulletLevel2"/>
      </w:pPr>
      <w:r w:rsidRPr="001D5FD7">
        <w:t>Building energy codes</w:t>
      </w:r>
    </w:p>
    <w:p w14:paraId="27DE8954" w14:textId="77777777" w:rsidR="00F1726B" w:rsidRPr="001D5FD7" w:rsidRDefault="00F1726B" w:rsidP="00AB6C96">
      <w:pPr>
        <w:pStyle w:val="BulletLevel2"/>
      </w:pPr>
      <w:r w:rsidRPr="001D5FD7">
        <w:t>Appliance energy standards</w:t>
      </w:r>
    </w:p>
    <w:p w14:paraId="1F4716B6" w14:textId="125C1FE6" w:rsidR="00F1726B" w:rsidRPr="001D5FD7" w:rsidRDefault="00F1726B" w:rsidP="00AB6C96">
      <w:pPr>
        <w:pStyle w:val="BulletLevel1"/>
      </w:pPr>
      <w:r w:rsidRPr="001D5FD7">
        <w:rPr>
          <w:b/>
        </w:rPr>
        <w:t xml:space="preserve">Appendix A </w:t>
      </w:r>
      <w:r w:rsidRPr="001D5FD7">
        <w:t xml:space="preserve">provides a </w:t>
      </w:r>
      <w:commentRangeStart w:id="17"/>
      <w:r w:rsidRPr="001D5FD7">
        <w:t xml:space="preserve">brief glossary </w:t>
      </w:r>
      <w:commentRangeEnd w:id="17"/>
      <w:r w:rsidR="00F54E17">
        <w:rPr>
          <w:rStyle w:val="CommentReference"/>
          <w:rFonts w:ascii="Times New Roman" w:hAnsi="Times New Roman" w:cstheme="minorBidi"/>
        </w:rPr>
        <w:commentReference w:id="17"/>
      </w:r>
      <w:r w:rsidRPr="001D5FD7">
        <w:t>of key terms used in this document. Th</w:t>
      </w:r>
      <w:r w:rsidR="00075C89">
        <w:t xml:space="preserve">is glossary is intended to be </w:t>
      </w:r>
      <w:r w:rsidRPr="001D5FD7">
        <w:t>consistent with industry-standard protocols and reference documents, and can be supplemented with the more complete glossary provided in the SEE Action Energy Efficiency Impact Evaluation Guide</w:t>
      </w:r>
      <w:r w:rsidR="00D734C9">
        <w:t>.</w:t>
      </w:r>
      <w:r w:rsidRPr="0032174F">
        <w:rPr>
          <w:vertAlign w:val="superscript"/>
        </w:rPr>
        <w:footnoteReference w:id="12"/>
      </w:r>
      <w:r w:rsidRPr="001D5FD7">
        <w:t xml:space="preserve"> </w:t>
      </w:r>
    </w:p>
    <w:p w14:paraId="053F0AA1" w14:textId="77777777" w:rsidR="00F1726B" w:rsidRDefault="00F1726B" w:rsidP="00AB6C96">
      <w:pPr>
        <w:pStyle w:val="BulletLevel1"/>
      </w:pPr>
      <w:r w:rsidRPr="006F0307">
        <w:rPr>
          <w:b/>
        </w:rPr>
        <w:t>Appendix B</w:t>
      </w:r>
      <w:r>
        <w:t xml:space="preserve"> provides templates for program and project EM&amp;V plans. These </w:t>
      </w:r>
      <w:r w:rsidR="007D1D30">
        <w:t xml:space="preserve">templates </w:t>
      </w:r>
      <w:r>
        <w:t>can be used (but are not required) to indicate how the relevant approaches, methods, and parameters required by the emission guidelines will be applied over the course of program and project implementation. As described below, EM&amp;V plans are a required component of a qualification package used to generate ERCs from eligible resources.</w:t>
      </w:r>
      <w:r w:rsidR="00896317">
        <w:t xml:space="preserve"> </w:t>
      </w:r>
    </w:p>
    <w:p w14:paraId="5E87730A" w14:textId="010C1995" w:rsidR="00F1726B" w:rsidRPr="00D77701" w:rsidRDefault="00F1726B" w:rsidP="00FC6CC2">
      <w:pPr>
        <w:pStyle w:val="BulletLevel1"/>
      </w:pPr>
      <w:r>
        <w:rPr>
          <w:b/>
        </w:rPr>
        <w:t xml:space="preserve">Appendix C </w:t>
      </w:r>
      <w:r w:rsidR="00F54E17">
        <w:t xml:space="preserve">discusses considerations involved in selecting and implementing the </w:t>
      </w:r>
      <w:r w:rsidR="00245FC5">
        <w:t xml:space="preserve">EM&amp;V methods </w:t>
      </w:r>
      <w:r w:rsidR="002924CD">
        <w:t>in Section 2.1</w:t>
      </w:r>
      <w:r w:rsidR="00245FC5">
        <w:t xml:space="preserve">.  It also </w:t>
      </w:r>
      <w:r w:rsidR="00F54E17">
        <w:t>provides</w:t>
      </w:r>
      <w:r w:rsidR="00245FC5">
        <w:t xml:space="preserve">, </w:t>
      </w:r>
      <w:r>
        <w:t xml:space="preserve">for several common </w:t>
      </w:r>
      <w:r w:rsidR="00F54E17">
        <w:t>EE measures</w:t>
      </w:r>
      <w:r w:rsidR="00245FC5">
        <w:t xml:space="preserve">, </w:t>
      </w:r>
      <w:r w:rsidR="00F54E17">
        <w:t xml:space="preserve">illustrative examples of </w:t>
      </w:r>
      <w:r w:rsidR="00245FC5">
        <w:t xml:space="preserve">how </w:t>
      </w:r>
      <w:r w:rsidR="006F4D93">
        <w:t>PB-MV</w:t>
      </w:r>
      <w:r w:rsidR="00245FC5">
        <w:t xml:space="preserve"> can be </w:t>
      </w:r>
      <w:r w:rsidR="00F54E17">
        <w:t>applied</w:t>
      </w:r>
      <w:r w:rsidR="00245FC5">
        <w:t>, w</w:t>
      </w:r>
      <w:r w:rsidR="00F54E17">
        <w:t xml:space="preserve">ith </w:t>
      </w:r>
      <w:r w:rsidR="00245FC5">
        <w:t>information about the</w:t>
      </w:r>
      <w:r w:rsidR="002537FA">
        <w:t xml:space="preserve"> </w:t>
      </w:r>
      <w:r w:rsidR="00245FC5">
        <w:t xml:space="preserve">applicable </w:t>
      </w:r>
      <w:r>
        <w:t>analytic steps</w:t>
      </w:r>
      <w:r w:rsidR="00245FC5">
        <w:t xml:space="preserve"> and </w:t>
      </w:r>
      <w:r>
        <w:t>best practices</w:t>
      </w:r>
      <w:r w:rsidRPr="00D77701">
        <w:t>.</w:t>
      </w:r>
      <w:r w:rsidR="00896317" w:rsidRPr="00D77701">
        <w:t xml:space="preserve"> </w:t>
      </w:r>
    </w:p>
    <w:p w14:paraId="0D553B73" w14:textId="112A0001" w:rsidR="00F1726B" w:rsidRPr="0032174F" w:rsidRDefault="00AA28DE" w:rsidP="00AB6C96">
      <w:pPr>
        <w:pStyle w:val="BodyText"/>
        <w:widowControl/>
      </w:pPr>
      <w:r>
        <w:lastRenderedPageBreak/>
        <w:t>While this</w:t>
      </w:r>
      <w:r w:rsidR="00F54E17">
        <w:t xml:space="preserve"> draft EM&amp;V guidance</w:t>
      </w:r>
      <w:r>
        <w:t xml:space="preserve"> is not an EM&amp;V primer, i</w:t>
      </w:r>
      <w:r w:rsidR="00F1726B">
        <w:t>t provide</w:t>
      </w:r>
      <w:r>
        <w:t>s</w:t>
      </w:r>
      <w:r w:rsidR="00F1726B">
        <w:t xml:space="preserve"> discussion and references to several industry-standard</w:t>
      </w:r>
      <w:r w:rsidR="00F1726B" w:rsidRPr="0032174F">
        <w:t xml:space="preserve"> protocols, </w:t>
      </w:r>
      <w:r w:rsidR="00C550E5">
        <w:t xml:space="preserve">guidelines, </w:t>
      </w:r>
      <w:r w:rsidR="00F1726B" w:rsidRPr="0032174F">
        <w:t xml:space="preserve">and </w:t>
      </w:r>
      <w:r>
        <w:t xml:space="preserve">other </w:t>
      </w:r>
      <w:r w:rsidR="00C550E5">
        <w:t xml:space="preserve">resources such as </w:t>
      </w:r>
      <w:r w:rsidR="00F1726B">
        <w:t xml:space="preserve">the </w:t>
      </w:r>
      <w:r w:rsidR="00F1726B" w:rsidRPr="0032174F">
        <w:t xml:space="preserve">State and Local Energy Efficiency Action Network (SEE Action) </w:t>
      </w:r>
      <w:r w:rsidR="00F1726B">
        <w:t xml:space="preserve">EM&amp;V </w:t>
      </w:r>
      <w:r w:rsidR="007D1D30">
        <w:t>W</w:t>
      </w:r>
      <w:r w:rsidR="00F1726B">
        <w:t>eb portal</w:t>
      </w:r>
      <w:r w:rsidR="00F1726B">
        <w:rPr>
          <w:rStyle w:val="FootnoteReference"/>
          <w:rFonts w:ascii="Courier New" w:hAnsi="Courier New" w:cs="Courier New"/>
        </w:rPr>
        <w:footnoteReference w:id="13"/>
      </w:r>
      <w:r w:rsidR="002A1C5C">
        <w:t xml:space="preserve"> and </w:t>
      </w:r>
      <w:r w:rsidR="00C550E5">
        <w:t xml:space="preserve">the </w:t>
      </w:r>
      <w:r w:rsidR="002A1C5C">
        <w:t>EPA’s emission guidelines page</w:t>
      </w:r>
      <w:r w:rsidR="00EC6835">
        <w:t>.</w:t>
      </w:r>
      <w:r w:rsidR="004117E6">
        <w:rPr>
          <w:rStyle w:val="FootnoteReference"/>
        </w:rPr>
        <w:footnoteReference w:id="14"/>
      </w:r>
    </w:p>
    <w:p w14:paraId="19D66513" w14:textId="77777777" w:rsidR="00F1726B" w:rsidRDefault="00F1726B" w:rsidP="00AB6C96">
      <w:pPr>
        <w:pStyle w:val="Heading2"/>
      </w:pPr>
      <w:bookmarkStart w:id="18" w:name="_Toc426044622"/>
      <w:r>
        <w:t>Intended Audience</w:t>
      </w:r>
      <w:bookmarkEnd w:id="18"/>
      <w:r w:rsidR="00896317">
        <w:t xml:space="preserve"> </w:t>
      </w:r>
    </w:p>
    <w:p w14:paraId="50F04984" w14:textId="08CE8A90" w:rsidR="00F1726B" w:rsidRDefault="00F1726B" w:rsidP="00AB6C96">
      <w:pPr>
        <w:pStyle w:val="BodyText"/>
        <w:widowControl/>
      </w:pPr>
      <w:r>
        <w:t>This guidance is intended for state officials</w:t>
      </w:r>
      <w:r w:rsidR="002A1C5C">
        <w:t xml:space="preserve">, </w:t>
      </w:r>
      <w:r>
        <w:t xml:space="preserve">providers of demand-side EE, </w:t>
      </w:r>
      <w:r w:rsidR="002A1C5C">
        <w:t>and private firms (e.g., evaluators</w:t>
      </w:r>
      <w:r w:rsidR="00AA28DE">
        <w:t xml:space="preserve"> and</w:t>
      </w:r>
      <w:r w:rsidR="002A1C5C">
        <w:t xml:space="preserve"> verifiers) hired to </w:t>
      </w:r>
      <w:r w:rsidR="007D1D30">
        <w:t>help</w:t>
      </w:r>
      <w:r w:rsidR="002A1C5C">
        <w:t xml:space="preserve"> execut</w:t>
      </w:r>
      <w:r w:rsidR="007D1D30">
        <w:t>e</w:t>
      </w:r>
      <w:r w:rsidR="002A1C5C">
        <w:t xml:space="preserve"> the </w:t>
      </w:r>
      <w:r w:rsidR="00C54C09">
        <w:t xml:space="preserve">EPA’s provisions </w:t>
      </w:r>
      <w:r w:rsidR="00186F62">
        <w:t>for quantification and verification of EE savings</w:t>
      </w:r>
      <w:r>
        <w:t xml:space="preserve">. </w:t>
      </w:r>
      <w:r w:rsidR="00AA28DE">
        <w:t xml:space="preserve">For state air regulators, lay readers, and the public, the </w:t>
      </w:r>
      <w:r w:rsidR="00BA393D">
        <w:t xml:space="preserve">high-level descriptions of </w:t>
      </w:r>
      <w:r w:rsidR="007F5D3F">
        <w:t>the 12 topics addressed in Section 2 may</w:t>
      </w:r>
      <w:r w:rsidR="00AA28DE">
        <w:t xml:space="preserve"> be helpful</w:t>
      </w:r>
      <w:r w:rsidR="00BA393D">
        <w:t>.</w:t>
      </w:r>
      <w:r w:rsidR="001A5A18">
        <w:t xml:space="preserve"> </w:t>
      </w:r>
      <w:r w:rsidR="00BA393D">
        <w:t>These descriptions are followed by a discussion of applicable guidance that EE providers, evaluators, and verifiers</w:t>
      </w:r>
      <w:r w:rsidR="00AA28DE">
        <w:t xml:space="preserve"> </w:t>
      </w:r>
      <w:r w:rsidR="009126DD">
        <w:t>can</w:t>
      </w:r>
      <w:r w:rsidR="002537FA">
        <w:t xml:space="preserve"> use </w:t>
      </w:r>
      <w:r w:rsidR="00BA393D">
        <w:t xml:space="preserve">as they develop </w:t>
      </w:r>
      <w:r w:rsidR="00C54C09">
        <w:t xml:space="preserve">and implement </w:t>
      </w:r>
      <w:r w:rsidR="00BA393D">
        <w:t>EM&amp;V plans.</w:t>
      </w:r>
      <w:r w:rsidR="007F5D3F">
        <w:t xml:space="preserve"> The</w:t>
      </w:r>
      <w:r>
        <w:t xml:space="preserve"> guidance can </w:t>
      </w:r>
      <w:r w:rsidR="007F5D3F">
        <w:t xml:space="preserve">also </w:t>
      </w:r>
      <w:r>
        <w:t>be</w:t>
      </w:r>
      <w:r w:rsidR="001B4B08">
        <w:t xml:space="preserve"> used by </w:t>
      </w:r>
      <w:r w:rsidR="00C54C09">
        <w:t xml:space="preserve">private </w:t>
      </w:r>
      <w:r w:rsidR="001B4B08">
        <w:t>organizations</w:t>
      </w:r>
      <w:r w:rsidR="00C54C09">
        <w:t xml:space="preserve"> and firms</w:t>
      </w:r>
      <w:r w:rsidR="001B4B08">
        <w:t>, the public, and other</w:t>
      </w:r>
      <w:r w:rsidRPr="00B637A4">
        <w:t xml:space="preserve"> parties </w:t>
      </w:r>
      <w:r w:rsidR="001B4B08">
        <w:t xml:space="preserve">interested in </w:t>
      </w:r>
      <w:r w:rsidRPr="00B637A4">
        <w:t>better understand</w:t>
      </w:r>
      <w:r w:rsidR="001B4B08">
        <w:t xml:space="preserve">ing </w:t>
      </w:r>
      <w:r w:rsidR="00314A22">
        <w:t>t</w:t>
      </w:r>
      <w:r w:rsidRPr="00B637A4">
        <w:t xml:space="preserve">he </w:t>
      </w:r>
      <w:r w:rsidR="001B4B08">
        <w:t xml:space="preserve">EPA’s </w:t>
      </w:r>
      <w:r w:rsidRPr="00B637A4">
        <w:t>EM&amp;V requirements</w:t>
      </w:r>
      <w:r w:rsidR="00186F62">
        <w:t xml:space="preserve"> </w:t>
      </w:r>
      <w:r w:rsidR="001B4B08">
        <w:t xml:space="preserve">for purposes of </w:t>
      </w:r>
      <w:r w:rsidRPr="00B637A4">
        <w:t xml:space="preserve">participating in </w:t>
      </w:r>
      <w:r w:rsidR="00AA28DE">
        <w:t>state</w:t>
      </w:r>
      <w:r w:rsidR="007C5F08">
        <w:t xml:space="preserve"> </w:t>
      </w:r>
      <w:r w:rsidRPr="00C550E5">
        <w:t xml:space="preserve">plan development </w:t>
      </w:r>
      <w:r w:rsidR="00AA28DE">
        <w:t xml:space="preserve">and </w:t>
      </w:r>
      <w:r w:rsidR="004D0439">
        <w:t xml:space="preserve">similar </w:t>
      </w:r>
      <w:r w:rsidRPr="00C550E5">
        <w:t>process</w:t>
      </w:r>
      <w:r w:rsidR="00AA28DE">
        <w:t>es</w:t>
      </w:r>
      <w:r>
        <w:t>.</w:t>
      </w:r>
      <w:r w:rsidR="00896317">
        <w:t xml:space="preserve"> </w:t>
      </w:r>
    </w:p>
    <w:p w14:paraId="2D412EF6" w14:textId="77777777" w:rsidR="00F1726B" w:rsidRDefault="00D94F37" w:rsidP="00AB6C96">
      <w:pPr>
        <w:pStyle w:val="Heading2"/>
      </w:pPr>
      <w:bookmarkStart w:id="19" w:name="_Toc426044623"/>
      <w:r>
        <w:t xml:space="preserve">Evolving EM&amp;V Practices and </w:t>
      </w:r>
      <w:r w:rsidR="00F1726B">
        <w:t>Guidance Updates</w:t>
      </w:r>
      <w:r w:rsidR="00896317">
        <w:t xml:space="preserve"> </w:t>
      </w:r>
      <w:bookmarkEnd w:id="19"/>
    </w:p>
    <w:p w14:paraId="38B35D52" w14:textId="77777777" w:rsidR="00611CB5" w:rsidRDefault="004F50DD" w:rsidP="00703A52">
      <w:pPr>
        <w:pStyle w:val="BodyText"/>
      </w:pPr>
      <w:r>
        <w:t xml:space="preserve">The EPA recognizes that the </w:t>
      </w:r>
      <w:r w:rsidR="00B86325">
        <w:t xml:space="preserve">best-practice </w:t>
      </w:r>
      <w:r>
        <w:t xml:space="preserve">EM&amp;V approaches, protocols, and procedures that are now used by states, EE providers, and others – and upon which this guidance is largely based – will evolve and improve over time as new technologies emerge and the EE marketplace changes. To ensure that this guidance </w:t>
      </w:r>
      <w:r w:rsidR="00AA28DE">
        <w:t>continue</w:t>
      </w:r>
      <w:r w:rsidR="007C5F08">
        <w:t>s</w:t>
      </w:r>
      <w:r w:rsidR="00AA28DE">
        <w:t xml:space="preserve"> to be </w:t>
      </w:r>
      <w:r>
        <w:t>relevant and helpful over time, the EPA intends to</w:t>
      </w:r>
      <w:r w:rsidR="0094289F">
        <w:t xml:space="preserve"> periodically</w:t>
      </w:r>
      <w:r>
        <w:t xml:space="preserve"> provide update</w:t>
      </w:r>
      <w:r w:rsidR="007F5D3F">
        <w:t>s</w:t>
      </w:r>
      <w:r>
        <w:t xml:space="preserve"> </w:t>
      </w:r>
      <w:r w:rsidR="0094289F">
        <w:t xml:space="preserve">that </w:t>
      </w:r>
      <w:r>
        <w:t xml:space="preserve">reflect </w:t>
      </w:r>
      <w:r w:rsidR="00B86325">
        <w:t xml:space="preserve">changes </w:t>
      </w:r>
      <w:r w:rsidR="0094289F">
        <w:t xml:space="preserve">to </w:t>
      </w:r>
      <w:r w:rsidR="00B86325">
        <w:t>what is considered best practice</w:t>
      </w:r>
      <w:r>
        <w:t xml:space="preserve">. </w:t>
      </w:r>
    </w:p>
    <w:p w14:paraId="540FF758" w14:textId="631CCF6C" w:rsidR="002A061A" w:rsidRDefault="00245FC5" w:rsidP="00245FC5">
      <w:r>
        <w:t>The agency may also release complementary guidance on how to manage EE policies, programs, and projects as a portfolio and strategically invest in EM&amp;V to reduce uncertainty and better deliver on an aggregate level of energy savings.</w:t>
      </w:r>
      <w:r w:rsidR="00896317">
        <w:t xml:space="preserve"> </w:t>
      </w:r>
      <w:r w:rsidR="0094289F">
        <w:t xml:space="preserve">Such guidance </w:t>
      </w:r>
      <w:r w:rsidR="002A061A">
        <w:t xml:space="preserve">would </w:t>
      </w:r>
      <w:r w:rsidR="0094289F">
        <w:t xml:space="preserve">define </w:t>
      </w:r>
      <w:r w:rsidR="001656D8">
        <w:t xml:space="preserve">an aggregate verification approach that demonstrates </w:t>
      </w:r>
      <w:r w:rsidR="002A061A">
        <w:t xml:space="preserve">how states </w:t>
      </w:r>
      <w:r w:rsidR="001656D8">
        <w:t xml:space="preserve">could continue to make </w:t>
      </w:r>
      <w:r w:rsidR="002A061A" w:rsidRPr="002A061A">
        <w:t xml:space="preserve">strategic </w:t>
      </w:r>
      <w:r w:rsidR="00931DDA">
        <w:t xml:space="preserve">EM&amp;V </w:t>
      </w:r>
      <w:r w:rsidR="002A061A" w:rsidRPr="002A061A">
        <w:t>invest</w:t>
      </w:r>
      <w:r w:rsidR="002A061A">
        <w:t xml:space="preserve">ments </w:t>
      </w:r>
      <w:r w:rsidR="001656D8">
        <w:t xml:space="preserve">while </w:t>
      </w:r>
      <w:r w:rsidR="002A061A">
        <w:t xml:space="preserve">ensuring that all </w:t>
      </w:r>
      <w:r w:rsidR="00931DDA">
        <w:t xml:space="preserve">EM&amp;V-related </w:t>
      </w:r>
      <w:r w:rsidR="002A061A">
        <w:t xml:space="preserve">regulatory requirements </w:t>
      </w:r>
      <w:r w:rsidR="00931DDA">
        <w:t xml:space="preserve">in the emission guidelines </w:t>
      </w:r>
      <w:r w:rsidR="002A061A">
        <w:t>are satisfied.</w:t>
      </w:r>
      <w:r w:rsidR="0094289F">
        <w:rPr>
          <w:rStyle w:val="FootnoteReference"/>
        </w:rPr>
        <w:footnoteReference w:id="15"/>
      </w:r>
      <w:r w:rsidR="001A5A18">
        <w:t xml:space="preserve"> </w:t>
      </w:r>
      <w:r w:rsidRPr="00245FC5">
        <w:t>This approach can be a useful check and balance in assessing the aggregate impact of multiple policies, programs and measures. </w:t>
      </w:r>
    </w:p>
    <w:p w14:paraId="0390BBAC" w14:textId="77777777" w:rsidR="00821C31" w:rsidRPr="0025471D" w:rsidRDefault="00821C31" w:rsidP="00AB6C96">
      <w:pPr>
        <w:pStyle w:val="Heading1"/>
        <w:numPr>
          <w:ilvl w:val="0"/>
          <w:numId w:val="69"/>
        </w:numPr>
      </w:pPr>
      <w:bookmarkStart w:id="20" w:name="_Toc426040056"/>
      <w:bookmarkStart w:id="21" w:name="_Toc426040142"/>
      <w:bookmarkStart w:id="22" w:name="_Toc426041611"/>
      <w:bookmarkStart w:id="23" w:name="_Toc426040057"/>
      <w:bookmarkStart w:id="24" w:name="_Toc426040143"/>
      <w:bookmarkStart w:id="25" w:name="_Toc426041612"/>
      <w:bookmarkStart w:id="26" w:name="_Toc426044624"/>
      <w:bookmarkEnd w:id="3"/>
      <w:bookmarkEnd w:id="20"/>
      <w:bookmarkEnd w:id="21"/>
      <w:bookmarkEnd w:id="22"/>
      <w:bookmarkEnd w:id="23"/>
      <w:bookmarkEnd w:id="24"/>
      <w:bookmarkEnd w:id="25"/>
      <w:r w:rsidRPr="0025471D">
        <w:lastRenderedPageBreak/>
        <w:t>EM&amp;V Guidance Applicable to All Demand-Side EE</w:t>
      </w:r>
      <w:bookmarkEnd w:id="26"/>
    </w:p>
    <w:p w14:paraId="627C5AA6" w14:textId="08B04741" w:rsidR="008D3574" w:rsidRDefault="003660A6" w:rsidP="00AB6C96">
      <w:pPr>
        <w:pStyle w:val="BodyText"/>
        <w:widowControl/>
      </w:pPr>
      <w:r w:rsidRPr="006D78FC">
        <w:rPr>
          <w:b/>
          <w:noProof/>
        </w:rPr>
        <mc:AlternateContent>
          <mc:Choice Requires="wps">
            <w:drawing>
              <wp:anchor distT="0" distB="0" distL="114300" distR="114300" simplePos="0" relativeHeight="251661824" behindDoc="0" locked="0" layoutInCell="1" allowOverlap="1" wp14:anchorId="1A6CFEA3" wp14:editId="5BE362AB">
                <wp:simplePos x="0" y="0"/>
                <wp:positionH relativeFrom="margin">
                  <wp:align>right</wp:align>
                </wp:positionH>
                <wp:positionV relativeFrom="margin">
                  <wp:posOffset>427355</wp:posOffset>
                </wp:positionV>
                <wp:extent cx="2516505" cy="3966210"/>
                <wp:effectExtent l="57150" t="38100" r="74295" b="91440"/>
                <wp:wrapSquare wrapText="left"/>
                <wp:docPr id="9" name="Text Box 9"/>
                <wp:cNvGraphicFramePr/>
                <a:graphic xmlns:a="http://schemas.openxmlformats.org/drawingml/2006/main">
                  <a:graphicData uri="http://schemas.microsoft.com/office/word/2010/wordprocessingShape">
                    <wps:wsp>
                      <wps:cNvSpPr txBox="1"/>
                      <wps:spPr>
                        <a:xfrm>
                          <a:off x="0" y="0"/>
                          <a:ext cx="2516505" cy="396621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0822BD5F" w14:textId="23EDDE74" w:rsidR="00133485" w:rsidRPr="009F2C48" w:rsidRDefault="00133485" w:rsidP="006736D6">
                            <w:pPr>
                              <w:spacing w:after="120"/>
                              <w:jc w:val="center"/>
                              <w:rPr>
                                <w:rFonts w:asciiTheme="majorHAnsi" w:hAnsiTheme="majorHAnsi"/>
                                <w:b/>
                                <w:sz w:val="20"/>
                                <w:szCs w:val="20"/>
                              </w:rPr>
                            </w:pPr>
                            <w:r>
                              <w:rPr>
                                <w:rFonts w:asciiTheme="majorHAnsi" w:hAnsiTheme="majorHAnsi"/>
                                <w:b/>
                                <w:sz w:val="20"/>
                                <w:szCs w:val="20"/>
                              </w:rPr>
                              <w:t xml:space="preserve">Key Terms </w:t>
                            </w:r>
                          </w:p>
                          <w:p w14:paraId="625C7989" w14:textId="037FFA02" w:rsidR="007D24AE" w:rsidRPr="007D24AE" w:rsidRDefault="00133485" w:rsidP="007D24AE">
                            <w:pPr>
                              <w:pStyle w:val="BulletLevel1"/>
                              <w:numPr>
                                <w:ilvl w:val="0"/>
                                <w:numId w:val="46"/>
                              </w:numPr>
                              <w:ind w:left="180" w:hanging="180"/>
                              <w:rPr>
                                <w:sz w:val="20"/>
                                <w:szCs w:val="20"/>
                              </w:rPr>
                            </w:pPr>
                            <w:r>
                              <w:rPr>
                                <w:b/>
                                <w:i/>
                                <w:sz w:val="20"/>
                                <w:szCs w:val="20"/>
                              </w:rPr>
                              <w:t>EE measure:</w:t>
                            </w:r>
                            <w:r>
                              <w:rPr>
                                <w:sz w:val="20"/>
                                <w:szCs w:val="20"/>
                              </w:rPr>
                              <w:t xml:space="preserve"> </w:t>
                            </w:r>
                            <w:r w:rsidR="007D24AE">
                              <w:rPr>
                                <w:sz w:val="20"/>
                                <w:szCs w:val="20"/>
                              </w:rPr>
                              <w:t>a</w:t>
                            </w:r>
                            <w:r w:rsidR="007D24AE" w:rsidRPr="007D24AE">
                              <w:rPr>
                                <w:sz w:val="20"/>
                                <w:szCs w:val="20"/>
                              </w:rPr>
                              <w:t xml:space="preserve"> single technology, energy-use practice or behavior that, once implemented or adopted, reduces electricity use of a particular end-use, facility, or premises; EE measures may be implemented as part of an EE program or as an independent privately-funded action. </w:t>
                            </w:r>
                          </w:p>
                          <w:p w14:paraId="01AEF7C8" w14:textId="407893C6" w:rsidR="00133485" w:rsidRPr="007D24AE" w:rsidRDefault="00133485" w:rsidP="00681567">
                            <w:pPr>
                              <w:pStyle w:val="BulletLevel1"/>
                              <w:numPr>
                                <w:ilvl w:val="0"/>
                                <w:numId w:val="46"/>
                              </w:numPr>
                              <w:ind w:left="180" w:hanging="180"/>
                              <w:rPr>
                                <w:sz w:val="20"/>
                                <w:szCs w:val="20"/>
                              </w:rPr>
                            </w:pPr>
                            <w:r w:rsidRPr="007D24AE">
                              <w:rPr>
                                <w:b/>
                                <w:i/>
                                <w:sz w:val="20"/>
                                <w:szCs w:val="20"/>
                              </w:rPr>
                              <w:t xml:space="preserve">EE project: </w:t>
                            </w:r>
                            <w:r w:rsidR="007D24AE">
                              <w:rPr>
                                <w:sz w:val="20"/>
                                <w:szCs w:val="20"/>
                              </w:rPr>
                              <w:t>a</w:t>
                            </w:r>
                            <w:r w:rsidR="007D24AE" w:rsidRPr="007D24AE">
                              <w:rPr>
                                <w:sz w:val="20"/>
                                <w:szCs w:val="20"/>
                              </w:rPr>
                              <w:t xml:space="preserve"> combination of multiple technologies, energy-use practices or behaviors implemented at a single facility or premises for the purpose of reducing electricity use; EE projects may be implemented as part of an EE program or as an independent privately-funded action</w:t>
                            </w:r>
                            <w:r w:rsidRPr="007D24AE">
                              <w:rPr>
                                <w:sz w:val="20"/>
                                <w:szCs w:val="20"/>
                              </w:rPr>
                              <w:t>.</w:t>
                            </w:r>
                          </w:p>
                          <w:p w14:paraId="30646303" w14:textId="54A9ABC2" w:rsidR="00133485" w:rsidRDefault="00133485" w:rsidP="006736D6">
                            <w:pPr>
                              <w:pStyle w:val="BulletLevel1"/>
                              <w:widowControl w:val="0"/>
                              <w:numPr>
                                <w:ilvl w:val="0"/>
                                <w:numId w:val="46"/>
                              </w:numPr>
                              <w:autoSpaceDE w:val="0"/>
                              <w:autoSpaceDN w:val="0"/>
                              <w:adjustRightInd w:val="0"/>
                              <w:spacing w:after="240"/>
                              <w:ind w:left="180" w:hanging="180"/>
                            </w:pPr>
                            <w:r>
                              <w:rPr>
                                <w:b/>
                                <w:i/>
                                <w:sz w:val="20"/>
                                <w:szCs w:val="20"/>
                              </w:rPr>
                              <w:t>EE program:</w:t>
                            </w:r>
                            <w:r w:rsidRPr="0036596B">
                              <w:rPr>
                                <w:sz w:val="20"/>
                                <w:szCs w:val="20"/>
                              </w:rPr>
                              <w:t xml:space="preserve"> </w:t>
                            </w:r>
                            <w:r w:rsidR="007D24AE" w:rsidRPr="007D24AE">
                              <w:rPr>
                                <w:sz w:val="20"/>
                                <w:szCs w:val="20"/>
                              </w:rPr>
                              <w:t>Organized activities sponsored and funded by a particular entity to promote the adoption of one or more EE pro</w:t>
                            </w:r>
                            <w:r w:rsidR="007F6129">
                              <w:rPr>
                                <w:sz w:val="20"/>
                                <w:szCs w:val="20"/>
                              </w:rPr>
                              <w:t>ject or EE measure</w:t>
                            </w:r>
                            <w:r w:rsidR="007D24AE" w:rsidRPr="007D24AE">
                              <w:rPr>
                                <w:sz w:val="20"/>
                                <w:szCs w:val="20"/>
                              </w:rPr>
                              <w:t xml:space="preserve"> </w:t>
                            </w:r>
                            <w:r w:rsidR="007F6129">
                              <w:rPr>
                                <w:sz w:val="20"/>
                                <w:szCs w:val="20"/>
                              </w:rPr>
                              <w:t xml:space="preserve">with similar characteristics </w:t>
                            </w:r>
                            <w:r w:rsidR="007D24AE" w:rsidRPr="007D24AE">
                              <w:rPr>
                                <w:sz w:val="20"/>
                                <w:szCs w:val="20"/>
                              </w:rPr>
                              <w:t>for the purpose of reducing electricity use</w:t>
                            </w:r>
                            <w:r w:rsidR="007D24AE">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CFEA3" id="Text Box 9" o:spid="_x0000_s1027" type="#_x0000_t202" style="position:absolute;margin-left:146.95pt;margin-top:33.65pt;width:198.15pt;height:312.3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" fillcolor="#a7bfde [1620]" strokecolor="#4579b8 [3044]">
                <v:fill color2="#e4ecf5 [500]" rotate="t" angle="180" colors="0 #a3c4ff;22938f #bfd5ff;1 #e5eeff" focus="100%" type="gradient"/>
                <v:shadow on="t" color="black" opacity="24903f" origin=",.5" offset="0,.55556mm"/>
                <v:textbox>
                  <w:txbxContent>
                    <w:p w14:paraId="0822BD5F" w14:textId="23EDDE74" w:rsidR="00133485" w:rsidRPr="009F2C48" w:rsidRDefault="00133485" w:rsidP="006736D6">
                      <w:pPr>
                        <w:spacing w:after="120"/>
                        <w:jc w:val="center"/>
                        <w:rPr>
                          <w:rFonts w:asciiTheme="majorHAnsi" w:hAnsiTheme="majorHAnsi"/>
                          <w:b/>
                          <w:sz w:val="20"/>
                          <w:szCs w:val="20"/>
                        </w:rPr>
                      </w:pPr>
                      <w:r>
                        <w:rPr>
                          <w:rFonts w:asciiTheme="majorHAnsi" w:hAnsiTheme="majorHAnsi"/>
                          <w:b/>
                          <w:sz w:val="20"/>
                          <w:szCs w:val="20"/>
                        </w:rPr>
                        <w:t xml:space="preserve">Key Terms </w:t>
                      </w:r>
                    </w:p>
                    <w:p w14:paraId="625C7989" w14:textId="037FFA02" w:rsidR="007D24AE" w:rsidRPr="007D24AE" w:rsidRDefault="00133485" w:rsidP="007D24AE">
                      <w:pPr>
                        <w:pStyle w:val="BulletLevel1"/>
                        <w:numPr>
                          <w:ilvl w:val="0"/>
                          <w:numId w:val="46"/>
                        </w:numPr>
                        <w:ind w:left="180" w:hanging="180"/>
                        <w:rPr>
                          <w:sz w:val="20"/>
                          <w:szCs w:val="20"/>
                        </w:rPr>
                      </w:pPr>
                      <w:r>
                        <w:rPr>
                          <w:b/>
                          <w:i/>
                          <w:sz w:val="20"/>
                          <w:szCs w:val="20"/>
                        </w:rPr>
                        <w:t>EE measure:</w:t>
                      </w:r>
                      <w:r>
                        <w:rPr>
                          <w:sz w:val="20"/>
                          <w:szCs w:val="20"/>
                        </w:rPr>
                        <w:t xml:space="preserve"> </w:t>
                      </w:r>
                      <w:r w:rsidR="007D24AE">
                        <w:rPr>
                          <w:sz w:val="20"/>
                          <w:szCs w:val="20"/>
                        </w:rPr>
                        <w:t>a</w:t>
                      </w:r>
                      <w:r w:rsidR="007D24AE" w:rsidRPr="007D24AE">
                        <w:rPr>
                          <w:sz w:val="20"/>
                          <w:szCs w:val="20"/>
                        </w:rPr>
                        <w:t xml:space="preserve"> single technology, energy-use practice or behavior that, once implemented or adopted, reduces electricity use of a particular end-use, facility, or premises; EE measures may be implemented as part of an EE program or as an independent privately-funded action. </w:t>
                      </w:r>
                    </w:p>
                    <w:p w14:paraId="01AEF7C8" w14:textId="407893C6" w:rsidR="00133485" w:rsidRPr="007D24AE" w:rsidRDefault="00133485" w:rsidP="00681567">
                      <w:pPr>
                        <w:pStyle w:val="BulletLevel1"/>
                        <w:numPr>
                          <w:ilvl w:val="0"/>
                          <w:numId w:val="46"/>
                        </w:numPr>
                        <w:ind w:left="180" w:hanging="180"/>
                        <w:rPr>
                          <w:sz w:val="20"/>
                          <w:szCs w:val="20"/>
                        </w:rPr>
                      </w:pPr>
                      <w:r w:rsidRPr="007D24AE">
                        <w:rPr>
                          <w:b/>
                          <w:i/>
                          <w:sz w:val="20"/>
                          <w:szCs w:val="20"/>
                        </w:rPr>
                        <w:t xml:space="preserve">EE project: </w:t>
                      </w:r>
                      <w:r w:rsidR="007D24AE">
                        <w:rPr>
                          <w:sz w:val="20"/>
                          <w:szCs w:val="20"/>
                        </w:rPr>
                        <w:t>a</w:t>
                      </w:r>
                      <w:r w:rsidR="007D24AE" w:rsidRPr="007D24AE">
                        <w:rPr>
                          <w:sz w:val="20"/>
                          <w:szCs w:val="20"/>
                        </w:rPr>
                        <w:t xml:space="preserve"> combination of multiple technologies, energy-use practices or behaviors implemented at a single facility or premises for the purpose of reducing electricity use; EE projects may be implemented as part of an EE program or as an independent privately-funded action</w:t>
                      </w:r>
                      <w:r w:rsidRPr="007D24AE">
                        <w:rPr>
                          <w:sz w:val="20"/>
                          <w:szCs w:val="20"/>
                        </w:rPr>
                        <w:t>.</w:t>
                      </w:r>
                    </w:p>
                    <w:p w14:paraId="30646303" w14:textId="54A9ABC2" w:rsidR="00133485" w:rsidRDefault="00133485" w:rsidP="006736D6">
                      <w:pPr>
                        <w:pStyle w:val="BulletLevel1"/>
                        <w:widowControl w:val="0"/>
                        <w:numPr>
                          <w:ilvl w:val="0"/>
                          <w:numId w:val="46"/>
                        </w:numPr>
                        <w:autoSpaceDE w:val="0"/>
                        <w:autoSpaceDN w:val="0"/>
                        <w:adjustRightInd w:val="0"/>
                        <w:spacing w:after="240"/>
                        <w:ind w:left="180" w:hanging="180"/>
                      </w:pPr>
                      <w:r>
                        <w:rPr>
                          <w:b/>
                          <w:i/>
                          <w:sz w:val="20"/>
                          <w:szCs w:val="20"/>
                        </w:rPr>
                        <w:t>EE program:</w:t>
                      </w:r>
                      <w:r w:rsidRPr="0036596B">
                        <w:rPr>
                          <w:sz w:val="20"/>
                          <w:szCs w:val="20"/>
                        </w:rPr>
                        <w:t xml:space="preserve"> </w:t>
                      </w:r>
                      <w:r w:rsidR="007D24AE" w:rsidRPr="007D24AE">
                        <w:rPr>
                          <w:sz w:val="20"/>
                          <w:szCs w:val="20"/>
                        </w:rPr>
                        <w:t>Organized activities sponsored and funded by a particular entity to promote the adoption of one or more EE pro</w:t>
                      </w:r>
                      <w:r w:rsidR="007F6129">
                        <w:rPr>
                          <w:sz w:val="20"/>
                          <w:szCs w:val="20"/>
                        </w:rPr>
                        <w:t>ject or EE measure</w:t>
                      </w:r>
                      <w:r w:rsidR="007D24AE" w:rsidRPr="007D24AE">
                        <w:rPr>
                          <w:sz w:val="20"/>
                          <w:szCs w:val="20"/>
                        </w:rPr>
                        <w:t xml:space="preserve"> </w:t>
                      </w:r>
                      <w:r w:rsidR="007F6129">
                        <w:rPr>
                          <w:sz w:val="20"/>
                          <w:szCs w:val="20"/>
                        </w:rPr>
                        <w:t xml:space="preserve">with similar characteristics </w:t>
                      </w:r>
                      <w:r w:rsidR="007D24AE" w:rsidRPr="007D24AE">
                        <w:rPr>
                          <w:sz w:val="20"/>
                          <w:szCs w:val="20"/>
                        </w:rPr>
                        <w:t>for the purpose of reducing electricity use</w:t>
                      </w:r>
                      <w:r w:rsidR="007D24AE">
                        <w:rPr>
                          <w:sz w:val="20"/>
                          <w:szCs w:val="20"/>
                        </w:rPr>
                        <w:t xml:space="preserve">. </w:t>
                      </w:r>
                    </w:p>
                  </w:txbxContent>
                </v:textbox>
                <w10:wrap type="square" side="left" anchorx="margin" anchory="margin"/>
              </v:shape>
            </w:pict>
          </mc:Fallback>
        </mc:AlternateContent>
      </w:r>
      <w:r w:rsidR="00821C31" w:rsidRPr="008D6F4E">
        <w:t xml:space="preserve">This </w:t>
      </w:r>
      <w:r w:rsidR="00C550E5">
        <w:t>section</w:t>
      </w:r>
      <w:r w:rsidR="00345430">
        <w:t xml:space="preserve"> includes </w:t>
      </w:r>
      <w:r w:rsidR="00B65A63">
        <w:t>EM&amp;V guidance for 12 key topics that is applicable to all demand-side EE that is used to generate ERCs or otherwise adjust an emission rate.</w:t>
      </w:r>
      <w:r w:rsidR="001A5A18">
        <w:t xml:space="preserve"> </w:t>
      </w:r>
      <w:r w:rsidR="00B65A63">
        <w:t xml:space="preserve">It includes high-level </w:t>
      </w:r>
      <w:r w:rsidR="00345430">
        <w:t xml:space="preserve">background </w:t>
      </w:r>
      <w:r w:rsidR="00B65A63">
        <w:t>information</w:t>
      </w:r>
      <w:r w:rsidR="00F95093">
        <w:t xml:space="preserve">, </w:t>
      </w:r>
      <w:r w:rsidR="006D265D">
        <w:t>guidance</w:t>
      </w:r>
      <w:r w:rsidR="00F95093">
        <w:t>,</w:t>
      </w:r>
      <w:r w:rsidR="006D265D">
        <w:t xml:space="preserve"> </w:t>
      </w:r>
      <w:r w:rsidR="008D3574">
        <w:t xml:space="preserve">and </w:t>
      </w:r>
      <w:r w:rsidR="00075C89">
        <w:t>terms</w:t>
      </w:r>
      <w:r w:rsidR="008D3574">
        <w:t xml:space="preserve"> </w:t>
      </w:r>
      <w:r w:rsidR="006D265D">
        <w:t>to</w:t>
      </w:r>
      <w:r w:rsidR="00F95093">
        <w:t xml:space="preserve"> help EE providers develop EM&amp;V plans</w:t>
      </w:r>
      <w:r w:rsidR="006D265D">
        <w:t>.</w:t>
      </w:r>
      <w:r w:rsidR="007B6120">
        <w:t xml:space="preserve"> </w:t>
      </w:r>
      <w:r w:rsidR="00B65A63">
        <w:t>As previously described, t</w:t>
      </w:r>
      <w:r w:rsidR="00821C31">
        <w:t xml:space="preserve">he </w:t>
      </w:r>
      <w:r w:rsidR="006D265D">
        <w:t>guidance</w:t>
      </w:r>
      <w:r w:rsidR="00B65A63">
        <w:t xml:space="preserve"> provided here</w:t>
      </w:r>
      <w:r w:rsidR="006D265D">
        <w:t xml:space="preserve"> leverages and is </w:t>
      </w:r>
      <w:r w:rsidR="00821C31">
        <w:t xml:space="preserve">consistent with current </w:t>
      </w:r>
      <w:r w:rsidR="006D265D">
        <w:t>EM&amp;V best practices</w:t>
      </w:r>
      <w:r w:rsidR="00821C31">
        <w:t xml:space="preserve">, protocols, and </w:t>
      </w:r>
      <w:r w:rsidR="006D265D">
        <w:t xml:space="preserve">procedures </w:t>
      </w:r>
      <w:r w:rsidR="008D3574">
        <w:t xml:space="preserve">that are </w:t>
      </w:r>
      <w:r w:rsidR="00B65A63">
        <w:t xml:space="preserve">already used by the </w:t>
      </w:r>
      <w:r w:rsidR="008D3574">
        <w:t xml:space="preserve">majority of states </w:t>
      </w:r>
      <w:r w:rsidR="00B65A63">
        <w:t>across the country</w:t>
      </w:r>
      <w:r w:rsidR="00EF5B25">
        <w:t xml:space="preserve">. </w:t>
      </w:r>
      <w:r w:rsidR="00B65A63">
        <w:t>This guidance therefore</w:t>
      </w:r>
      <w:r w:rsidR="00A454E4">
        <w:t xml:space="preserve"> </w:t>
      </w:r>
      <w:r w:rsidR="00A454E4" w:rsidRPr="008D6F4E">
        <w:t>balance</w:t>
      </w:r>
      <w:r w:rsidR="00B65A63">
        <w:t>s the need for rigor and</w:t>
      </w:r>
      <w:r w:rsidR="00A454E4">
        <w:t xml:space="preserve"> </w:t>
      </w:r>
      <w:r w:rsidR="00B65A63">
        <w:t xml:space="preserve">accuracy </w:t>
      </w:r>
      <w:r w:rsidR="00A454E4">
        <w:t xml:space="preserve">with the </w:t>
      </w:r>
      <w:r w:rsidR="006B5F6E">
        <w:t xml:space="preserve">effort and </w:t>
      </w:r>
      <w:r w:rsidR="00A454E4">
        <w:t>cost associated with quantification and verification</w:t>
      </w:r>
      <w:r w:rsidR="00A454E4" w:rsidRPr="008D6F4E">
        <w:t>.</w:t>
      </w:r>
      <w:r w:rsidR="007B6120">
        <w:t xml:space="preserve"> </w:t>
      </w:r>
    </w:p>
    <w:p w14:paraId="57AE6FBD" w14:textId="13E0D3B7" w:rsidR="00A454E4" w:rsidRPr="008D6F4E" w:rsidRDefault="00F95093" w:rsidP="00AB6C96">
      <w:pPr>
        <w:pStyle w:val="BodyText"/>
        <w:widowControl/>
      </w:pPr>
      <w:r>
        <w:t xml:space="preserve">For each of the 12 topics, the guidance provided is generally consistent with EM&amp;V </w:t>
      </w:r>
      <w:r w:rsidR="00A454E4" w:rsidRPr="007B0115">
        <w:t>best</w:t>
      </w:r>
      <w:r>
        <w:t xml:space="preserve"> </w:t>
      </w:r>
      <w:r w:rsidR="00A454E4" w:rsidRPr="007B0115">
        <w:t>practice</w:t>
      </w:r>
      <w:r>
        <w:t>s. This means that the</w:t>
      </w:r>
      <w:r w:rsidR="00A454E4" w:rsidRPr="007B0115">
        <w:t xml:space="preserve"> </w:t>
      </w:r>
      <w:r>
        <w:t xml:space="preserve">guidance either </w:t>
      </w:r>
      <w:r w:rsidR="00A454E4">
        <w:t>(1</w:t>
      </w:r>
      <w:r w:rsidR="00A454E4" w:rsidRPr="007B0115">
        <w:t>) is consistent with established pro</w:t>
      </w:r>
      <w:r w:rsidR="00A454E4">
        <w:t xml:space="preserve">tocols or guidelines that have </w:t>
      </w:r>
      <w:r w:rsidR="00A454E4" w:rsidRPr="007B0115">
        <w:t xml:space="preserve">been developed with expert and stakeholder input; or </w:t>
      </w:r>
      <w:r w:rsidR="00A454E4">
        <w:t>(</w:t>
      </w:r>
      <w:r w:rsidR="00A454E4" w:rsidRPr="007B0115">
        <w:t>2) uses alternative methods that are well documented and have been subjected to and endorsed by peer review</w:t>
      </w:r>
      <w:r w:rsidR="003E5763">
        <w:t>, but are not documented in established protocols or guidelines</w:t>
      </w:r>
      <w:r w:rsidR="003E5763" w:rsidRPr="007B0115">
        <w:t>.</w:t>
      </w:r>
      <w:r w:rsidR="007B6120">
        <w:t xml:space="preserve"> </w:t>
      </w:r>
      <w:r w:rsidR="00A454E4" w:rsidRPr="007B0115">
        <w:t>The best practice</w:t>
      </w:r>
      <w:r>
        <w:t xml:space="preserve">s </w:t>
      </w:r>
      <w:r w:rsidR="00A454E4" w:rsidRPr="007B0115">
        <w:t>recommended here generally fall</w:t>
      </w:r>
      <w:r>
        <w:t>s</w:t>
      </w:r>
      <w:r w:rsidR="00A454E4" w:rsidRPr="007B0115">
        <w:t xml:space="preserve"> into the first category.</w:t>
      </w:r>
    </w:p>
    <w:p w14:paraId="5A0192E8" w14:textId="2955DE4C" w:rsidR="00821C31" w:rsidRPr="006D49FF" w:rsidRDefault="009E7639" w:rsidP="004E59F8">
      <w:pPr>
        <w:pStyle w:val="BodyText"/>
        <w:widowControl/>
      </w:pPr>
      <w:r>
        <w:t xml:space="preserve">This </w:t>
      </w:r>
      <w:r w:rsidR="00B65A63">
        <w:t xml:space="preserve">section of the guidance </w:t>
      </w:r>
      <w:r w:rsidR="00D94F37">
        <w:t xml:space="preserve">is </w:t>
      </w:r>
      <w:r w:rsidR="00D94F37" w:rsidRPr="00022CFE">
        <w:t xml:space="preserve">supplemented with additional </w:t>
      </w:r>
      <w:r w:rsidR="00B65A63">
        <w:t>best</w:t>
      </w:r>
      <w:r w:rsidR="00F95093">
        <w:t xml:space="preserve"> </w:t>
      </w:r>
      <w:r w:rsidR="00D94F37">
        <w:t>practice</w:t>
      </w:r>
      <w:r w:rsidR="00F95093">
        <w:t>s</w:t>
      </w:r>
      <w:r w:rsidR="00D94F37" w:rsidRPr="00CD2257">
        <w:t xml:space="preserve"> and technical assumptions </w:t>
      </w:r>
      <w:r w:rsidR="00D94F37">
        <w:t>applicable</w:t>
      </w:r>
      <w:r w:rsidR="00D94F37" w:rsidRPr="00CD2257">
        <w:t xml:space="preserve"> to </w:t>
      </w:r>
      <w:r w:rsidR="00D94F37" w:rsidRPr="00022CFE">
        <w:t xml:space="preserve">common EE program </w:t>
      </w:r>
      <w:r w:rsidR="00D94F37" w:rsidRPr="006D49FF">
        <w:t xml:space="preserve">categories (Section </w:t>
      </w:r>
      <w:r w:rsidR="00C95CD7">
        <w:t>3</w:t>
      </w:r>
      <w:r w:rsidR="00D94F37" w:rsidRPr="006D49FF">
        <w:t>) and</w:t>
      </w:r>
      <w:r w:rsidR="00B65A63">
        <w:t xml:space="preserve"> illustration of how these approaches should be applied to </w:t>
      </w:r>
      <w:r w:rsidR="00D94F37" w:rsidRPr="006D49FF">
        <w:t xml:space="preserve">certain EE project and measure types (Appendix </w:t>
      </w:r>
      <w:r w:rsidR="00707FEC">
        <w:t>C</w:t>
      </w:r>
      <w:r w:rsidR="00D94F37" w:rsidRPr="006D49FF">
        <w:t>).</w:t>
      </w:r>
      <w:r w:rsidR="00707FEC">
        <w:t xml:space="preserve"> </w:t>
      </w:r>
      <w:r w:rsidR="00821C31" w:rsidRPr="006D49FF">
        <w:t>For the</w:t>
      </w:r>
      <w:r w:rsidR="00EF5B25" w:rsidRPr="006D49FF">
        <w:t xml:space="preserve"> </w:t>
      </w:r>
      <w:r w:rsidR="00707FEC">
        <w:t xml:space="preserve">12 </w:t>
      </w:r>
      <w:r w:rsidR="00EF5B25" w:rsidRPr="006D49FF">
        <w:t>EM&amp;V topics</w:t>
      </w:r>
      <w:r w:rsidR="008D3574" w:rsidRPr="006D49FF">
        <w:t xml:space="preserve"> addressed </w:t>
      </w:r>
      <w:r w:rsidR="00EF5B25" w:rsidRPr="006D49FF">
        <w:t>below</w:t>
      </w:r>
      <w:r w:rsidR="008D3574" w:rsidRPr="006D49FF">
        <w:t>,</w:t>
      </w:r>
      <w:r w:rsidR="00821C31" w:rsidRPr="006D49FF">
        <w:t xml:space="preserve"> the following information is provided:</w:t>
      </w:r>
    </w:p>
    <w:p w14:paraId="356A19B6" w14:textId="552EC244" w:rsidR="00CE1FFC" w:rsidRPr="00CE1FFC" w:rsidRDefault="00CE1FFC" w:rsidP="00AB6C96">
      <w:pPr>
        <w:pStyle w:val="BulletLevel1"/>
      </w:pPr>
      <w:r>
        <w:rPr>
          <w:b/>
        </w:rPr>
        <w:t xml:space="preserve">Discussion: </w:t>
      </w:r>
      <w:r w:rsidRPr="006D49FF">
        <w:t>This section includes a high-level overview, relevant background information, and applicability to the EPA’s emissions guidelines</w:t>
      </w:r>
      <w:r>
        <w:t>.</w:t>
      </w:r>
    </w:p>
    <w:p w14:paraId="4DE04A0E" w14:textId="77777777" w:rsidR="00821C31" w:rsidRDefault="00A41DB5" w:rsidP="00AB6C96">
      <w:pPr>
        <w:pStyle w:val="BulletLevel1"/>
      </w:pPr>
      <w:r>
        <w:rPr>
          <w:b/>
        </w:rPr>
        <w:t>Applicable Guidance</w:t>
      </w:r>
      <w:r w:rsidR="00821C31" w:rsidRPr="0025471D">
        <w:rPr>
          <w:b/>
        </w:rPr>
        <w:t xml:space="preserve">: </w:t>
      </w:r>
      <w:r w:rsidR="00821C31">
        <w:t xml:space="preserve">This information is intended to help </w:t>
      </w:r>
      <w:r w:rsidR="006D265D">
        <w:t>s</w:t>
      </w:r>
      <w:r w:rsidR="005A36F0">
        <w:t>tate</w:t>
      </w:r>
      <w:r w:rsidR="00821C31">
        <w:t>s</w:t>
      </w:r>
      <w:r w:rsidR="009B0FEF">
        <w:t xml:space="preserve">, </w:t>
      </w:r>
      <w:r w:rsidR="00821C31">
        <w:t>EE providers</w:t>
      </w:r>
      <w:r w:rsidR="009B0FEF">
        <w:t xml:space="preserve">, and private firms hired to quantify and verify EE savings </w:t>
      </w:r>
      <w:r w:rsidR="00821C31">
        <w:t>implement the regulatory requirements</w:t>
      </w:r>
      <w:r w:rsidR="00821C31" w:rsidRPr="0025471D">
        <w:t xml:space="preserve"> defined in the emission guidelines, </w:t>
      </w:r>
      <w:r w:rsidR="00EF5B25">
        <w:t xml:space="preserve">as </w:t>
      </w:r>
      <w:r w:rsidR="00821C31">
        <w:t xml:space="preserve">reiterated here. These approaches and assumptions </w:t>
      </w:r>
      <w:r w:rsidR="00821C31" w:rsidRPr="0025471D">
        <w:t xml:space="preserve">expand </w:t>
      </w:r>
      <w:r w:rsidR="00821C31">
        <w:t xml:space="preserve">upon, illustrate, and provide practical clarification of </w:t>
      </w:r>
      <w:r w:rsidR="00821C31" w:rsidRPr="0025471D">
        <w:t xml:space="preserve">the </w:t>
      </w:r>
      <w:r w:rsidR="00821C31">
        <w:t xml:space="preserve">preamble and emission guidelines and are based on industry best practices. </w:t>
      </w:r>
    </w:p>
    <w:p w14:paraId="1A93CAC5" w14:textId="7C81551D" w:rsidR="006736D6" w:rsidRDefault="00A41DB5" w:rsidP="00133485">
      <w:pPr>
        <w:pStyle w:val="BulletLevel1"/>
        <w:spacing w:after="200"/>
      </w:pPr>
      <w:r w:rsidRPr="00A739A0">
        <w:rPr>
          <w:b/>
        </w:rPr>
        <w:t xml:space="preserve">Key </w:t>
      </w:r>
      <w:r w:rsidR="00075C89" w:rsidRPr="00A739A0">
        <w:rPr>
          <w:b/>
        </w:rPr>
        <w:t>Terms</w:t>
      </w:r>
      <w:r w:rsidR="00821C31" w:rsidRPr="00A739A0">
        <w:rPr>
          <w:b/>
        </w:rPr>
        <w:t xml:space="preserve">: </w:t>
      </w:r>
      <w:r w:rsidR="006D49FF">
        <w:t>Text boxes provide</w:t>
      </w:r>
      <w:r w:rsidR="00075C89">
        <w:t xml:space="preserve"> terminology for </w:t>
      </w:r>
      <w:r w:rsidR="00821C31">
        <w:t xml:space="preserve">key </w:t>
      </w:r>
      <w:r w:rsidR="006D49FF">
        <w:t xml:space="preserve">EM&amp;V </w:t>
      </w:r>
      <w:r w:rsidR="00821C31">
        <w:t xml:space="preserve">concepts, consistent with industry-standard </w:t>
      </w:r>
      <w:r w:rsidR="006D49FF">
        <w:t>usage</w:t>
      </w:r>
      <w:r w:rsidR="00821C31">
        <w:t>.</w:t>
      </w:r>
    </w:p>
    <w:p w14:paraId="32D6AF46" w14:textId="77777777" w:rsidR="00821C31" w:rsidRPr="008D6F4E" w:rsidRDefault="00821C31" w:rsidP="00AB6C96">
      <w:pPr>
        <w:pStyle w:val="BodyText"/>
        <w:widowControl/>
      </w:pPr>
      <w:r w:rsidRPr="008D6F4E">
        <w:t xml:space="preserve">The </w:t>
      </w:r>
      <w:r w:rsidR="00707FEC">
        <w:t xml:space="preserve">EM&amp;V </w:t>
      </w:r>
      <w:r w:rsidRPr="008D6F4E">
        <w:t xml:space="preserve">topics </w:t>
      </w:r>
      <w:r>
        <w:t>covered in this section include</w:t>
      </w:r>
      <w:r w:rsidRPr="008D6F4E">
        <w:t>:</w:t>
      </w:r>
    </w:p>
    <w:p w14:paraId="710EE3BF" w14:textId="77777777" w:rsidR="00821C31" w:rsidRPr="0025471D" w:rsidRDefault="00821C31" w:rsidP="00AB6C96">
      <w:pPr>
        <w:pStyle w:val="ListParagraph"/>
        <w:numPr>
          <w:ilvl w:val="0"/>
          <w:numId w:val="120"/>
        </w:numPr>
        <w:spacing w:after="120"/>
        <w:contextualSpacing w:val="0"/>
      </w:pPr>
      <w:r w:rsidRPr="0025471D">
        <w:t xml:space="preserve">EM&amp;V methods </w:t>
      </w:r>
    </w:p>
    <w:p w14:paraId="634415FD" w14:textId="77777777" w:rsidR="00821C31" w:rsidRPr="0025471D" w:rsidRDefault="00821C31" w:rsidP="00AB6C96">
      <w:pPr>
        <w:pStyle w:val="ListParagraph"/>
        <w:numPr>
          <w:ilvl w:val="0"/>
          <w:numId w:val="120"/>
        </w:numPr>
        <w:spacing w:after="120"/>
        <w:contextualSpacing w:val="0"/>
      </w:pPr>
      <w:r w:rsidRPr="0025471D">
        <w:t>Electricity savings metrics and baselines</w:t>
      </w:r>
    </w:p>
    <w:p w14:paraId="460C71A3" w14:textId="77777777" w:rsidR="00821C31" w:rsidRPr="0025471D" w:rsidRDefault="00821C31" w:rsidP="00AB6C96">
      <w:pPr>
        <w:pStyle w:val="ListParagraph"/>
        <w:numPr>
          <w:ilvl w:val="0"/>
          <w:numId w:val="120"/>
        </w:numPr>
        <w:spacing w:after="120"/>
        <w:contextualSpacing w:val="0"/>
      </w:pPr>
      <w:r w:rsidRPr="0025471D">
        <w:lastRenderedPageBreak/>
        <w:t xml:space="preserve">Reporting </w:t>
      </w:r>
      <w:r w:rsidR="00C6635B">
        <w:t>timeframes and considerations</w:t>
      </w:r>
    </w:p>
    <w:p w14:paraId="6670552D" w14:textId="77777777" w:rsidR="00821C31" w:rsidRPr="0025471D" w:rsidRDefault="00821C31" w:rsidP="00AB6C96">
      <w:pPr>
        <w:pStyle w:val="ListParagraph"/>
        <w:numPr>
          <w:ilvl w:val="0"/>
          <w:numId w:val="120"/>
        </w:numPr>
        <w:spacing w:after="120"/>
        <w:contextualSpacing w:val="0"/>
      </w:pPr>
      <w:r w:rsidRPr="0025471D">
        <w:t>Deemed savings</w:t>
      </w:r>
    </w:p>
    <w:p w14:paraId="7E808CD0" w14:textId="77777777" w:rsidR="00ED0FC2" w:rsidRDefault="00ED0FC2" w:rsidP="00ED0FC2">
      <w:pPr>
        <w:pStyle w:val="ListParagraph"/>
        <w:numPr>
          <w:ilvl w:val="0"/>
          <w:numId w:val="120"/>
        </w:numPr>
        <w:spacing w:after="120"/>
        <w:contextualSpacing w:val="0"/>
      </w:pPr>
      <w:r w:rsidRPr="00ED0FC2">
        <w:t xml:space="preserve">Independent factors affecting energy consumption and savings </w:t>
      </w:r>
    </w:p>
    <w:p w14:paraId="24A7163A" w14:textId="77777777" w:rsidR="006952C2" w:rsidRPr="006952C2" w:rsidRDefault="006952C2" w:rsidP="00ED0FC2">
      <w:pPr>
        <w:pStyle w:val="ListParagraph"/>
        <w:numPr>
          <w:ilvl w:val="0"/>
          <w:numId w:val="120"/>
        </w:numPr>
        <w:spacing w:after="120"/>
        <w:contextualSpacing w:val="0"/>
      </w:pPr>
      <w:r>
        <w:t xml:space="preserve">Accuracy and </w:t>
      </w:r>
      <w:r w:rsidR="00ED0FC2">
        <w:t>r</w:t>
      </w:r>
      <w:r w:rsidR="00ED0FC2" w:rsidRPr="006952C2">
        <w:t xml:space="preserve">eliability of </w:t>
      </w:r>
      <w:r w:rsidR="00ED0FC2">
        <w:t>q</w:t>
      </w:r>
      <w:r w:rsidR="00ED0FC2" w:rsidRPr="006952C2">
        <w:t xml:space="preserve">uantified </w:t>
      </w:r>
      <w:r w:rsidR="00ED0FC2">
        <w:t>s</w:t>
      </w:r>
      <w:r w:rsidR="00ED0FC2" w:rsidRPr="006952C2">
        <w:t>avings</w:t>
      </w:r>
    </w:p>
    <w:p w14:paraId="390C82EA" w14:textId="77777777" w:rsidR="00821C31" w:rsidRPr="0025471D" w:rsidRDefault="00867725" w:rsidP="00AB6C96">
      <w:pPr>
        <w:pStyle w:val="ListParagraph"/>
        <w:numPr>
          <w:ilvl w:val="0"/>
          <w:numId w:val="120"/>
        </w:numPr>
        <w:spacing w:after="120"/>
        <w:contextualSpacing w:val="0"/>
      </w:pPr>
      <w:r>
        <w:t>Avoiding</w:t>
      </w:r>
      <w:r w:rsidR="00821C31" w:rsidRPr="0025471D">
        <w:t xml:space="preserve"> double counting</w:t>
      </w:r>
    </w:p>
    <w:p w14:paraId="30072EAA" w14:textId="77777777" w:rsidR="00821C31" w:rsidRPr="0025471D" w:rsidRDefault="00821C31" w:rsidP="00AB6C96">
      <w:pPr>
        <w:pStyle w:val="ListParagraph"/>
        <w:numPr>
          <w:ilvl w:val="0"/>
          <w:numId w:val="120"/>
        </w:numPr>
        <w:spacing w:after="120"/>
        <w:contextualSpacing w:val="0"/>
      </w:pPr>
      <w:r w:rsidRPr="0025471D">
        <w:t>Effective useful life and persistence of savings</w:t>
      </w:r>
    </w:p>
    <w:p w14:paraId="1E95F991" w14:textId="77777777" w:rsidR="00821C31" w:rsidRPr="0025471D" w:rsidRDefault="00821C31" w:rsidP="00AB6C96">
      <w:pPr>
        <w:pStyle w:val="ListParagraph"/>
        <w:numPr>
          <w:ilvl w:val="0"/>
          <w:numId w:val="120"/>
        </w:numPr>
        <w:spacing w:after="120"/>
        <w:contextualSpacing w:val="0"/>
      </w:pPr>
      <w:r w:rsidRPr="0025471D">
        <w:t xml:space="preserve">Savings </w:t>
      </w:r>
      <w:r>
        <w:t>quantification</w:t>
      </w:r>
      <w:r w:rsidR="00B65A63">
        <w:t xml:space="preserve"> and verification</w:t>
      </w:r>
      <w:r w:rsidRPr="0025471D" w:rsidDel="00B813B1">
        <w:t xml:space="preserve"> </w:t>
      </w:r>
      <w:r w:rsidR="006952C2">
        <w:t>cycles</w:t>
      </w:r>
    </w:p>
    <w:p w14:paraId="7A93DFED" w14:textId="77777777" w:rsidR="00821C31" w:rsidRPr="0025471D" w:rsidRDefault="00821C31" w:rsidP="00AB6C96">
      <w:pPr>
        <w:pStyle w:val="ListParagraph"/>
        <w:numPr>
          <w:ilvl w:val="0"/>
          <w:numId w:val="120"/>
        </w:numPr>
        <w:spacing w:after="120"/>
        <w:contextualSpacing w:val="0"/>
      </w:pPr>
      <w:r>
        <w:t xml:space="preserve">Transmission and </w:t>
      </w:r>
      <w:r w:rsidR="006952C2">
        <w:t>d</w:t>
      </w:r>
      <w:r>
        <w:t xml:space="preserve">istribution </w:t>
      </w:r>
      <w:r w:rsidR="006952C2">
        <w:t>(T&amp;D) s</w:t>
      </w:r>
      <w:r>
        <w:t xml:space="preserve">avings </w:t>
      </w:r>
      <w:r w:rsidR="006952C2">
        <w:t>a</w:t>
      </w:r>
      <w:r>
        <w:t>dders</w:t>
      </w:r>
    </w:p>
    <w:p w14:paraId="16028667" w14:textId="77777777" w:rsidR="00821C31" w:rsidRPr="0025471D" w:rsidRDefault="00B26B41" w:rsidP="00AB6C96">
      <w:pPr>
        <w:pStyle w:val="ListParagraph"/>
        <w:numPr>
          <w:ilvl w:val="0"/>
          <w:numId w:val="120"/>
        </w:numPr>
        <w:spacing w:after="120"/>
        <w:contextualSpacing w:val="0"/>
      </w:pPr>
      <w:r>
        <w:t>I</w:t>
      </w:r>
      <w:r w:rsidR="00821C31">
        <w:t>nteractive</w:t>
      </w:r>
      <w:r w:rsidR="00821C31" w:rsidRPr="0025471D">
        <w:t xml:space="preserve"> effects</w:t>
      </w:r>
    </w:p>
    <w:p w14:paraId="79EAE845" w14:textId="77777777" w:rsidR="00821C31" w:rsidRDefault="00821C31" w:rsidP="00AB6C96">
      <w:pPr>
        <w:pStyle w:val="ListParagraph"/>
        <w:numPr>
          <w:ilvl w:val="0"/>
          <w:numId w:val="120"/>
        </w:numPr>
        <w:spacing w:after="120"/>
        <w:contextualSpacing w:val="0"/>
      </w:pPr>
      <w:r>
        <w:t>Use of EE EM&amp;V Protocols and Guideline</w:t>
      </w:r>
      <w:r w:rsidRPr="0025471D">
        <w:t>s</w:t>
      </w:r>
    </w:p>
    <w:p w14:paraId="5E3DDA4E" w14:textId="5724BD04" w:rsidR="00F95093" w:rsidRPr="0025471D" w:rsidRDefault="00F95093" w:rsidP="00F95093">
      <w:pPr>
        <w:spacing w:after="120"/>
      </w:pPr>
      <w:r w:rsidRPr="00190CFB">
        <w:t xml:space="preserve">The </w:t>
      </w:r>
      <w:r>
        <w:t xml:space="preserve">presumptively approvable approaches for each of these topics </w:t>
      </w:r>
      <w:r w:rsidRPr="00190CFB">
        <w:t xml:space="preserve">are described in </w:t>
      </w:r>
      <w:r w:rsidRPr="003F28B1">
        <w:rPr>
          <w:rFonts w:asciiTheme="majorHAnsi" w:hAnsiTheme="majorHAnsi" w:cstheme="majorHAnsi"/>
          <w:iCs/>
        </w:rPr>
        <w:t>Section IV.D.8</w:t>
      </w:r>
      <w:r w:rsidRPr="00190CFB">
        <w:t xml:space="preserve"> of the </w:t>
      </w:r>
      <w:r>
        <w:t>proposed model rule</w:t>
      </w:r>
      <w:r w:rsidRPr="00190CFB">
        <w:t>.</w:t>
      </w:r>
    </w:p>
    <w:p w14:paraId="43DD8A84" w14:textId="77777777" w:rsidR="007A6DD8" w:rsidRDefault="007A6DD8" w:rsidP="007A6DD8">
      <w:pPr>
        <w:pStyle w:val="Heading2"/>
        <w:numPr>
          <w:ilvl w:val="1"/>
          <w:numId w:val="69"/>
        </w:numPr>
      </w:pPr>
      <w:bookmarkStart w:id="27" w:name="_Toc426044625"/>
      <w:bookmarkStart w:id="28" w:name="_Toc422317027"/>
      <w:r w:rsidRPr="009D76DC">
        <w:t xml:space="preserve">EM&amp;V </w:t>
      </w:r>
      <w:r>
        <w:t>Methods</w:t>
      </w:r>
      <w:bookmarkEnd w:id="27"/>
      <w:r>
        <w:t xml:space="preserve"> </w:t>
      </w:r>
    </w:p>
    <w:p w14:paraId="2517AFB7" w14:textId="77777777" w:rsidR="007A6DD8" w:rsidRPr="000B4C65" w:rsidRDefault="007A6DD8" w:rsidP="007A6DD8">
      <w:pPr>
        <w:pStyle w:val="Heading3"/>
        <w:numPr>
          <w:ilvl w:val="2"/>
          <w:numId w:val="69"/>
        </w:numPr>
        <w:spacing w:before="240"/>
        <w:ind w:left="0"/>
      </w:pPr>
      <w:bookmarkStart w:id="29" w:name="_Toc422306677"/>
      <w:bookmarkStart w:id="30" w:name="_Toc422306914"/>
      <w:bookmarkStart w:id="31" w:name="_Toc422307055"/>
      <w:bookmarkStart w:id="32" w:name="_Toc422307187"/>
      <w:bookmarkStart w:id="33" w:name="_Toc422311290"/>
      <w:bookmarkStart w:id="34" w:name="_Toc422311424"/>
      <w:bookmarkStart w:id="35" w:name="_Toc422316648"/>
      <w:bookmarkStart w:id="36" w:name="_Toc422316787"/>
      <w:bookmarkStart w:id="37" w:name="_Toc422316927"/>
      <w:bookmarkStart w:id="38" w:name="_Toc423437569"/>
      <w:bookmarkStart w:id="39" w:name="_Toc423447641"/>
      <w:bookmarkStart w:id="40" w:name="_Toc423447801"/>
      <w:bookmarkStart w:id="41" w:name="_Toc423447918"/>
      <w:bookmarkStart w:id="42" w:name="_Toc423535485"/>
      <w:bookmarkStart w:id="43" w:name="_Toc423539632"/>
      <w:bookmarkStart w:id="44" w:name="_Toc423540027"/>
      <w:bookmarkStart w:id="45" w:name="_Toc422316928"/>
      <w:bookmarkStart w:id="46" w:name="_Toc426044626"/>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0B4C65">
        <w:t>Discussion</w:t>
      </w:r>
      <w:bookmarkEnd w:id="45"/>
      <w:bookmarkEnd w:id="46"/>
    </w:p>
    <w:p w14:paraId="18BCB714" w14:textId="388E4DFA" w:rsidR="007A6DD8" w:rsidRPr="00943737" w:rsidRDefault="006F4D93" w:rsidP="00E72B7F">
      <w:pPr>
        <w:pStyle w:val="BodyText"/>
        <w:widowControl/>
      </w:pPr>
      <w:r w:rsidRPr="006D78FC">
        <w:rPr>
          <w:rStyle w:val="Heading6Char"/>
          <w:rFonts w:eastAsiaTheme="minorEastAsia"/>
          <w:b w:val="0"/>
          <w:noProof/>
        </w:rPr>
        <mc:AlternateContent>
          <mc:Choice Requires="wps">
            <w:drawing>
              <wp:anchor distT="0" distB="0" distL="114300" distR="114300" simplePos="0" relativeHeight="251654656" behindDoc="0" locked="0" layoutInCell="1" allowOverlap="1" wp14:anchorId="3793B6E6" wp14:editId="1C8E0E8D">
                <wp:simplePos x="0" y="0"/>
                <wp:positionH relativeFrom="margin">
                  <wp:posOffset>2649855</wp:posOffset>
                </wp:positionH>
                <wp:positionV relativeFrom="paragraph">
                  <wp:posOffset>555559</wp:posOffset>
                </wp:positionV>
                <wp:extent cx="3282315" cy="2606040"/>
                <wp:effectExtent l="57150" t="38100" r="70485" b="99060"/>
                <wp:wrapSquare wrapText="left"/>
                <wp:docPr id="5" name="Text Box 5"/>
                <wp:cNvGraphicFramePr/>
                <a:graphic xmlns:a="http://schemas.openxmlformats.org/drawingml/2006/main">
                  <a:graphicData uri="http://schemas.microsoft.com/office/word/2010/wordprocessingShape">
                    <wps:wsp>
                      <wps:cNvSpPr txBox="1"/>
                      <wps:spPr>
                        <a:xfrm>
                          <a:off x="0" y="0"/>
                          <a:ext cx="3282315" cy="260604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600AF796" w14:textId="733BB465" w:rsidR="00133485" w:rsidRPr="009F2C48" w:rsidRDefault="00133485" w:rsidP="007A6DD8">
                            <w:pPr>
                              <w:spacing w:after="120"/>
                              <w:jc w:val="center"/>
                              <w:rPr>
                                <w:rFonts w:asciiTheme="majorHAnsi" w:hAnsiTheme="majorHAnsi"/>
                                <w:b/>
                                <w:sz w:val="20"/>
                                <w:szCs w:val="20"/>
                              </w:rPr>
                            </w:pPr>
                            <w:r>
                              <w:rPr>
                                <w:rFonts w:asciiTheme="majorHAnsi" w:hAnsiTheme="majorHAnsi"/>
                                <w:b/>
                                <w:sz w:val="20"/>
                                <w:szCs w:val="20"/>
                              </w:rPr>
                              <w:t xml:space="preserve">Key Terms </w:t>
                            </w:r>
                          </w:p>
                          <w:p w14:paraId="1FC90C69" w14:textId="77777777" w:rsidR="00133485" w:rsidRDefault="00133485" w:rsidP="00E72B7F">
                            <w:pPr>
                              <w:pStyle w:val="BulletLevel1"/>
                              <w:numPr>
                                <w:ilvl w:val="0"/>
                                <w:numId w:val="46"/>
                              </w:numPr>
                              <w:ind w:left="180" w:hanging="180"/>
                              <w:rPr>
                                <w:sz w:val="20"/>
                                <w:szCs w:val="20"/>
                              </w:rPr>
                            </w:pPr>
                            <w:r w:rsidRPr="00E72B7F">
                              <w:rPr>
                                <w:b/>
                                <w:i/>
                                <w:sz w:val="20"/>
                                <w:szCs w:val="20"/>
                              </w:rPr>
                              <w:t>Deemed savings values</w:t>
                            </w:r>
                            <w:r w:rsidRPr="00E72B7F">
                              <w:rPr>
                                <w:sz w:val="20"/>
                                <w:szCs w:val="20"/>
                              </w:rPr>
                              <w:t xml:space="preserve"> are estimates of electricity savings for a single unit of an installed EE measure that (1) has been developed from data sources (such as prior metering studies) and analytical methods that are widely considered acceptable for the measure and purpose, and (2) is applicable to the situation under which the measure is being implemented</w:t>
                            </w:r>
                            <w:r w:rsidRPr="00B85B2B">
                              <w:rPr>
                                <w:sz w:val="20"/>
                                <w:szCs w:val="20"/>
                              </w:rPr>
                              <w:t xml:space="preserve">. Common sources of deemed savings values are previous evaluations and studies that involved actual measurements and analyses. With deemed savings, the per-unit </w:t>
                            </w:r>
                            <w:proofErr w:type="spellStart"/>
                            <w:r w:rsidRPr="00B85B2B">
                              <w:rPr>
                                <w:sz w:val="20"/>
                                <w:szCs w:val="20"/>
                              </w:rPr>
                              <w:t>MWh</w:t>
                            </w:r>
                            <w:proofErr w:type="spellEnd"/>
                            <w:r w:rsidRPr="00B85B2B">
                              <w:rPr>
                                <w:sz w:val="20"/>
                                <w:szCs w:val="20"/>
                              </w:rPr>
                              <w:t xml:space="preserve"> values are determined and agreed to by parties prior to EE implementation. When </w:t>
                            </w:r>
                            <w:proofErr w:type="gramStart"/>
                            <w:r w:rsidRPr="00B85B2B">
                              <w:rPr>
                                <w:sz w:val="20"/>
                                <w:szCs w:val="20"/>
                              </w:rPr>
                              <w:t>deemed savings</w:t>
                            </w:r>
                            <w:proofErr w:type="gramEnd"/>
                            <w:r w:rsidRPr="00B85B2B">
                              <w:rPr>
                                <w:sz w:val="20"/>
                                <w:szCs w:val="20"/>
                              </w:rPr>
                              <w:t xml:space="preserve"> are used to quantify </w:t>
                            </w:r>
                            <w:proofErr w:type="spellStart"/>
                            <w:r w:rsidRPr="00B85B2B">
                              <w:rPr>
                                <w:sz w:val="20"/>
                                <w:szCs w:val="20"/>
                              </w:rPr>
                              <w:t>MWh</w:t>
                            </w:r>
                            <w:proofErr w:type="spellEnd"/>
                            <w:r w:rsidRPr="00B85B2B">
                              <w:rPr>
                                <w:sz w:val="20"/>
                                <w:szCs w:val="20"/>
                              </w:rPr>
                              <w:t xml:space="preserve"> savings, a</w:t>
                            </w:r>
                            <w:r w:rsidRPr="00B24B72">
                              <w:rPr>
                                <w:sz w:val="20"/>
                                <w:szCs w:val="20"/>
                              </w:rPr>
                              <w:t xml:space="preserve"> separate verification process is needed to confirm the quantity of </w:t>
                            </w:r>
                            <w:r>
                              <w:rPr>
                                <w:sz w:val="20"/>
                                <w:szCs w:val="20"/>
                              </w:rPr>
                              <w:t>units installed.</w:t>
                            </w:r>
                          </w:p>
                          <w:p w14:paraId="7EEDE697" w14:textId="77777777" w:rsidR="00133485" w:rsidRPr="00E72B7F" w:rsidRDefault="00133485" w:rsidP="009E7639">
                            <w:pPr>
                              <w:pStyle w:val="BulletLevel1"/>
                              <w:numPr>
                                <w:ilvl w:val="0"/>
                                <w:numId w:val="0"/>
                              </w:num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3B6E6" id="Text Box 5" o:spid="_x0000_s1028" type="#_x0000_t202" style="position:absolute;margin-left:208.65pt;margin-top:43.75pt;width:258.45pt;height:205.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" fillcolor="#a7bfde [1620]" strokecolor="#4579b8 [3044]">
                <v:fill color2="#e4ecf5 [500]" rotate="t" angle="180" colors="0 #a3c4ff;22938f #bfd5ff;1 #e5eeff" focus="100%" type="gradient"/>
                <v:shadow on="t" color="black" opacity="24903f" origin=",.5" offset="0,.55556mm"/>
                <v:textbox>
                  <w:txbxContent>
                    <w:p w14:paraId="600AF796" w14:textId="733BB465" w:rsidR="00133485" w:rsidRPr="009F2C48" w:rsidRDefault="00133485" w:rsidP="007A6DD8">
                      <w:pPr>
                        <w:spacing w:after="120"/>
                        <w:jc w:val="center"/>
                        <w:rPr>
                          <w:rFonts w:asciiTheme="majorHAnsi" w:hAnsiTheme="majorHAnsi"/>
                          <w:b/>
                          <w:sz w:val="20"/>
                          <w:szCs w:val="20"/>
                        </w:rPr>
                      </w:pPr>
                      <w:r>
                        <w:rPr>
                          <w:rFonts w:asciiTheme="majorHAnsi" w:hAnsiTheme="majorHAnsi"/>
                          <w:b/>
                          <w:sz w:val="20"/>
                          <w:szCs w:val="20"/>
                        </w:rPr>
                        <w:t xml:space="preserve">Key Terms </w:t>
                      </w:r>
                    </w:p>
                    <w:p w14:paraId="1FC90C69" w14:textId="77777777" w:rsidR="00133485" w:rsidRDefault="00133485" w:rsidP="00E72B7F">
                      <w:pPr>
                        <w:pStyle w:val="BulletLevel1"/>
                        <w:numPr>
                          <w:ilvl w:val="0"/>
                          <w:numId w:val="46"/>
                        </w:numPr>
                        <w:ind w:left="180" w:hanging="180"/>
                        <w:rPr>
                          <w:sz w:val="20"/>
                          <w:szCs w:val="20"/>
                        </w:rPr>
                      </w:pPr>
                      <w:r w:rsidRPr="00E72B7F">
                        <w:rPr>
                          <w:b/>
                          <w:i/>
                          <w:sz w:val="20"/>
                          <w:szCs w:val="20"/>
                        </w:rPr>
                        <w:t>Deemed savings values</w:t>
                      </w:r>
                      <w:r w:rsidRPr="00E72B7F">
                        <w:rPr>
                          <w:sz w:val="20"/>
                          <w:szCs w:val="20"/>
                        </w:rPr>
                        <w:t xml:space="preserve"> are estimates of electricity savings for a single unit of an installed EE measure that (1) has been developed from data sources (such as prior metering studies) and analytical methods that are widely considered acceptable for the measure and purpose, and (2) is applicable to the situation under which the measure is being implemented</w:t>
                      </w:r>
                      <w:r w:rsidRPr="00B85B2B">
                        <w:rPr>
                          <w:sz w:val="20"/>
                          <w:szCs w:val="20"/>
                        </w:rPr>
                        <w:t xml:space="preserve">. Common sources of deemed savings values are previous evaluations and studies that involved actual measurements and analyses. With deemed savings, the per-unit </w:t>
                      </w:r>
                      <w:proofErr w:type="spellStart"/>
                      <w:r w:rsidRPr="00B85B2B">
                        <w:rPr>
                          <w:sz w:val="20"/>
                          <w:szCs w:val="20"/>
                        </w:rPr>
                        <w:t>MWh</w:t>
                      </w:r>
                      <w:proofErr w:type="spellEnd"/>
                      <w:r w:rsidRPr="00B85B2B">
                        <w:rPr>
                          <w:sz w:val="20"/>
                          <w:szCs w:val="20"/>
                        </w:rPr>
                        <w:t xml:space="preserve"> values are determined and agreed to by parties prior to EE implementation. When </w:t>
                      </w:r>
                      <w:proofErr w:type="gramStart"/>
                      <w:r w:rsidRPr="00B85B2B">
                        <w:rPr>
                          <w:sz w:val="20"/>
                          <w:szCs w:val="20"/>
                        </w:rPr>
                        <w:t>deemed savings</w:t>
                      </w:r>
                      <w:proofErr w:type="gramEnd"/>
                      <w:r w:rsidRPr="00B85B2B">
                        <w:rPr>
                          <w:sz w:val="20"/>
                          <w:szCs w:val="20"/>
                        </w:rPr>
                        <w:t xml:space="preserve"> are used to quantify </w:t>
                      </w:r>
                      <w:proofErr w:type="spellStart"/>
                      <w:r w:rsidRPr="00B85B2B">
                        <w:rPr>
                          <w:sz w:val="20"/>
                          <w:szCs w:val="20"/>
                        </w:rPr>
                        <w:t>MWh</w:t>
                      </w:r>
                      <w:proofErr w:type="spellEnd"/>
                      <w:r w:rsidRPr="00B85B2B">
                        <w:rPr>
                          <w:sz w:val="20"/>
                          <w:szCs w:val="20"/>
                        </w:rPr>
                        <w:t xml:space="preserve"> savings, a</w:t>
                      </w:r>
                      <w:r w:rsidRPr="00B24B72">
                        <w:rPr>
                          <w:sz w:val="20"/>
                          <w:szCs w:val="20"/>
                        </w:rPr>
                        <w:t xml:space="preserve"> separate verification process is needed to confirm the quantity of </w:t>
                      </w:r>
                      <w:r>
                        <w:rPr>
                          <w:sz w:val="20"/>
                          <w:szCs w:val="20"/>
                        </w:rPr>
                        <w:t>units installed.</w:t>
                      </w:r>
                    </w:p>
                    <w:p w14:paraId="7EEDE697" w14:textId="77777777" w:rsidR="00133485" w:rsidRPr="00E72B7F" w:rsidRDefault="00133485" w:rsidP="009E7639">
                      <w:pPr>
                        <w:pStyle w:val="BulletLevel1"/>
                        <w:numPr>
                          <w:ilvl w:val="0"/>
                          <w:numId w:val="0"/>
                        </w:numPr>
                        <w:ind w:left="180"/>
                      </w:pPr>
                    </w:p>
                  </w:txbxContent>
                </v:textbox>
                <w10:wrap type="square" side="left" anchorx="margin"/>
              </v:shape>
            </w:pict>
          </mc:Fallback>
        </mc:AlternateContent>
      </w:r>
      <w:r w:rsidR="007A6DD8">
        <w:t xml:space="preserve">Three general categories of EM&amp;V methods for quantifying the </w:t>
      </w:r>
      <w:proofErr w:type="spellStart"/>
      <w:r w:rsidR="007A6DD8">
        <w:t>MWh</w:t>
      </w:r>
      <w:proofErr w:type="spellEnd"/>
      <w:r w:rsidR="007A6DD8">
        <w:t xml:space="preserve"> </w:t>
      </w:r>
      <w:r w:rsidR="007A6DD8" w:rsidRPr="00423BCA">
        <w:t xml:space="preserve">savings include </w:t>
      </w:r>
      <w:r w:rsidR="004E59F8">
        <w:t xml:space="preserve">1) </w:t>
      </w:r>
      <w:r w:rsidR="005F648D" w:rsidRPr="00645D24">
        <w:rPr>
          <w:b/>
          <w:bCs/>
        </w:rPr>
        <w:t>deemed savings</w:t>
      </w:r>
      <w:r w:rsidR="004E59F8">
        <w:t xml:space="preserve"> 2)</w:t>
      </w:r>
      <w:r w:rsidR="005F648D">
        <w:t xml:space="preserve"> </w:t>
      </w:r>
      <w:r w:rsidR="009C0AB7" w:rsidRPr="00894C60">
        <w:rPr>
          <w:b/>
        </w:rPr>
        <w:t>project-</w:t>
      </w:r>
      <w:r w:rsidR="00A739A0" w:rsidRPr="00894C60">
        <w:rPr>
          <w:b/>
        </w:rPr>
        <w:t>based</w:t>
      </w:r>
      <w:r w:rsidR="00A739A0">
        <w:t xml:space="preserve"> </w:t>
      </w:r>
      <w:r w:rsidR="007A6DD8" w:rsidRPr="00423BCA">
        <w:rPr>
          <w:b/>
        </w:rPr>
        <w:t>measurement and verification</w:t>
      </w:r>
      <w:r w:rsidR="007A6DD8" w:rsidRPr="00943737">
        <w:t>,</w:t>
      </w:r>
      <w:r w:rsidR="007A6DD8">
        <w:rPr>
          <w:b/>
        </w:rPr>
        <w:t xml:space="preserve"> </w:t>
      </w:r>
      <w:r w:rsidR="004E59F8">
        <w:rPr>
          <w:bCs/>
        </w:rPr>
        <w:t xml:space="preserve">and 3) </w:t>
      </w:r>
      <w:r w:rsidR="007A6DD8">
        <w:rPr>
          <w:b/>
        </w:rPr>
        <w:t xml:space="preserve">comparison </w:t>
      </w:r>
      <w:r w:rsidR="007A6DD8" w:rsidRPr="00423BCA">
        <w:rPr>
          <w:b/>
        </w:rPr>
        <w:t>group methods</w:t>
      </w:r>
      <w:r w:rsidR="007A6DD8">
        <w:t xml:space="preserve">. Each of these methods is defined in industry-standard protocols and commonly applied by EE providers, </w:t>
      </w:r>
      <w:r w:rsidR="009C0AB7">
        <w:t>oversight entities</w:t>
      </w:r>
      <w:r w:rsidR="007A6DD8">
        <w:t xml:space="preserve">, and </w:t>
      </w:r>
      <w:r w:rsidR="009C0AB7">
        <w:t>the firms they hire to quantify and verify savings</w:t>
      </w:r>
      <w:r w:rsidR="007A6DD8">
        <w:t xml:space="preserve">. The decision of which method </w:t>
      </w:r>
      <w:r w:rsidR="00047CCF">
        <w:t xml:space="preserve">or methods </w:t>
      </w:r>
      <w:r w:rsidR="007A6DD8">
        <w:t xml:space="preserve">to apply </w:t>
      </w:r>
      <w:r w:rsidR="00047CCF">
        <w:t xml:space="preserve">for which EE activities or components </w:t>
      </w:r>
      <w:r w:rsidR="007A6DD8">
        <w:t>involves consideration of factors such as objectives of the EE activity being evaluated, the scale of the activity, and evaluation budget and resources</w:t>
      </w:r>
      <w:r w:rsidR="007A6DD8" w:rsidRPr="00943737">
        <w:t>.</w:t>
      </w:r>
      <w:r w:rsidR="001A5A18">
        <w:t xml:space="preserve"> </w:t>
      </w:r>
      <w:r w:rsidR="00894C60">
        <w:t>PB-MV</w:t>
      </w:r>
      <w:r w:rsidR="007A6DD8" w:rsidRPr="00943737">
        <w:t xml:space="preserve"> and deemed savings are commonly used for determining savings from individual EE measures and projects. By contrast, comparison</w:t>
      </w:r>
      <w:r w:rsidR="007A6DD8">
        <w:t>-</w:t>
      </w:r>
      <w:r w:rsidR="007A6DD8" w:rsidRPr="00943737">
        <w:t xml:space="preserve">group methods are usually </w:t>
      </w:r>
      <w:r w:rsidR="007A6DD8">
        <w:t xml:space="preserve">only </w:t>
      </w:r>
      <w:r w:rsidR="007A6DD8" w:rsidRPr="00943737">
        <w:t xml:space="preserve">used to estimate savings from </w:t>
      </w:r>
      <w:r w:rsidR="007A6DD8">
        <w:t xml:space="preserve">EE </w:t>
      </w:r>
      <w:r w:rsidR="007A6DD8" w:rsidRPr="00943737">
        <w:t>programs</w:t>
      </w:r>
      <w:r w:rsidR="005F648D">
        <w:t>, but the use of such methods could be expanded further</w:t>
      </w:r>
      <w:r w:rsidR="007A6DD8" w:rsidRPr="00943737">
        <w:t xml:space="preserve">. </w:t>
      </w:r>
    </w:p>
    <w:p w14:paraId="1AC84B91" w14:textId="2462C75F" w:rsidR="007A6DD8" w:rsidRPr="0027682A" w:rsidRDefault="009E7639" w:rsidP="009C6295">
      <w:pPr>
        <w:pStyle w:val="BodyText"/>
        <w:widowControl/>
      </w:pPr>
      <w:r w:rsidRPr="006D78FC">
        <w:rPr>
          <w:rStyle w:val="PlainTextChar"/>
          <w:b/>
          <w:noProof/>
          <w:lang w:eastAsia="en-US"/>
        </w:rPr>
        <w:lastRenderedPageBreak/>
        <mc:AlternateContent>
          <mc:Choice Requires="wps">
            <w:drawing>
              <wp:anchor distT="0" distB="0" distL="114300" distR="114300" simplePos="0" relativeHeight="251662848" behindDoc="0" locked="0" layoutInCell="1" allowOverlap="1" wp14:anchorId="7B038EDC" wp14:editId="528C9684">
                <wp:simplePos x="0" y="0"/>
                <wp:positionH relativeFrom="margin">
                  <wp:align>right</wp:align>
                </wp:positionH>
                <wp:positionV relativeFrom="margin">
                  <wp:align>top</wp:align>
                </wp:positionV>
                <wp:extent cx="3282315" cy="5934075"/>
                <wp:effectExtent l="57150" t="38100" r="70485" b="104775"/>
                <wp:wrapSquare wrapText="left"/>
                <wp:docPr id="17" name="Text Box 17"/>
                <wp:cNvGraphicFramePr/>
                <a:graphic xmlns:a="http://schemas.openxmlformats.org/drawingml/2006/main">
                  <a:graphicData uri="http://schemas.microsoft.com/office/word/2010/wordprocessingShape">
                    <wps:wsp>
                      <wps:cNvSpPr txBox="1"/>
                      <wps:spPr>
                        <a:xfrm>
                          <a:off x="0" y="0"/>
                          <a:ext cx="3282315" cy="59340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2783B881" w14:textId="6496A301" w:rsidR="00133485" w:rsidRDefault="00133485" w:rsidP="009E7639">
                            <w:pPr>
                              <w:spacing w:after="120"/>
                              <w:jc w:val="center"/>
                              <w:rPr>
                                <w:rFonts w:asciiTheme="majorHAnsi" w:hAnsiTheme="majorHAnsi"/>
                                <w:b/>
                                <w:sz w:val="20"/>
                                <w:szCs w:val="20"/>
                              </w:rPr>
                            </w:pPr>
                            <w:r>
                              <w:rPr>
                                <w:rFonts w:asciiTheme="majorHAnsi" w:hAnsiTheme="majorHAnsi"/>
                                <w:b/>
                                <w:sz w:val="20"/>
                                <w:szCs w:val="20"/>
                              </w:rPr>
                              <w:t>Key Terms</w:t>
                            </w:r>
                          </w:p>
                          <w:p w14:paraId="0349F672" w14:textId="77777777" w:rsidR="00133485" w:rsidRPr="009F2C48" w:rsidRDefault="00133485" w:rsidP="009E7639">
                            <w:pPr>
                              <w:spacing w:after="120"/>
                              <w:jc w:val="center"/>
                              <w:rPr>
                                <w:rFonts w:asciiTheme="majorHAnsi" w:hAnsiTheme="majorHAnsi"/>
                                <w:b/>
                                <w:sz w:val="20"/>
                                <w:szCs w:val="20"/>
                              </w:rPr>
                            </w:pPr>
                            <w:r>
                              <w:rPr>
                                <w:rFonts w:asciiTheme="majorHAnsi" w:hAnsiTheme="majorHAnsi"/>
                                <w:b/>
                                <w:sz w:val="20"/>
                                <w:szCs w:val="20"/>
                              </w:rPr>
                              <w:t>(</w:t>
                            </w:r>
                            <w:proofErr w:type="gramStart"/>
                            <w:r w:rsidRPr="00A94CDE">
                              <w:rPr>
                                <w:rFonts w:asciiTheme="majorHAnsi" w:hAnsiTheme="majorHAnsi"/>
                                <w:b/>
                                <w:i/>
                                <w:sz w:val="20"/>
                                <w:szCs w:val="20"/>
                              </w:rPr>
                              <w:t>continued</w:t>
                            </w:r>
                            <w:proofErr w:type="gramEnd"/>
                            <w:r>
                              <w:rPr>
                                <w:rFonts w:asciiTheme="majorHAnsi" w:hAnsiTheme="majorHAnsi"/>
                                <w:b/>
                                <w:sz w:val="20"/>
                                <w:szCs w:val="20"/>
                              </w:rPr>
                              <w:t xml:space="preserve">) </w:t>
                            </w:r>
                          </w:p>
                          <w:p w14:paraId="47803520" w14:textId="558996D6" w:rsidR="00133485" w:rsidRPr="00B85B2B" w:rsidRDefault="006F4D93" w:rsidP="009E7639">
                            <w:pPr>
                              <w:pStyle w:val="BulletLevel1"/>
                              <w:numPr>
                                <w:ilvl w:val="0"/>
                                <w:numId w:val="46"/>
                              </w:numPr>
                              <w:ind w:left="180" w:hanging="180"/>
                              <w:rPr>
                                <w:sz w:val="20"/>
                                <w:szCs w:val="20"/>
                              </w:rPr>
                            </w:pPr>
                            <w:r>
                              <w:rPr>
                                <w:b/>
                                <w:i/>
                                <w:sz w:val="20"/>
                                <w:szCs w:val="20"/>
                              </w:rPr>
                              <w:t>Project-based m</w:t>
                            </w:r>
                            <w:r w:rsidR="00133485" w:rsidRPr="00E72B7F">
                              <w:rPr>
                                <w:b/>
                                <w:i/>
                                <w:sz w:val="20"/>
                                <w:szCs w:val="20"/>
                              </w:rPr>
                              <w:t>easurement and verification</w:t>
                            </w:r>
                            <w:r w:rsidR="00133485" w:rsidRPr="00E72B7F">
                              <w:rPr>
                                <w:sz w:val="20"/>
                                <w:szCs w:val="20"/>
                              </w:rPr>
                              <w:t xml:space="preserve"> is the process of determining savings from an individual EE measure or project (versus an EE program). The IPMVP, described in Section</w:t>
                            </w:r>
                            <w:r w:rsidR="00133485" w:rsidRPr="00B85B2B">
                              <w:rPr>
                                <w:sz w:val="20"/>
                                <w:szCs w:val="20"/>
                              </w:rPr>
                              <w:t xml:space="preserve"> 3.12, defines </w:t>
                            </w:r>
                            <w:r w:rsidR="00133485" w:rsidRPr="00B85B2B">
                              <w:rPr>
                                <w:b/>
                                <w:sz w:val="20"/>
                                <w:szCs w:val="20"/>
                              </w:rPr>
                              <w:t>two retrofit isolation</w:t>
                            </w:r>
                            <w:r w:rsidR="00133485" w:rsidRPr="00B85B2B">
                              <w:rPr>
                                <w:sz w:val="20"/>
                                <w:szCs w:val="20"/>
                              </w:rPr>
                              <w:t xml:space="preserve"> and </w:t>
                            </w:r>
                            <w:r w:rsidR="00133485" w:rsidRPr="00B85B2B">
                              <w:rPr>
                                <w:b/>
                                <w:sz w:val="20"/>
                                <w:szCs w:val="20"/>
                              </w:rPr>
                              <w:t xml:space="preserve">two whole-facility </w:t>
                            </w:r>
                            <w:r w:rsidR="00606E90">
                              <w:rPr>
                                <w:b/>
                                <w:sz w:val="20"/>
                                <w:szCs w:val="20"/>
                              </w:rPr>
                              <w:t xml:space="preserve">PB-MV </w:t>
                            </w:r>
                            <w:r w:rsidR="00133485" w:rsidRPr="00B85B2B">
                              <w:rPr>
                                <w:b/>
                                <w:sz w:val="20"/>
                                <w:szCs w:val="20"/>
                              </w:rPr>
                              <w:t>options</w:t>
                            </w:r>
                            <w:r w:rsidR="00133485" w:rsidRPr="00B85B2B">
                              <w:rPr>
                                <w:sz w:val="20"/>
                                <w:szCs w:val="20"/>
                              </w:rPr>
                              <w:t xml:space="preserve"> used in the EE industry:</w:t>
                            </w:r>
                          </w:p>
                          <w:p w14:paraId="1C82F1EF" w14:textId="77777777" w:rsidR="00133485" w:rsidRPr="00AB6C96" w:rsidRDefault="00133485" w:rsidP="009E7639">
                            <w:pPr>
                              <w:pStyle w:val="BulletLevel2"/>
                              <w:spacing w:after="80"/>
                              <w:rPr>
                                <w:sz w:val="20"/>
                                <w:szCs w:val="20"/>
                              </w:rPr>
                            </w:pPr>
                            <w:r w:rsidRPr="00AB6C96">
                              <w:rPr>
                                <w:i/>
                                <w:sz w:val="20"/>
                                <w:szCs w:val="20"/>
                              </w:rPr>
                              <w:t>Retrofit isolation</w:t>
                            </w:r>
                            <w:r w:rsidRPr="00AB6C96">
                              <w:rPr>
                                <w:sz w:val="20"/>
                                <w:szCs w:val="20"/>
                              </w:rPr>
                              <w:t xml:space="preserve"> – assessing savings from each EE measure individually (IPMVP Options </w:t>
                            </w:r>
                            <w:proofErr w:type="gramStart"/>
                            <w:r w:rsidRPr="00AB6C96">
                              <w:rPr>
                                <w:sz w:val="20"/>
                                <w:szCs w:val="20"/>
                              </w:rPr>
                              <w:t>A</w:t>
                            </w:r>
                            <w:proofErr w:type="gramEnd"/>
                            <w:r w:rsidRPr="00AB6C96">
                              <w:rPr>
                                <w:sz w:val="20"/>
                                <w:szCs w:val="20"/>
                              </w:rPr>
                              <w:t xml:space="preserve"> &amp; B). </w:t>
                            </w:r>
                          </w:p>
                          <w:p w14:paraId="6688181E" w14:textId="77777777" w:rsidR="00133485" w:rsidRPr="00AB6C96" w:rsidRDefault="00133485" w:rsidP="009E7639">
                            <w:pPr>
                              <w:pStyle w:val="BulletLevel2"/>
                              <w:numPr>
                                <w:ilvl w:val="1"/>
                                <w:numId w:val="198"/>
                              </w:numPr>
                              <w:spacing w:after="80"/>
                              <w:rPr>
                                <w:sz w:val="20"/>
                                <w:szCs w:val="20"/>
                              </w:rPr>
                            </w:pPr>
                            <w:r w:rsidRPr="00AB6C96">
                              <w:rPr>
                                <w:i/>
                                <w:sz w:val="20"/>
                                <w:szCs w:val="20"/>
                              </w:rPr>
                              <w:t>Whole facility</w:t>
                            </w:r>
                            <w:r w:rsidRPr="00AB6C96">
                              <w:rPr>
                                <w:sz w:val="20"/>
                                <w:szCs w:val="20"/>
                              </w:rPr>
                              <w:t xml:space="preserve"> – analyzing savings from each EE measure in a project/facility collectively (IPMVP Option C, review of energy bills or Option D, calibrated simulation).</w:t>
                            </w:r>
                          </w:p>
                          <w:p w14:paraId="0E121CE1" w14:textId="77777777" w:rsidR="00133485" w:rsidRDefault="00133485" w:rsidP="009E7639">
                            <w:pPr>
                              <w:pStyle w:val="BulletLevel2"/>
                              <w:spacing w:after="80"/>
                            </w:pPr>
                            <w:r w:rsidRPr="00AB6C96">
                              <w:rPr>
                                <w:bCs/>
                                <w:sz w:val="20"/>
                                <w:szCs w:val="20"/>
                              </w:rPr>
                              <w:t>Some</w:t>
                            </w:r>
                            <w:r w:rsidRPr="00AB6C96">
                              <w:rPr>
                                <w:sz w:val="20"/>
                                <w:szCs w:val="20"/>
                              </w:rPr>
                              <w:t xml:space="preserve"> combination of the above.</w:t>
                            </w:r>
                            <w:r w:rsidRPr="0040273A">
                              <w:t xml:space="preserve"> </w:t>
                            </w:r>
                          </w:p>
                          <w:p w14:paraId="67EA9F61" w14:textId="77777777" w:rsidR="00133485" w:rsidRDefault="00133485" w:rsidP="009E7639">
                            <w:pPr>
                              <w:pStyle w:val="BulletLevel2"/>
                              <w:numPr>
                                <w:ilvl w:val="0"/>
                                <w:numId w:val="0"/>
                              </w:numPr>
                              <w:ind w:left="180"/>
                              <w:rPr>
                                <w:b/>
                                <w:i/>
                                <w:sz w:val="20"/>
                                <w:szCs w:val="20"/>
                              </w:rPr>
                            </w:pPr>
                            <w:r>
                              <w:rPr>
                                <w:sz w:val="20"/>
                                <w:szCs w:val="20"/>
                              </w:rPr>
                              <w:t>Because the measurement process ordinarily involves direct observation of installed equipment, or of its effects on whole-facility consumption, the process is referred to as measurement and verification, and a separate verification step is not needed for the EE measures subject to this process.</w:t>
                            </w:r>
                            <w:r w:rsidRPr="00ED0FC2">
                              <w:rPr>
                                <w:b/>
                                <w:i/>
                                <w:sz w:val="20"/>
                                <w:szCs w:val="20"/>
                              </w:rPr>
                              <w:t xml:space="preserve"> </w:t>
                            </w:r>
                          </w:p>
                          <w:p w14:paraId="2EF13C8F" w14:textId="79220358" w:rsidR="00133485" w:rsidRPr="00E72B7F" w:rsidRDefault="00133485" w:rsidP="009E7639">
                            <w:pPr>
                              <w:pStyle w:val="BulletLevel1"/>
                              <w:numPr>
                                <w:ilvl w:val="0"/>
                                <w:numId w:val="46"/>
                              </w:numPr>
                              <w:ind w:left="180" w:hanging="180"/>
                            </w:pPr>
                            <w:r w:rsidRPr="009C6295">
                              <w:rPr>
                                <w:b/>
                                <w:i/>
                                <w:sz w:val="20"/>
                                <w:szCs w:val="20"/>
                              </w:rPr>
                              <w:t>Comparison group EM&amp;V methods</w:t>
                            </w:r>
                            <w:r w:rsidRPr="009C6295">
                              <w:rPr>
                                <w:sz w:val="20"/>
                                <w:szCs w:val="20"/>
                              </w:rPr>
                              <w:t xml:space="preserve"> determine program savings based on the difference</w:t>
                            </w:r>
                            <w:r w:rsidRPr="00FD6B43">
                              <w:rPr>
                                <w:sz w:val="20"/>
                                <w:szCs w:val="20"/>
                              </w:rPr>
                              <w:t>s in electricity consumption</w:t>
                            </w:r>
                            <w:r w:rsidRPr="00B24B72">
                              <w:rPr>
                                <w:sz w:val="20"/>
                                <w:szCs w:val="20"/>
                              </w:rPr>
                              <w:t xml:space="preserve"> patterns between a </w:t>
                            </w:r>
                            <w:proofErr w:type="gramStart"/>
                            <w:r w:rsidRPr="00B24B72">
                              <w:rPr>
                                <w:sz w:val="20"/>
                                <w:szCs w:val="20"/>
                              </w:rPr>
                              <w:t>comparison</w:t>
                            </w:r>
                            <w:proofErr w:type="gramEnd"/>
                            <w:r w:rsidRPr="00B24B72">
                              <w:rPr>
                                <w:sz w:val="20"/>
                                <w:szCs w:val="20"/>
                              </w:rPr>
                              <w:t xml:space="preserve"> group the program participants. Comparison group approaches include randomized control trials (RCTs) and quasi-experimental methods using nonparticipants, and may involve simple differences or regression methods.</w:t>
                            </w:r>
                            <w:r w:rsidRPr="00B24B72">
                              <w:rPr>
                                <w:rStyle w:val="FootnoteReference"/>
                                <w:sz w:val="20"/>
                                <w:szCs w:val="20"/>
                              </w:rPr>
                              <w:t xml:space="preserve"> </w:t>
                            </w:r>
                            <w:r w:rsidRPr="00B24B72">
                              <w:rPr>
                                <w:sz w:val="20"/>
                                <w:szCs w:val="20"/>
                              </w:rPr>
                              <w:t>Because the effects of implemented measures is reflected in the observed participant-comparison differences, separate verification is not required.</w:t>
                            </w:r>
                            <w:r>
                              <w:rPr>
                                <w:sz w:val="20"/>
                                <w:szCs w:val="20"/>
                              </w:rPr>
                              <w:t xml:space="preserve"> </w:t>
                            </w:r>
                            <w:r w:rsidRPr="009C6295">
                              <w:rPr>
                                <w:sz w:val="20"/>
                                <w:szCs w:val="20"/>
                              </w:rPr>
                              <w:t>These methods are generally used to estimate program-level savings, not facility- or project-level savings</w:t>
                            </w:r>
                            <w:r w:rsidRPr="00B24B72">
                              <w:rPr>
                                <w:sz w:val="20"/>
                                <w:szCs w:val="20"/>
                              </w:rPr>
                              <w:t xml:space="preserve">, and are therefore considered an evaluation method, as well as a </w:t>
                            </w:r>
                            <w:r w:rsidR="006F4D93">
                              <w:rPr>
                                <w:sz w:val="20"/>
                                <w:szCs w:val="20"/>
                              </w:rPr>
                              <w:t>PB-MV</w:t>
                            </w:r>
                            <w:r w:rsidRPr="00B24B72">
                              <w:rPr>
                                <w:sz w:val="20"/>
                                <w:szCs w:val="20"/>
                              </w:rPr>
                              <w:t xml:space="preserve"> method.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38EDC" id="Text Box 17" o:spid="_x0000_s1029" type="#_x0000_t202" style="position:absolute;margin-left:207.25pt;margin-top:0;width:258.45pt;height:467.25pt;z-index:25166284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" fillcolor="#a7bfde [1620]" strokecolor="#4579b8 [3044]">
                <v:fill color2="#e4ecf5 [500]" rotate="t" angle="180" colors="0 #a3c4ff;22938f #bfd5ff;1 #e5eeff" focus="100%" type="gradient"/>
                <v:shadow on="t" color="black" opacity="24903f" origin=",.5" offset="0,.55556mm"/>
                <v:textbox>
                  <w:txbxContent>
                    <w:p w14:paraId="2783B881" w14:textId="6496A301" w:rsidR="00133485" w:rsidRDefault="00133485" w:rsidP="009E7639">
                      <w:pPr>
                        <w:spacing w:after="120"/>
                        <w:jc w:val="center"/>
                        <w:rPr>
                          <w:rFonts w:asciiTheme="majorHAnsi" w:hAnsiTheme="majorHAnsi"/>
                          <w:b/>
                          <w:sz w:val="20"/>
                          <w:szCs w:val="20"/>
                        </w:rPr>
                      </w:pPr>
                      <w:r>
                        <w:rPr>
                          <w:rFonts w:asciiTheme="majorHAnsi" w:hAnsiTheme="majorHAnsi"/>
                          <w:b/>
                          <w:sz w:val="20"/>
                          <w:szCs w:val="20"/>
                        </w:rPr>
                        <w:t>Key Terms</w:t>
                      </w:r>
                    </w:p>
                    <w:p w14:paraId="0349F672" w14:textId="77777777" w:rsidR="00133485" w:rsidRPr="009F2C48" w:rsidRDefault="00133485" w:rsidP="009E7639">
                      <w:pPr>
                        <w:spacing w:after="120"/>
                        <w:jc w:val="center"/>
                        <w:rPr>
                          <w:rFonts w:asciiTheme="majorHAnsi" w:hAnsiTheme="majorHAnsi"/>
                          <w:b/>
                          <w:sz w:val="20"/>
                          <w:szCs w:val="20"/>
                        </w:rPr>
                      </w:pPr>
                      <w:r>
                        <w:rPr>
                          <w:rFonts w:asciiTheme="majorHAnsi" w:hAnsiTheme="majorHAnsi"/>
                          <w:b/>
                          <w:sz w:val="20"/>
                          <w:szCs w:val="20"/>
                        </w:rPr>
                        <w:t>(</w:t>
                      </w:r>
                      <w:proofErr w:type="gramStart"/>
                      <w:r w:rsidRPr="00A94CDE">
                        <w:rPr>
                          <w:rFonts w:asciiTheme="majorHAnsi" w:hAnsiTheme="majorHAnsi"/>
                          <w:b/>
                          <w:i/>
                          <w:sz w:val="20"/>
                          <w:szCs w:val="20"/>
                        </w:rPr>
                        <w:t>continued</w:t>
                      </w:r>
                      <w:proofErr w:type="gramEnd"/>
                      <w:r>
                        <w:rPr>
                          <w:rFonts w:asciiTheme="majorHAnsi" w:hAnsiTheme="majorHAnsi"/>
                          <w:b/>
                          <w:sz w:val="20"/>
                          <w:szCs w:val="20"/>
                        </w:rPr>
                        <w:t xml:space="preserve">) </w:t>
                      </w:r>
                    </w:p>
                    <w:p w14:paraId="47803520" w14:textId="558996D6" w:rsidR="00133485" w:rsidRPr="00B85B2B" w:rsidRDefault="006F4D93" w:rsidP="009E7639">
                      <w:pPr>
                        <w:pStyle w:val="BulletLevel1"/>
                        <w:numPr>
                          <w:ilvl w:val="0"/>
                          <w:numId w:val="46"/>
                        </w:numPr>
                        <w:ind w:left="180" w:hanging="180"/>
                        <w:rPr>
                          <w:sz w:val="20"/>
                          <w:szCs w:val="20"/>
                        </w:rPr>
                      </w:pPr>
                      <w:r>
                        <w:rPr>
                          <w:b/>
                          <w:i/>
                          <w:sz w:val="20"/>
                          <w:szCs w:val="20"/>
                        </w:rPr>
                        <w:t>Project-based m</w:t>
                      </w:r>
                      <w:r w:rsidR="00133485" w:rsidRPr="00E72B7F">
                        <w:rPr>
                          <w:b/>
                          <w:i/>
                          <w:sz w:val="20"/>
                          <w:szCs w:val="20"/>
                        </w:rPr>
                        <w:t>easurement and verification</w:t>
                      </w:r>
                      <w:r w:rsidR="00133485" w:rsidRPr="00E72B7F">
                        <w:rPr>
                          <w:sz w:val="20"/>
                          <w:szCs w:val="20"/>
                        </w:rPr>
                        <w:t xml:space="preserve"> is the process of determining savings from an individual EE measure or project (versus an EE program). The IPMVP, described in Section</w:t>
                      </w:r>
                      <w:r w:rsidR="00133485" w:rsidRPr="00B85B2B">
                        <w:rPr>
                          <w:sz w:val="20"/>
                          <w:szCs w:val="20"/>
                        </w:rPr>
                        <w:t xml:space="preserve"> 3.12, defines </w:t>
                      </w:r>
                      <w:r w:rsidR="00133485" w:rsidRPr="00B85B2B">
                        <w:rPr>
                          <w:b/>
                          <w:sz w:val="20"/>
                          <w:szCs w:val="20"/>
                        </w:rPr>
                        <w:t>two retrofit isolation</w:t>
                      </w:r>
                      <w:r w:rsidR="00133485" w:rsidRPr="00B85B2B">
                        <w:rPr>
                          <w:sz w:val="20"/>
                          <w:szCs w:val="20"/>
                        </w:rPr>
                        <w:t xml:space="preserve"> and </w:t>
                      </w:r>
                      <w:r w:rsidR="00133485" w:rsidRPr="00B85B2B">
                        <w:rPr>
                          <w:b/>
                          <w:sz w:val="20"/>
                          <w:szCs w:val="20"/>
                        </w:rPr>
                        <w:t xml:space="preserve">two whole-facility </w:t>
                      </w:r>
                      <w:r w:rsidR="00606E90">
                        <w:rPr>
                          <w:b/>
                          <w:sz w:val="20"/>
                          <w:szCs w:val="20"/>
                        </w:rPr>
                        <w:t xml:space="preserve">PB-MV </w:t>
                      </w:r>
                      <w:r w:rsidR="00133485" w:rsidRPr="00B85B2B">
                        <w:rPr>
                          <w:b/>
                          <w:sz w:val="20"/>
                          <w:szCs w:val="20"/>
                        </w:rPr>
                        <w:t>options</w:t>
                      </w:r>
                      <w:r w:rsidR="00133485" w:rsidRPr="00B85B2B">
                        <w:rPr>
                          <w:sz w:val="20"/>
                          <w:szCs w:val="20"/>
                        </w:rPr>
                        <w:t xml:space="preserve"> used in the EE industry:</w:t>
                      </w:r>
                    </w:p>
                    <w:p w14:paraId="1C82F1EF" w14:textId="77777777" w:rsidR="00133485" w:rsidRPr="00AB6C96" w:rsidRDefault="00133485" w:rsidP="009E7639">
                      <w:pPr>
                        <w:pStyle w:val="BulletLevel2"/>
                        <w:spacing w:after="80"/>
                        <w:rPr>
                          <w:sz w:val="20"/>
                          <w:szCs w:val="20"/>
                        </w:rPr>
                      </w:pPr>
                      <w:r w:rsidRPr="00AB6C96">
                        <w:rPr>
                          <w:i/>
                          <w:sz w:val="20"/>
                          <w:szCs w:val="20"/>
                        </w:rPr>
                        <w:t>Retrofit isolation</w:t>
                      </w:r>
                      <w:r w:rsidRPr="00AB6C96">
                        <w:rPr>
                          <w:sz w:val="20"/>
                          <w:szCs w:val="20"/>
                        </w:rPr>
                        <w:t xml:space="preserve"> – assessing savings from each EE measure individually (IPMVP Options </w:t>
                      </w:r>
                      <w:proofErr w:type="gramStart"/>
                      <w:r w:rsidRPr="00AB6C96">
                        <w:rPr>
                          <w:sz w:val="20"/>
                          <w:szCs w:val="20"/>
                        </w:rPr>
                        <w:t>A</w:t>
                      </w:r>
                      <w:proofErr w:type="gramEnd"/>
                      <w:r w:rsidRPr="00AB6C96">
                        <w:rPr>
                          <w:sz w:val="20"/>
                          <w:szCs w:val="20"/>
                        </w:rPr>
                        <w:t xml:space="preserve"> &amp; B). </w:t>
                      </w:r>
                    </w:p>
                    <w:p w14:paraId="6688181E" w14:textId="77777777" w:rsidR="00133485" w:rsidRPr="00AB6C96" w:rsidRDefault="00133485" w:rsidP="009E7639">
                      <w:pPr>
                        <w:pStyle w:val="BulletLevel2"/>
                        <w:numPr>
                          <w:ilvl w:val="1"/>
                          <w:numId w:val="198"/>
                        </w:numPr>
                        <w:spacing w:after="80"/>
                        <w:rPr>
                          <w:sz w:val="20"/>
                          <w:szCs w:val="20"/>
                        </w:rPr>
                      </w:pPr>
                      <w:r w:rsidRPr="00AB6C96">
                        <w:rPr>
                          <w:i/>
                          <w:sz w:val="20"/>
                          <w:szCs w:val="20"/>
                        </w:rPr>
                        <w:t>Whole facility</w:t>
                      </w:r>
                      <w:r w:rsidRPr="00AB6C96">
                        <w:rPr>
                          <w:sz w:val="20"/>
                          <w:szCs w:val="20"/>
                        </w:rPr>
                        <w:t xml:space="preserve"> – analyzing savings from each EE measure in a project/facility collectively (IPMVP Option C, review of energy bills or Option D, calibrated simulation).</w:t>
                      </w:r>
                    </w:p>
                    <w:p w14:paraId="0E121CE1" w14:textId="77777777" w:rsidR="00133485" w:rsidRDefault="00133485" w:rsidP="009E7639">
                      <w:pPr>
                        <w:pStyle w:val="BulletLevel2"/>
                        <w:spacing w:after="80"/>
                      </w:pPr>
                      <w:r w:rsidRPr="00AB6C96">
                        <w:rPr>
                          <w:bCs/>
                          <w:sz w:val="20"/>
                          <w:szCs w:val="20"/>
                        </w:rPr>
                        <w:t>Some</w:t>
                      </w:r>
                      <w:r w:rsidRPr="00AB6C96">
                        <w:rPr>
                          <w:sz w:val="20"/>
                          <w:szCs w:val="20"/>
                        </w:rPr>
                        <w:t xml:space="preserve"> combination of the above.</w:t>
                      </w:r>
                      <w:r w:rsidRPr="0040273A">
                        <w:t xml:space="preserve"> </w:t>
                      </w:r>
                    </w:p>
                    <w:p w14:paraId="67EA9F61" w14:textId="77777777" w:rsidR="00133485" w:rsidRDefault="00133485" w:rsidP="009E7639">
                      <w:pPr>
                        <w:pStyle w:val="BulletLevel2"/>
                        <w:numPr>
                          <w:ilvl w:val="0"/>
                          <w:numId w:val="0"/>
                        </w:numPr>
                        <w:ind w:left="180"/>
                        <w:rPr>
                          <w:b/>
                          <w:i/>
                          <w:sz w:val="20"/>
                          <w:szCs w:val="20"/>
                        </w:rPr>
                      </w:pPr>
                      <w:r>
                        <w:rPr>
                          <w:sz w:val="20"/>
                          <w:szCs w:val="20"/>
                        </w:rPr>
                        <w:t>Because the measurement process ordinarily involves direct observation of installed equipment, or of its effects on whole-facility consumption, the process is referred to as measurement and verification, and a separate verification step is not needed for the EE measures subject to this process.</w:t>
                      </w:r>
                      <w:r w:rsidRPr="00ED0FC2">
                        <w:rPr>
                          <w:b/>
                          <w:i/>
                          <w:sz w:val="20"/>
                          <w:szCs w:val="20"/>
                        </w:rPr>
                        <w:t xml:space="preserve"> </w:t>
                      </w:r>
                    </w:p>
                    <w:p w14:paraId="2EF13C8F" w14:textId="79220358" w:rsidR="00133485" w:rsidRPr="00E72B7F" w:rsidRDefault="00133485" w:rsidP="009E7639">
                      <w:pPr>
                        <w:pStyle w:val="BulletLevel1"/>
                        <w:numPr>
                          <w:ilvl w:val="0"/>
                          <w:numId w:val="46"/>
                        </w:numPr>
                        <w:ind w:left="180" w:hanging="180"/>
                      </w:pPr>
                      <w:r w:rsidRPr="009C6295">
                        <w:rPr>
                          <w:b/>
                          <w:i/>
                          <w:sz w:val="20"/>
                          <w:szCs w:val="20"/>
                        </w:rPr>
                        <w:t>Comparison group EM&amp;V methods</w:t>
                      </w:r>
                      <w:r w:rsidRPr="009C6295">
                        <w:rPr>
                          <w:sz w:val="20"/>
                          <w:szCs w:val="20"/>
                        </w:rPr>
                        <w:t xml:space="preserve"> determine program savings based on the difference</w:t>
                      </w:r>
                      <w:r w:rsidRPr="00FD6B43">
                        <w:rPr>
                          <w:sz w:val="20"/>
                          <w:szCs w:val="20"/>
                        </w:rPr>
                        <w:t>s in electricity consumption</w:t>
                      </w:r>
                      <w:r w:rsidRPr="00B24B72">
                        <w:rPr>
                          <w:sz w:val="20"/>
                          <w:szCs w:val="20"/>
                        </w:rPr>
                        <w:t xml:space="preserve"> patterns between a </w:t>
                      </w:r>
                      <w:proofErr w:type="gramStart"/>
                      <w:r w:rsidRPr="00B24B72">
                        <w:rPr>
                          <w:sz w:val="20"/>
                          <w:szCs w:val="20"/>
                        </w:rPr>
                        <w:t>comparison</w:t>
                      </w:r>
                      <w:proofErr w:type="gramEnd"/>
                      <w:r w:rsidRPr="00B24B72">
                        <w:rPr>
                          <w:sz w:val="20"/>
                          <w:szCs w:val="20"/>
                        </w:rPr>
                        <w:t xml:space="preserve"> group the program participants. Comparison group approaches include randomized control trials (RCTs) and quasi-experimental methods using nonparticipants, and may involve simple differences or regression methods.</w:t>
                      </w:r>
                      <w:r w:rsidRPr="00B24B72">
                        <w:rPr>
                          <w:rStyle w:val="FootnoteReference"/>
                          <w:sz w:val="20"/>
                          <w:szCs w:val="20"/>
                        </w:rPr>
                        <w:t xml:space="preserve"> </w:t>
                      </w:r>
                      <w:r w:rsidRPr="00B24B72">
                        <w:rPr>
                          <w:sz w:val="20"/>
                          <w:szCs w:val="20"/>
                        </w:rPr>
                        <w:t>Because the effects of implemented measures is reflected in the observed participant-comparison differences, separate verification is not required.</w:t>
                      </w:r>
                      <w:r>
                        <w:rPr>
                          <w:sz w:val="20"/>
                          <w:szCs w:val="20"/>
                        </w:rPr>
                        <w:t xml:space="preserve"> </w:t>
                      </w:r>
                      <w:r w:rsidRPr="009C6295">
                        <w:rPr>
                          <w:sz w:val="20"/>
                          <w:szCs w:val="20"/>
                        </w:rPr>
                        <w:t>These methods are generally used to estimate program-level savings, not facility- or project-level savings</w:t>
                      </w:r>
                      <w:r w:rsidRPr="00B24B72">
                        <w:rPr>
                          <w:sz w:val="20"/>
                          <w:szCs w:val="20"/>
                        </w:rPr>
                        <w:t xml:space="preserve">, and are therefore considered an evaluation method, as well as a </w:t>
                      </w:r>
                      <w:r w:rsidR="006F4D93">
                        <w:rPr>
                          <w:sz w:val="20"/>
                          <w:szCs w:val="20"/>
                        </w:rPr>
                        <w:t>PB-MV</w:t>
                      </w:r>
                      <w:r w:rsidRPr="00B24B72">
                        <w:rPr>
                          <w:sz w:val="20"/>
                          <w:szCs w:val="20"/>
                        </w:rPr>
                        <w:t xml:space="preserve"> method.</w:t>
                      </w:r>
                    </w:p>
                  </w:txbxContent>
                </v:textbox>
                <w10:wrap type="square" side="left" anchorx="margin" anchory="margin"/>
              </v:shape>
            </w:pict>
          </mc:Fallback>
        </mc:AlternateContent>
      </w:r>
      <w:r w:rsidR="009C6295">
        <w:t>Related to comparison group methods</w:t>
      </w:r>
      <w:r w:rsidR="007A6DD8" w:rsidRPr="000B4C65">
        <w:t xml:space="preserve"> is the approach of using macroeconomic models, sometimes known as </w:t>
      </w:r>
      <w:r w:rsidR="007A6DD8">
        <w:t>“</w:t>
      </w:r>
      <w:r w:rsidR="007A6DD8" w:rsidRPr="000B4C65">
        <w:t>top-down</w:t>
      </w:r>
      <w:r w:rsidR="007A6DD8">
        <w:t>”</w:t>
      </w:r>
      <w:r w:rsidR="007A6DD8" w:rsidRPr="000B4C65">
        <w:t xml:space="preserve"> EM&amp;V.</w:t>
      </w:r>
      <w:r w:rsidR="007A6DD8">
        <w:t xml:space="preserve"> </w:t>
      </w:r>
      <w:r w:rsidR="007A6DD8" w:rsidRPr="000B4C65">
        <w:t>Top</w:t>
      </w:r>
      <w:r w:rsidR="007A6DD8">
        <w:t>-</w:t>
      </w:r>
      <w:r w:rsidR="007A6DD8" w:rsidRPr="000B4C65">
        <w:t xml:space="preserve">down EM&amp;V </w:t>
      </w:r>
      <w:r w:rsidR="007A6DD8">
        <w:t xml:space="preserve">methods to evaluate portfolios of EE programs </w:t>
      </w:r>
      <w:r w:rsidR="007A6DD8" w:rsidRPr="000B4C65">
        <w:t>involves using (</w:t>
      </w:r>
      <w:r w:rsidR="007A6DD8">
        <w:t>1</w:t>
      </w:r>
      <w:r w:rsidR="007A6DD8" w:rsidRPr="000B4C65">
        <w:t>) aggregate (e.g., utility service area, county, census block</w:t>
      </w:r>
      <w:r w:rsidR="007A6DD8">
        <w:t>, etc.</w:t>
      </w:r>
      <w:r w:rsidR="007A6DD8" w:rsidRPr="000B4C65">
        <w:t>) energy use or per-unit energy consumption indices (e.g., energy consumption per-unit of output or per capita) and (</w:t>
      </w:r>
      <w:r w:rsidR="007A6DD8">
        <w:t>2</w:t>
      </w:r>
      <w:r w:rsidR="007A6DD8" w:rsidRPr="000B4C65">
        <w:t xml:space="preserve">) energy-use driver data (e.g., income, prices, population) to determine savings from portfolios of programs. </w:t>
      </w:r>
      <w:r w:rsidR="00162A7B">
        <w:t xml:space="preserve">Some states have adopted this </w:t>
      </w:r>
      <w:r w:rsidR="007A6DD8" w:rsidRPr="000B4C65">
        <w:t xml:space="preserve">approach </w:t>
      </w:r>
      <w:r w:rsidR="00162A7B">
        <w:t>as a complement to the above-listed methods in order to confirm aggregate savings results</w:t>
      </w:r>
      <w:r w:rsidR="005F648D">
        <w:t xml:space="preserve"> obtained using other approaches. It could also be a useful approach for mass-based plans to ensure the overall effectiveness of EE efforts. </w:t>
      </w:r>
    </w:p>
    <w:p w14:paraId="1107B03A" w14:textId="77777777" w:rsidR="007A6DD8" w:rsidRPr="00190CFB" w:rsidRDefault="007A6DD8" w:rsidP="007A6DD8">
      <w:pPr>
        <w:pStyle w:val="Heading3"/>
        <w:numPr>
          <w:ilvl w:val="2"/>
          <w:numId w:val="69"/>
        </w:numPr>
        <w:ind w:left="0"/>
      </w:pPr>
      <w:bookmarkStart w:id="47" w:name="_Toc426044627"/>
      <w:r w:rsidRPr="00190CFB">
        <w:t>Applicable Guidance</w:t>
      </w:r>
      <w:bookmarkEnd w:id="47"/>
    </w:p>
    <w:p w14:paraId="7C114102" w14:textId="014D43FB" w:rsidR="00B33F3F" w:rsidRDefault="007A6DD8" w:rsidP="00C07F8F">
      <w:pPr>
        <w:pStyle w:val="BulletLevel1"/>
        <w:numPr>
          <w:ilvl w:val="0"/>
          <w:numId w:val="212"/>
        </w:numPr>
      </w:pPr>
      <w:r w:rsidRPr="00190CFB">
        <w:t>Determine</w:t>
      </w:r>
      <w:r>
        <w:t xml:space="preserve"> which of the above allowable </w:t>
      </w:r>
      <w:r w:rsidR="00C07F8F">
        <w:t xml:space="preserve">EM&amp;V </w:t>
      </w:r>
      <w:r>
        <w:t>methods</w:t>
      </w:r>
      <w:r w:rsidR="001A5A18">
        <w:t xml:space="preserve"> </w:t>
      </w:r>
      <w:r>
        <w:t>to apply</w:t>
      </w:r>
      <w:r w:rsidR="00C07F8F">
        <w:t xml:space="preserve"> for quantifying savings for each program or type of project.</w:t>
      </w:r>
      <w:r w:rsidR="001A5A18">
        <w:t xml:space="preserve"> </w:t>
      </w:r>
      <w:r w:rsidR="00C07F8F">
        <w:t>Refer to Appendix C</w:t>
      </w:r>
      <w:r w:rsidR="00A739A0">
        <w:t xml:space="preserve"> f</w:t>
      </w:r>
      <w:r w:rsidR="00C07F8F">
        <w:t>or examples of how different methods can apply to different types of EE.</w:t>
      </w:r>
      <w:r w:rsidR="001A5A18">
        <w:t xml:space="preserve"> </w:t>
      </w:r>
      <w:r w:rsidR="00C07F8F">
        <w:t>In general, less expensive methods (such as deemed savings) are acceptable for EE components that contribute relatively little savings, or where there is little uncertainty as to average unit savings.</w:t>
      </w:r>
      <w:r w:rsidR="001A5A18">
        <w:t xml:space="preserve"> </w:t>
      </w:r>
      <w:r w:rsidR="00C07F8F">
        <w:t>More rigorous methods are recommended for larger, more variable, and more complex components of savings,</w:t>
      </w:r>
      <w:r w:rsidR="00AC2481">
        <w:t xml:space="preserve"> </w:t>
      </w:r>
    </w:p>
    <w:p w14:paraId="3CF7EDD3" w14:textId="77777777" w:rsidR="007A6DD8" w:rsidRDefault="00B33F3F" w:rsidP="00703A52">
      <w:pPr>
        <w:pStyle w:val="BulletLevel2"/>
      </w:pPr>
      <w:r>
        <w:t xml:space="preserve">Provide a rationale in EM&amp;V plans for this determination, and describe how it is consistent with industry best practice. </w:t>
      </w:r>
    </w:p>
    <w:p w14:paraId="0E6B9A7C" w14:textId="77777777" w:rsidR="00F74D27" w:rsidRDefault="00F74D27" w:rsidP="00703A52">
      <w:pPr>
        <w:pStyle w:val="BulletLevel2"/>
      </w:pPr>
      <w:r>
        <w:t xml:space="preserve">When determining </w:t>
      </w:r>
      <w:r w:rsidR="00FD6B43">
        <w:t xml:space="preserve">the frequency of conducting </w:t>
      </w:r>
      <w:r>
        <w:t xml:space="preserve">EM&amp;V </w:t>
      </w:r>
      <w:r w:rsidR="00FD6B43">
        <w:t xml:space="preserve">for </w:t>
      </w:r>
      <w:r>
        <w:t xml:space="preserve">consumer-funded EE programs </w:t>
      </w:r>
      <w:r w:rsidR="00FD6B43">
        <w:t>(</w:t>
      </w:r>
      <w:r>
        <w:t>every one, two, or three years per the proposed model-rule regulations), consider the following:</w:t>
      </w:r>
      <w:r w:rsidRPr="00642BF9">
        <w:t xml:space="preserve"> </w:t>
      </w:r>
      <w:r>
        <w:t xml:space="preserve">the complexity of the program or project, the </w:t>
      </w:r>
      <w:r w:rsidRPr="00642BF9">
        <w:t>variability of the savings</w:t>
      </w:r>
      <w:r>
        <w:t>,</w:t>
      </w:r>
      <w:r w:rsidRPr="00642BF9">
        <w:t xml:space="preserve"> the EM&amp;V method </w:t>
      </w:r>
      <w:r>
        <w:t>being applied,</w:t>
      </w:r>
      <w:r w:rsidRPr="00642BF9">
        <w:t xml:space="preserve"> and the relative scale and magnitude of savings.</w:t>
      </w:r>
    </w:p>
    <w:p w14:paraId="511250ED" w14:textId="5A38249D" w:rsidR="007A6DD8" w:rsidRDefault="007A6DD8" w:rsidP="00977456">
      <w:pPr>
        <w:pStyle w:val="BulletLevel1"/>
      </w:pPr>
      <w:r>
        <w:t>For</w:t>
      </w:r>
      <w:r w:rsidR="00977456">
        <w:t xml:space="preserve"> comparison group</w:t>
      </w:r>
      <w:r>
        <w:t xml:space="preserve"> </w:t>
      </w:r>
      <w:r w:rsidRPr="009D76DC">
        <w:t>approaches</w:t>
      </w:r>
      <w:r>
        <w:t xml:space="preserve">, apply best-practice </w:t>
      </w:r>
      <w:r w:rsidRPr="009D76DC">
        <w:t>protocols</w:t>
      </w:r>
      <w:r>
        <w:t xml:space="preserve"> and </w:t>
      </w:r>
      <w:r w:rsidRPr="009D76DC">
        <w:t>guidelines</w:t>
      </w:r>
      <w:r>
        <w:t xml:space="preserve"> such as those </w:t>
      </w:r>
      <w:r w:rsidRPr="009D76DC">
        <w:t xml:space="preserve">published by the </w:t>
      </w:r>
      <w:r w:rsidRPr="00AB6C96">
        <w:t xml:space="preserve">SEE Action Network </w:t>
      </w:r>
      <w:r w:rsidRPr="009D76DC">
        <w:t xml:space="preserve">and the </w:t>
      </w:r>
      <w:r w:rsidRPr="001A7E81">
        <w:t>U.S. DOE’s Uniform Methods Project</w:t>
      </w:r>
      <w:r w:rsidRPr="009D76DC">
        <w:t>.</w:t>
      </w:r>
    </w:p>
    <w:p w14:paraId="46B771AF" w14:textId="34A89542" w:rsidR="00611C4D" w:rsidRDefault="00977456" w:rsidP="00703A52">
      <w:pPr>
        <w:pStyle w:val="BulletLevel1"/>
      </w:pPr>
      <w:r>
        <w:lastRenderedPageBreak/>
        <w:t>For deemed savings approaches, f</w:t>
      </w:r>
      <w:r w:rsidR="00C95CD7">
        <w:t xml:space="preserve">ollow </w:t>
      </w:r>
      <w:r w:rsidR="007A6DD8">
        <w:t xml:space="preserve">the guidance provided in Section </w:t>
      </w:r>
      <w:r w:rsidR="00C95CD7">
        <w:t>2</w:t>
      </w:r>
      <w:r w:rsidR="007A6DD8">
        <w:t xml:space="preserve">.4 on </w:t>
      </w:r>
      <w:r w:rsidR="007A6DD8" w:rsidRPr="00CB6FBA">
        <w:rPr>
          <w:i/>
        </w:rPr>
        <w:t>Deemed Savings</w:t>
      </w:r>
      <w:r w:rsidR="007A6DD8">
        <w:t xml:space="preserve">, which provides </w:t>
      </w:r>
      <w:r w:rsidR="00075C89">
        <w:t>terms</w:t>
      </w:r>
      <w:r w:rsidR="007A6DD8">
        <w:t>, suggested approaches, and technical assumptions</w:t>
      </w:r>
      <w:r w:rsidR="00B33F3F">
        <w:t xml:space="preserve"> to ensure that appropriate safeguards for the use of </w:t>
      </w:r>
      <w:r w:rsidR="00B33F3F" w:rsidRPr="002603D6">
        <w:rPr>
          <w:b/>
        </w:rPr>
        <w:t>deemed savings</w:t>
      </w:r>
      <w:r w:rsidR="00B33F3F">
        <w:t xml:space="preserve"> are </w:t>
      </w:r>
      <w:r w:rsidR="00611C4D">
        <w:t>implemented</w:t>
      </w:r>
      <w:r w:rsidR="00C07F8F">
        <w:t>.</w:t>
      </w:r>
      <w:r w:rsidR="00C07F8F" w:rsidDel="00C07F8F">
        <w:t xml:space="preserve"> </w:t>
      </w:r>
      <w:r w:rsidR="00611C4D">
        <w:t xml:space="preserve">When applying </w:t>
      </w:r>
      <w:r w:rsidR="00894C60" w:rsidRPr="00894C60">
        <w:rPr>
          <w:b/>
        </w:rPr>
        <w:t>PB-MV</w:t>
      </w:r>
      <w:r w:rsidR="00611C4D">
        <w:t xml:space="preserve"> methods, use one or more best-practice protocols and guidelines.</w:t>
      </w:r>
      <w:r w:rsidR="001A5A18">
        <w:t xml:space="preserve"> </w:t>
      </w:r>
      <w:r w:rsidR="00611C4D">
        <w:t>Examples include:</w:t>
      </w:r>
    </w:p>
    <w:p w14:paraId="06911B66" w14:textId="77777777" w:rsidR="00611C4D" w:rsidRDefault="00611C4D" w:rsidP="00611C4D">
      <w:pPr>
        <w:pStyle w:val="BulletLevel2"/>
      </w:pPr>
      <w:r w:rsidRPr="009D76DC">
        <w:t xml:space="preserve">International Performance Measurement and Verification Protocol </w:t>
      </w:r>
      <w:r>
        <w:t>(</w:t>
      </w:r>
      <w:r w:rsidRPr="009D76DC">
        <w:t>IPMVP</w:t>
      </w:r>
      <w:r>
        <w:t xml:space="preserve">, </w:t>
      </w:r>
      <w:r w:rsidRPr="00120F72">
        <w:t>an international M&amp;V guidance document</w:t>
      </w:r>
      <w:r>
        <w:t>),</w:t>
      </w:r>
      <w:r w:rsidRPr="009D76DC">
        <w:rPr>
          <w:rStyle w:val="FootnoteReference"/>
          <w:rFonts w:asciiTheme="majorHAnsi" w:hAnsiTheme="majorHAnsi" w:cstheme="majorHAnsi"/>
          <w:szCs w:val="22"/>
        </w:rPr>
        <w:footnoteReference w:id="16"/>
      </w:r>
      <w:r w:rsidRPr="009D76DC">
        <w:t xml:space="preserve"> </w:t>
      </w:r>
    </w:p>
    <w:p w14:paraId="07D4BCD9" w14:textId="77777777" w:rsidR="00611C4D" w:rsidRDefault="00611C4D" w:rsidP="00611C4D">
      <w:pPr>
        <w:pStyle w:val="BulletLevel2"/>
      </w:pPr>
      <w:r w:rsidRPr="009D76DC">
        <w:t>Federal Energy Management Program</w:t>
      </w:r>
      <w:r>
        <w:t xml:space="preserve"> (FEMP) protocols and guidelines,</w:t>
      </w:r>
      <w:r>
        <w:rPr>
          <w:rStyle w:val="FootnoteReference"/>
        </w:rPr>
        <w:footnoteReference w:id="17"/>
      </w:r>
    </w:p>
    <w:p w14:paraId="075D8B6E" w14:textId="77777777" w:rsidR="00611C4D" w:rsidRDefault="00611C4D" w:rsidP="00611C4D">
      <w:pPr>
        <w:pStyle w:val="BulletLevel2"/>
      </w:pPr>
      <w:r w:rsidRPr="009D76DC">
        <w:t>American Society of Heating, Refrigeration</w:t>
      </w:r>
      <w:r>
        <w:t>,</w:t>
      </w:r>
      <w:r w:rsidRPr="009D76DC">
        <w:t xml:space="preserve"> and Air-Conditioning Engineers</w:t>
      </w:r>
      <w:r>
        <w:t xml:space="preserve"> (ASHRAE) protocols and guidelines</w:t>
      </w:r>
      <w:r>
        <w:rPr>
          <w:rStyle w:val="FootnoteReference"/>
        </w:rPr>
        <w:footnoteReference w:id="18"/>
      </w:r>
      <w:r w:rsidRPr="009D76DC">
        <w:t xml:space="preserve">, and </w:t>
      </w:r>
    </w:p>
    <w:p w14:paraId="2ABAB016" w14:textId="77777777" w:rsidR="00611C4D" w:rsidRPr="009D76DC" w:rsidRDefault="00611C4D" w:rsidP="00611C4D">
      <w:pPr>
        <w:pStyle w:val="BulletLevel2"/>
      </w:pPr>
      <w:r>
        <w:t>U.S. DOE, The Uniform Methods Project (UMP): Methods for Determining Energy Efficiency</w:t>
      </w:r>
      <w:r>
        <w:rPr>
          <w:rStyle w:val="FootnoteReference"/>
        </w:rPr>
        <w:footnoteReference w:id="19"/>
      </w:r>
      <w:r>
        <w:t xml:space="preserve"> </w:t>
      </w:r>
    </w:p>
    <w:p w14:paraId="57020D83" w14:textId="77777777" w:rsidR="007A6DD8" w:rsidRDefault="007A6DD8" w:rsidP="007A6DD8">
      <w:pPr>
        <w:pStyle w:val="BulletLevel1"/>
      </w:pPr>
      <w:r>
        <w:t xml:space="preserve">Apply the </w:t>
      </w:r>
      <w:r w:rsidR="00C95CD7">
        <w:t xml:space="preserve">guidance in Section 2.12 below on </w:t>
      </w:r>
      <w:r w:rsidRPr="0040273A">
        <w:rPr>
          <w:i/>
        </w:rPr>
        <w:t>Use of EE EM&amp;V Protocols and Guidelines</w:t>
      </w:r>
      <w:r>
        <w:t xml:space="preserve">, which </w:t>
      </w:r>
      <w:r w:rsidR="00611C4D">
        <w:t xml:space="preserve">provides </w:t>
      </w:r>
      <w:r>
        <w:t xml:space="preserve">guidance on </w:t>
      </w:r>
      <w:r w:rsidR="00611C4D">
        <w:t xml:space="preserve">determining what best-practice </w:t>
      </w:r>
      <w:r w:rsidRPr="009D76DC">
        <w:t>protocols</w:t>
      </w:r>
      <w:r>
        <w:t xml:space="preserve"> and </w:t>
      </w:r>
      <w:r w:rsidRPr="009D76DC">
        <w:t>guidelines</w:t>
      </w:r>
      <w:r w:rsidR="00611C4D">
        <w:t xml:space="preserve"> should be applied</w:t>
      </w:r>
      <w:r>
        <w:t>.</w:t>
      </w:r>
    </w:p>
    <w:p w14:paraId="04CD4C69" w14:textId="77777777" w:rsidR="007A6DD8" w:rsidRDefault="007A6DD8" w:rsidP="007A6DD8">
      <w:pPr>
        <w:pStyle w:val="BulletLevel1"/>
        <w:numPr>
          <w:ilvl w:val="0"/>
          <w:numId w:val="212"/>
        </w:numPr>
      </w:pPr>
      <w:r>
        <w:t xml:space="preserve">Refer to </w:t>
      </w:r>
      <w:r w:rsidRPr="00EA6D34">
        <w:t xml:space="preserve">Appendix C </w:t>
      </w:r>
      <w:r>
        <w:t xml:space="preserve">of this document </w:t>
      </w:r>
      <w:r w:rsidR="00B33F3F">
        <w:t xml:space="preserve">for illustrative </w:t>
      </w:r>
      <w:r>
        <w:t>example</w:t>
      </w:r>
      <w:r w:rsidR="00B33F3F">
        <w:t>s</w:t>
      </w:r>
      <w:r>
        <w:t xml:space="preserve"> of how these methods can be applied in practice. </w:t>
      </w:r>
    </w:p>
    <w:p w14:paraId="52F9083F" w14:textId="4BAFDAFF" w:rsidR="00FC5CE3" w:rsidRDefault="00A739A0" w:rsidP="000F54FA">
      <w:pPr>
        <w:pStyle w:val="BulletLevel1"/>
        <w:numPr>
          <w:ilvl w:val="0"/>
          <w:numId w:val="212"/>
        </w:numPr>
        <w:spacing w:after="240"/>
      </w:pPr>
      <w:r>
        <w:t>Refer to</w:t>
      </w:r>
      <w:r w:rsidRPr="00A739A0">
        <w:t xml:space="preserve"> </w:t>
      </w:r>
      <w:r>
        <w:t>Table 2-1 to determine which m</w:t>
      </w:r>
      <w:r w:rsidR="00FC5CE3">
        <w:t xml:space="preserve">ethods </w:t>
      </w:r>
      <w:r w:rsidR="005D5FF9">
        <w:t xml:space="preserve">are </w:t>
      </w:r>
      <w:r w:rsidR="00FC5CE3">
        <w:t xml:space="preserve">appropriate for </w:t>
      </w:r>
      <w:r>
        <w:t xml:space="preserve">use with </w:t>
      </w:r>
      <w:r w:rsidR="00FC5CE3">
        <w:t xml:space="preserve">broad categories of </w:t>
      </w:r>
      <w:r w:rsidR="005D5FF9">
        <w:t xml:space="preserve">EE </w:t>
      </w:r>
      <w:r w:rsidR="00FC5CE3">
        <w:t>activities.</w:t>
      </w:r>
    </w:p>
    <w:p w14:paraId="36BE4A41" w14:textId="6B380AA8" w:rsidR="00FC5CE3" w:rsidRDefault="00FC5CE3" w:rsidP="00FC5CE3">
      <w:pPr>
        <w:pStyle w:val="Caption"/>
      </w:pPr>
      <w:r>
        <w:t xml:space="preserve">Table </w:t>
      </w:r>
      <w:r w:rsidR="003D6E4F">
        <w:fldChar w:fldCharType="begin"/>
      </w:r>
      <w:r w:rsidR="003D6E4F">
        <w:instrText xml:space="preserve"> STYLEREF 1 \s </w:instrText>
      </w:r>
      <w:r w:rsidR="003D6E4F">
        <w:fldChar w:fldCharType="separate"/>
      </w:r>
      <w:r>
        <w:rPr>
          <w:noProof/>
        </w:rPr>
        <w:t>2</w:t>
      </w:r>
      <w:r w:rsidR="003D6E4F">
        <w:rPr>
          <w:noProof/>
        </w:rPr>
        <w:fldChar w:fldCharType="end"/>
      </w:r>
      <w:r>
        <w:noBreakHyphen/>
      </w:r>
      <w:r w:rsidR="003D6E4F">
        <w:fldChar w:fldCharType="begin"/>
      </w:r>
      <w:r w:rsidR="003D6E4F">
        <w:instrText xml:space="preserve"> SEQ Table \* ARABIC \s 1 </w:instrText>
      </w:r>
      <w:r w:rsidR="003D6E4F">
        <w:fldChar w:fldCharType="separate"/>
      </w:r>
      <w:r>
        <w:rPr>
          <w:noProof/>
        </w:rPr>
        <w:t>1</w:t>
      </w:r>
      <w:r w:rsidR="003D6E4F">
        <w:rPr>
          <w:noProof/>
        </w:rPr>
        <w:fldChar w:fldCharType="end"/>
      </w:r>
      <w:r>
        <w:t xml:space="preserve">. </w:t>
      </w:r>
      <w:r w:rsidR="00654063">
        <w:t xml:space="preserve">EM&amp;V </w:t>
      </w:r>
      <w:r>
        <w:t xml:space="preserve">Methods Applicable to Broad Categories of </w:t>
      </w:r>
      <w:r w:rsidR="00A94CDE">
        <w:t xml:space="preserve">EE </w:t>
      </w:r>
      <w:r>
        <w:t>Activities</w:t>
      </w:r>
    </w:p>
    <w:tbl>
      <w:tblPr>
        <w:tblW w:w="9360" w:type="dxa"/>
        <w:tblInd w:w="118" w:type="dxa"/>
        <w:tblCellMar>
          <w:top w:w="58" w:type="dxa"/>
          <w:left w:w="58" w:type="dxa"/>
          <w:bottom w:w="58" w:type="dxa"/>
          <w:right w:w="58" w:type="dxa"/>
        </w:tblCellMar>
        <w:tblLook w:val="04A0" w:firstRow="1" w:lastRow="0" w:firstColumn="1" w:lastColumn="0" w:noHBand="0" w:noVBand="1"/>
      </w:tblPr>
      <w:tblGrid>
        <w:gridCol w:w="2803"/>
        <w:gridCol w:w="2185"/>
        <w:gridCol w:w="2186"/>
        <w:gridCol w:w="2186"/>
      </w:tblGrid>
      <w:tr w:rsidR="007B6320" w:rsidRPr="00FC5CE3" w14:paraId="3A915390" w14:textId="77777777" w:rsidTr="000F54FA">
        <w:tc>
          <w:tcPr>
            <w:tcW w:w="3360" w:type="dxa"/>
            <w:tcBorders>
              <w:top w:val="single" w:sz="8" w:space="0" w:color="auto"/>
              <w:left w:val="single" w:sz="8" w:space="0" w:color="auto"/>
              <w:bottom w:val="single" w:sz="8" w:space="0" w:color="auto"/>
              <w:right w:val="single" w:sz="8" w:space="0" w:color="auto"/>
            </w:tcBorders>
            <w:shd w:val="clear" w:color="auto" w:fill="5D97FF"/>
            <w:vAlign w:val="center"/>
            <w:hideMark/>
          </w:tcPr>
          <w:p w14:paraId="3D3372A2" w14:textId="156553E5" w:rsidR="00FC5CE3" w:rsidRPr="00FC5CE3" w:rsidRDefault="00A94CDE" w:rsidP="002F4225">
            <w:pPr>
              <w:jc w:val="center"/>
              <w:rPr>
                <w:rFonts w:eastAsia="Times New Roman"/>
                <w:b/>
                <w:bCs/>
                <w:color w:val="F2F2F2"/>
                <w:szCs w:val="22"/>
              </w:rPr>
            </w:pPr>
            <w:r>
              <w:rPr>
                <w:rFonts w:eastAsia="Times New Roman"/>
                <w:b/>
                <w:bCs/>
                <w:color w:val="F2F2F2"/>
                <w:szCs w:val="22"/>
              </w:rPr>
              <w:t xml:space="preserve">EE </w:t>
            </w:r>
            <w:r w:rsidR="00FC5CE3" w:rsidRPr="00FC5CE3">
              <w:rPr>
                <w:rFonts w:eastAsia="Times New Roman"/>
                <w:b/>
                <w:bCs/>
                <w:color w:val="F2F2F2"/>
                <w:szCs w:val="22"/>
              </w:rPr>
              <w:t>Conditions</w:t>
            </w:r>
          </w:p>
        </w:tc>
        <w:tc>
          <w:tcPr>
            <w:tcW w:w="2506" w:type="dxa"/>
            <w:tcBorders>
              <w:top w:val="single" w:sz="8" w:space="0" w:color="auto"/>
              <w:left w:val="nil"/>
              <w:bottom w:val="single" w:sz="8" w:space="0" w:color="auto"/>
              <w:right w:val="single" w:sz="8" w:space="0" w:color="auto"/>
            </w:tcBorders>
            <w:shd w:val="clear" w:color="auto" w:fill="5D97FF"/>
            <w:vAlign w:val="center"/>
            <w:hideMark/>
          </w:tcPr>
          <w:p w14:paraId="79C19494" w14:textId="77777777" w:rsidR="00FC5CE3" w:rsidRPr="00FC5CE3" w:rsidRDefault="00FC5CE3" w:rsidP="00FC5CE3">
            <w:pPr>
              <w:jc w:val="center"/>
              <w:rPr>
                <w:rFonts w:eastAsia="Times New Roman"/>
                <w:b/>
                <w:bCs/>
                <w:color w:val="F2F2F2"/>
                <w:szCs w:val="22"/>
              </w:rPr>
            </w:pPr>
            <w:r w:rsidRPr="00FC5CE3">
              <w:rPr>
                <w:rFonts w:eastAsia="Times New Roman"/>
                <w:b/>
                <w:bCs/>
                <w:color w:val="F2F2F2"/>
                <w:szCs w:val="22"/>
              </w:rPr>
              <w:t>Comparison Group</w:t>
            </w:r>
          </w:p>
        </w:tc>
        <w:tc>
          <w:tcPr>
            <w:tcW w:w="2507" w:type="dxa"/>
            <w:tcBorders>
              <w:top w:val="single" w:sz="8" w:space="0" w:color="auto"/>
              <w:left w:val="nil"/>
              <w:bottom w:val="single" w:sz="8" w:space="0" w:color="auto"/>
              <w:right w:val="single" w:sz="8" w:space="0" w:color="auto"/>
            </w:tcBorders>
            <w:shd w:val="clear" w:color="auto" w:fill="5D97FF"/>
            <w:vAlign w:val="center"/>
            <w:hideMark/>
          </w:tcPr>
          <w:p w14:paraId="126DE8E8" w14:textId="0B0A64C2" w:rsidR="00FC5CE3" w:rsidRPr="00FC5CE3" w:rsidRDefault="006F4D93" w:rsidP="006F4D93">
            <w:pPr>
              <w:jc w:val="center"/>
              <w:rPr>
                <w:rFonts w:eastAsia="Times New Roman"/>
                <w:b/>
                <w:bCs/>
                <w:color w:val="F2F2F2"/>
                <w:szCs w:val="22"/>
              </w:rPr>
            </w:pPr>
            <w:r>
              <w:rPr>
                <w:rFonts w:eastAsia="Times New Roman"/>
                <w:b/>
                <w:bCs/>
                <w:color w:val="F2F2F2"/>
                <w:szCs w:val="22"/>
              </w:rPr>
              <w:t>PB-MV</w:t>
            </w:r>
          </w:p>
        </w:tc>
        <w:tc>
          <w:tcPr>
            <w:tcW w:w="2507" w:type="dxa"/>
            <w:tcBorders>
              <w:top w:val="single" w:sz="8" w:space="0" w:color="auto"/>
              <w:left w:val="nil"/>
              <w:bottom w:val="single" w:sz="8" w:space="0" w:color="auto"/>
              <w:right w:val="single" w:sz="8" w:space="0" w:color="auto"/>
            </w:tcBorders>
            <w:shd w:val="clear" w:color="auto" w:fill="5D97FF"/>
            <w:vAlign w:val="center"/>
            <w:hideMark/>
          </w:tcPr>
          <w:p w14:paraId="1D8CB891" w14:textId="77777777" w:rsidR="00FC5CE3" w:rsidRPr="00FC5CE3" w:rsidRDefault="00FC5CE3" w:rsidP="00FC5CE3">
            <w:pPr>
              <w:jc w:val="center"/>
              <w:rPr>
                <w:rFonts w:eastAsia="Times New Roman"/>
                <w:b/>
                <w:bCs/>
                <w:color w:val="F2F2F2"/>
                <w:szCs w:val="22"/>
              </w:rPr>
            </w:pPr>
            <w:r w:rsidRPr="00FC5CE3">
              <w:rPr>
                <w:rFonts w:eastAsia="Times New Roman"/>
                <w:b/>
                <w:bCs/>
                <w:color w:val="F2F2F2"/>
                <w:szCs w:val="22"/>
              </w:rPr>
              <w:t>Deemed</w:t>
            </w:r>
          </w:p>
        </w:tc>
      </w:tr>
      <w:tr w:rsidR="007B6320" w:rsidRPr="00FC5CE3" w14:paraId="7A615382" w14:textId="77777777" w:rsidTr="000F54FA">
        <w:tc>
          <w:tcPr>
            <w:tcW w:w="3360" w:type="dxa"/>
            <w:tcBorders>
              <w:top w:val="nil"/>
              <w:left w:val="single" w:sz="8" w:space="0" w:color="auto"/>
              <w:bottom w:val="single" w:sz="8" w:space="0" w:color="auto"/>
              <w:right w:val="single" w:sz="8" w:space="0" w:color="auto"/>
            </w:tcBorders>
            <w:shd w:val="clear" w:color="auto" w:fill="5D97FF"/>
            <w:hideMark/>
          </w:tcPr>
          <w:p w14:paraId="743FA0B0" w14:textId="4C95A131" w:rsidR="00FC5CE3" w:rsidRPr="000F54FA" w:rsidRDefault="00894C60" w:rsidP="007B6320">
            <w:pPr>
              <w:rPr>
                <w:rFonts w:eastAsia="Times New Roman"/>
                <w:color w:val="F2F2F2"/>
                <w:sz w:val="20"/>
                <w:szCs w:val="20"/>
              </w:rPr>
            </w:pPr>
            <w:r>
              <w:rPr>
                <w:rFonts w:eastAsia="Times New Roman"/>
                <w:color w:val="F2F2F2"/>
                <w:sz w:val="20"/>
                <w:szCs w:val="20"/>
              </w:rPr>
              <w:t>Individual p</w:t>
            </w:r>
            <w:r w:rsidR="00FC5CE3" w:rsidRPr="000F54FA">
              <w:rPr>
                <w:rFonts w:eastAsia="Times New Roman"/>
                <w:color w:val="F2F2F2"/>
                <w:sz w:val="20"/>
                <w:szCs w:val="20"/>
              </w:rPr>
              <w:t xml:space="preserve">roject </w:t>
            </w:r>
          </w:p>
        </w:tc>
        <w:tc>
          <w:tcPr>
            <w:tcW w:w="2506" w:type="dxa"/>
            <w:tcBorders>
              <w:top w:val="nil"/>
              <w:left w:val="nil"/>
              <w:bottom w:val="single" w:sz="8" w:space="0" w:color="auto"/>
              <w:right w:val="single" w:sz="8" w:space="0" w:color="auto"/>
            </w:tcBorders>
            <w:shd w:val="clear" w:color="auto" w:fill="D9D9D9" w:themeFill="background1" w:themeFillShade="D9"/>
            <w:hideMark/>
          </w:tcPr>
          <w:p w14:paraId="480476EC" w14:textId="77777777" w:rsidR="00FC5CE3" w:rsidRPr="000F54FA" w:rsidRDefault="00FC5CE3" w:rsidP="007B6320">
            <w:pPr>
              <w:rPr>
                <w:sz w:val="20"/>
                <w:szCs w:val="20"/>
              </w:rPr>
            </w:pPr>
            <w:r w:rsidRPr="000F54FA">
              <w:rPr>
                <w:sz w:val="20"/>
                <w:szCs w:val="20"/>
              </w:rPr>
              <w:t>Method not applicable</w:t>
            </w:r>
          </w:p>
        </w:tc>
        <w:tc>
          <w:tcPr>
            <w:tcW w:w="2507" w:type="dxa"/>
            <w:tcBorders>
              <w:top w:val="nil"/>
              <w:left w:val="nil"/>
              <w:bottom w:val="single" w:sz="8" w:space="0" w:color="auto"/>
              <w:right w:val="single" w:sz="8" w:space="0" w:color="auto"/>
            </w:tcBorders>
            <w:shd w:val="clear" w:color="auto" w:fill="E1ECFF"/>
            <w:hideMark/>
          </w:tcPr>
          <w:p w14:paraId="6E5326A8" w14:textId="77777777" w:rsidR="00FC5CE3" w:rsidRPr="000F54FA" w:rsidRDefault="00FC5CE3" w:rsidP="007B6320">
            <w:pPr>
              <w:rPr>
                <w:sz w:val="20"/>
                <w:szCs w:val="20"/>
              </w:rPr>
            </w:pPr>
            <w:r w:rsidRPr="000F54FA">
              <w:rPr>
                <w:sz w:val="20"/>
                <w:szCs w:val="20"/>
              </w:rPr>
              <w:t>OK</w:t>
            </w:r>
          </w:p>
        </w:tc>
        <w:tc>
          <w:tcPr>
            <w:tcW w:w="2507" w:type="dxa"/>
            <w:tcBorders>
              <w:top w:val="nil"/>
              <w:left w:val="nil"/>
              <w:bottom w:val="single" w:sz="8" w:space="0" w:color="auto"/>
              <w:right w:val="single" w:sz="8" w:space="0" w:color="auto"/>
            </w:tcBorders>
            <w:shd w:val="clear" w:color="auto" w:fill="E1ECFF"/>
            <w:hideMark/>
          </w:tcPr>
          <w:p w14:paraId="06FEDC97" w14:textId="77777777" w:rsidR="00FC5CE3" w:rsidRPr="000F54FA" w:rsidRDefault="00FC5CE3" w:rsidP="007B6320">
            <w:pPr>
              <w:rPr>
                <w:sz w:val="20"/>
                <w:szCs w:val="20"/>
              </w:rPr>
            </w:pPr>
            <w:r w:rsidRPr="000F54FA">
              <w:rPr>
                <w:sz w:val="20"/>
                <w:szCs w:val="20"/>
              </w:rPr>
              <w:t>OK</w:t>
            </w:r>
          </w:p>
        </w:tc>
      </w:tr>
      <w:tr w:rsidR="007B6320" w:rsidRPr="00FC5CE3" w14:paraId="53B6F073" w14:textId="77777777" w:rsidTr="000F54FA">
        <w:tc>
          <w:tcPr>
            <w:tcW w:w="3360" w:type="dxa"/>
            <w:tcBorders>
              <w:top w:val="nil"/>
              <w:left w:val="single" w:sz="8" w:space="0" w:color="auto"/>
              <w:bottom w:val="single" w:sz="8" w:space="0" w:color="auto"/>
              <w:right w:val="single" w:sz="8" w:space="0" w:color="auto"/>
            </w:tcBorders>
            <w:shd w:val="clear" w:color="auto" w:fill="5D97FF"/>
            <w:hideMark/>
          </w:tcPr>
          <w:p w14:paraId="02CDAD73" w14:textId="77777777" w:rsidR="00FC5CE3" w:rsidRPr="000F54FA" w:rsidRDefault="00FC5CE3" w:rsidP="007B6320">
            <w:pPr>
              <w:rPr>
                <w:sz w:val="20"/>
                <w:szCs w:val="20"/>
              </w:rPr>
            </w:pPr>
            <w:r w:rsidRPr="000F54FA">
              <w:rPr>
                <w:rFonts w:eastAsia="Times New Roman"/>
                <w:color w:val="F2F2F2"/>
                <w:sz w:val="20"/>
                <w:szCs w:val="20"/>
              </w:rPr>
              <w:t>Large</w:t>
            </w:r>
            <w:r w:rsidR="007B6320" w:rsidRPr="000F54FA">
              <w:rPr>
                <w:rFonts w:eastAsia="Times New Roman"/>
                <w:color w:val="F2F2F2"/>
                <w:sz w:val="20"/>
                <w:szCs w:val="20"/>
              </w:rPr>
              <w:t xml:space="preserve"> n</w:t>
            </w:r>
            <w:r w:rsidRPr="000F54FA">
              <w:rPr>
                <w:rFonts w:eastAsia="Times New Roman"/>
                <w:color w:val="F2F2F2"/>
                <w:sz w:val="20"/>
                <w:szCs w:val="20"/>
              </w:rPr>
              <w:t>umbers of relatively homogeneous participants (e</w:t>
            </w:r>
            <w:r w:rsidR="007B6320" w:rsidRPr="000F54FA">
              <w:rPr>
                <w:rFonts w:eastAsia="Times New Roman"/>
                <w:color w:val="F2F2F2"/>
                <w:sz w:val="20"/>
                <w:szCs w:val="20"/>
              </w:rPr>
              <w:t>.</w:t>
            </w:r>
            <w:r w:rsidRPr="000F54FA">
              <w:rPr>
                <w:rFonts w:eastAsia="Times New Roman"/>
                <w:color w:val="F2F2F2"/>
                <w:sz w:val="20"/>
                <w:szCs w:val="20"/>
              </w:rPr>
              <w:t xml:space="preserve">g., residential, </w:t>
            </w:r>
            <w:r w:rsidR="007B6320" w:rsidRPr="000F54FA">
              <w:rPr>
                <w:rFonts w:eastAsia="Times New Roman"/>
                <w:color w:val="F2F2F2"/>
                <w:sz w:val="20"/>
                <w:szCs w:val="20"/>
              </w:rPr>
              <w:t>small commercial)</w:t>
            </w:r>
          </w:p>
        </w:tc>
        <w:tc>
          <w:tcPr>
            <w:tcW w:w="2506" w:type="dxa"/>
            <w:tcBorders>
              <w:top w:val="nil"/>
              <w:left w:val="nil"/>
              <w:bottom w:val="single" w:sz="8" w:space="0" w:color="auto"/>
              <w:right w:val="single" w:sz="8" w:space="0" w:color="auto"/>
            </w:tcBorders>
            <w:shd w:val="clear" w:color="auto" w:fill="A7C6FF"/>
            <w:hideMark/>
          </w:tcPr>
          <w:p w14:paraId="2783B4C6" w14:textId="77777777" w:rsidR="00FC5CE3" w:rsidRPr="000F54FA" w:rsidRDefault="00FC5CE3" w:rsidP="007B6320">
            <w:pPr>
              <w:rPr>
                <w:sz w:val="20"/>
                <w:szCs w:val="20"/>
                <w:rtl/>
              </w:rPr>
            </w:pPr>
            <w:r w:rsidRPr="000F54FA">
              <w:rPr>
                <w:sz w:val="20"/>
                <w:szCs w:val="20"/>
              </w:rPr>
              <w:t>Method requires this condition</w:t>
            </w:r>
          </w:p>
        </w:tc>
        <w:tc>
          <w:tcPr>
            <w:tcW w:w="2507" w:type="dxa"/>
            <w:tcBorders>
              <w:top w:val="nil"/>
              <w:left w:val="nil"/>
              <w:bottom w:val="single" w:sz="8" w:space="0" w:color="auto"/>
              <w:right w:val="single" w:sz="8" w:space="0" w:color="auto"/>
            </w:tcBorders>
            <w:shd w:val="clear" w:color="auto" w:fill="E1ECFF"/>
            <w:hideMark/>
          </w:tcPr>
          <w:p w14:paraId="02BAD8EB" w14:textId="77777777" w:rsidR="00FC5CE3" w:rsidRPr="000F54FA" w:rsidRDefault="00FC5CE3" w:rsidP="007B6320">
            <w:pPr>
              <w:rPr>
                <w:sz w:val="20"/>
                <w:szCs w:val="20"/>
              </w:rPr>
            </w:pPr>
            <w:r w:rsidRPr="000F54FA">
              <w:rPr>
                <w:sz w:val="20"/>
                <w:szCs w:val="20"/>
              </w:rPr>
              <w:t>OK</w:t>
            </w:r>
          </w:p>
        </w:tc>
        <w:tc>
          <w:tcPr>
            <w:tcW w:w="2507" w:type="dxa"/>
            <w:tcBorders>
              <w:top w:val="nil"/>
              <w:left w:val="nil"/>
              <w:bottom w:val="single" w:sz="8" w:space="0" w:color="auto"/>
              <w:right w:val="single" w:sz="8" w:space="0" w:color="auto"/>
            </w:tcBorders>
            <w:shd w:val="clear" w:color="auto" w:fill="E1ECFF"/>
            <w:hideMark/>
          </w:tcPr>
          <w:p w14:paraId="55205057" w14:textId="77777777" w:rsidR="00FC5CE3" w:rsidRPr="000F54FA" w:rsidRDefault="00FC5CE3" w:rsidP="007B6320">
            <w:pPr>
              <w:rPr>
                <w:sz w:val="20"/>
                <w:szCs w:val="20"/>
              </w:rPr>
            </w:pPr>
            <w:r w:rsidRPr="000F54FA">
              <w:rPr>
                <w:sz w:val="20"/>
                <w:szCs w:val="20"/>
              </w:rPr>
              <w:t>OK</w:t>
            </w:r>
          </w:p>
        </w:tc>
      </w:tr>
      <w:tr w:rsidR="007B6320" w:rsidRPr="00FC5CE3" w14:paraId="44E6DF91" w14:textId="77777777" w:rsidTr="000F54FA">
        <w:tc>
          <w:tcPr>
            <w:tcW w:w="3360" w:type="dxa"/>
            <w:tcBorders>
              <w:top w:val="nil"/>
              <w:left w:val="single" w:sz="8" w:space="0" w:color="auto"/>
              <w:bottom w:val="single" w:sz="8" w:space="0" w:color="auto"/>
              <w:right w:val="single" w:sz="8" w:space="0" w:color="auto"/>
            </w:tcBorders>
            <w:shd w:val="clear" w:color="auto" w:fill="5D97FF"/>
            <w:hideMark/>
          </w:tcPr>
          <w:p w14:paraId="2C334A43" w14:textId="77777777" w:rsidR="00FC5CE3" w:rsidRPr="000F54FA" w:rsidRDefault="00FC5CE3" w:rsidP="007B6320">
            <w:pPr>
              <w:ind w:right="17"/>
              <w:rPr>
                <w:rFonts w:eastAsia="Times New Roman"/>
                <w:color w:val="F2F2F2"/>
                <w:sz w:val="20"/>
                <w:szCs w:val="20"/>
              </w:rPr>
            </w:pPr>
            <w:r w:rsidRPr="000F54FA">
              <w:rPr>
                <w:rFonts w:eastAsia="Times New Roman"/>
                <w:color w:val="F2F2F2"/>
                <w:sz w:val="20"/>
                <w:szCs w:val="20"/>
              </w:rPr>
              <w:t>Well-defined, simple, consistent EE measures and conditions</w:t>
            </w:r>
          </w:p>
        </w:tc>
        <w:tc>
          <w:tcPr>
            <w:tcW w:w="2506" w:type="dxa"/>
            <w:tcBorders>
              <w:top w:val="nil"/>
              <w:left w:val="nil"/>
              <w:bottom w:val="single" w:sz="8" w:space="0" w:color="auto"/>
              <w:right w:val="single" w:sz="8" w:space="0" w:color="auto"/>
            </w:tcBorders>
            <w:shd w:val="clear" w:color="auto" w:fill="E1ECFF"/>
            <w:hideMark/>
          </w:tcPr>
          <w:p w14:paraId="46B4C80D" w14:textId="77777777" w:rsidR="00FC5CE3" w:rsidRPr="000F54FA" w:rsidRDefault="00FC5CE3" w:rsidP="007B6320">
            <w:pPr>
              <w:rPr>
                <w:sz w:val="20"/>
                <w:szCs w:val="20"/>
              </w:rPr>
            </w:pPr>
            <w:r w:rsidRPr="000F54FA">
              <w:rPr>
                <w:sz w:val="20"/>
                <w:szCs w:val="20"/>
              </w:rPr>
              <w:t>OK</w:t>
            </w:r>
          </w:p>
        </w:tc>
        <w:tc>
          <w:tcPr>
            <w:tcW w:w="2507" w:type="dxa"/>
            <w:tcBorders>
              <w:top w:val="nil"/>
              <w:left w:val="nil"/>
              <w:bottom w:val="single" w:sz="8" w:space="0" w:color="auto"/>
              <w:right w:val="single" w:sz="8" w:space="0" w:color="auto"/>
            </w:tcBorders>
            <w:shd w:val="clear" w:color="auto" w:fill="E1ECFF"/>
            <w:hideMark/>
          </w:tcPr>
          <w:p w14:paraId="206B8127" w14:textId="77777777" w:rsidR="00FC5CE3" w:rsidRPr="000F54FA" w:rsidRDefault="00FC5CE3" w:rsidP="007B6320">
            <w:pPr>
              <w:rPr>
                <w:sz w:val="20"/>
                <w:szCs w:val="20"/>
              </w:rPr>
            </w:pPr>
            <w:r w:rsidRPr="000F54FA">
              <w:rPr>
                <w:sz w:val="20"/>
                <w:szCs w:val="20"/>
              </w:rPr>
              <w:t>OK</w:t>
            </w:r>
          </w:p>
        </w:tc>
        <w:tc>
          <w:tcPr>
            <w:tcW w:w="2507" w:type="dxa"/>
            <w:tcBorders>
              <w:top w:val="nil"/>
              <w:left w:val="nil"/>
              <w:bottom w:val="single" w:sz="8" w:space="0" w:color="auto"/>
              <w:right w:val="single" w:sz="8" w:space="0" w:color="auto"/>
            </w:tcBorders>
            <w:shd w:val="clear" w:color="auto" w:fill="A7C6FF"/>
            <w:hideMark/>
          </w:tcPr>
          <w:p w14:paraId="57467442" w14:textId="77777777" w:rsidR="00FC5CE3" w:rsidRPr="000F54FA" w:rsidRDefault="00FC5CE3" w:rsidP="007B6320">
            <w:pPr>
              <w:rPr>
                <w:sz w:val="20"/>
                <w:szCs w:val="20"/>
              </w:rPr>
            </w:pPr>
            <w:r w:rsidRPr="000F54FA">
              <w:rPr>
                <w:sz w:val="20"/>
                <w:szCs w:val="20"/>
              </w:rPr>
              <w:t>Method requires this condition</w:t>
            </w:r>
          </w:p>
        </w:tc>
      </w:tr>
      <w:tr w:rsidR="007B6320" w:rsidRPr="00FC5CE3" w14:paraId="4602A84D" w14:textId="77777777" w:rsidTr="000F54FA">
        <w:tc>
          <w:tcPr>
            <w:tcW w:w="3360" w:type="dxa"/>
            <w:tcBorders>
              <w:top w:val="nil"/>
              <w:left w:val="single" w:sz="8" w:space="0" w:color="auto"/>
              <w:bottom w:val="single" w:sz="8" w:space="0" w:color="auto"/>
              <w:right w:val="single" w:sz="8" w:space="0" w:color="auto"/>
            </w:tcBorders>
            <w:shd w:val="clear" w:color="auto" w:fill="5D97FF"/>
            <w:hideMark/>
          </w:tcPr>
          <w:p w14:paraId="681BA47A" w14:textId="77777777" w:rsidR="00FC5CE3" w:rsidRPr="000F54FA" w:rsidRDefault="00FC5CE3" w:rsidP="007B6320">
            <w:pPr>
              <w:ind w:right="17"/>
              <w:rPr>
                <w:rFonts w:eastAsia="Times New Roman"/>
                <w:color w:val="F2F2F2"/>
                <w:sz w:val="20"/>
                <w:szCs w:val="20"/>
              </w:rPr>
            </w:pPr>
            <w:r w:rsidRPr="000F54FA">
              <w:rPr>
                <w:rFonts w:eastAsia="Times New Roman"/>
                <w:color w:val="F2F2F2"/>
                <w:sz w:val="20"/>
                <w:szCs w:val="20"/>
              </w:rPr>
              <w:t>Large savings per participant, or very large number of participants</w:t>
            </w:r>
          </w:p>
        </w:tc>
        <w:tc>
          <w:tcPr>
            <w:tcW w:w="2506" w:type="dxa"/>
            <w:tcBorders>
              <w:top w:val="nil"/>
              <w:left w:val="nil"/>
              <w:bottom w:val="single" w:sz="8" w:space="0" w:color="auto"/>
              <w:right w:val="single" w:sz="8" w:space="0" w:color="auto"/>
            </w:tcBorders>
            <w:shd w:val="clear" w:color="auto" w:fill="A7C6FF"/>
            <w:hideMark/>
          </w:tcPr>
          <w:p w14:paraId="0781BE41" w14:textId="77777777" w:rsidR="00FC5CE3" w:rsidRPr="000F54FA" w:rsidRDefault="00FC5CE3" w:rsidP="007B6320">
            <w:pPr>
              <w:rPr>
                <w:sz w:val="20"/>
                <w:szCs w:val="20"/>
              </w:rPr>
            </w:pPr>
            <w:r w:rsidRPr="000F54FA">
              <w:rPr>
                <w:sz w:val="20"/>
                <w:szCs w:val="20"/>
              </w:rPr>
              <w:t>Method requires this condition</w:t>
            </w:r>
          </w:p>
        </w:tc>
        <w:tc>
          <w:tcPr>
            <w:tcW w:w="2507" w:type="dxa"/>
            <w:tcBorders>
              <w:top w:val="nil"/>
              <w:left w:val="nil"/>
              <w:bottom w:val="single" w:sz="8" w:space="0" w:color="auto"/>
              <w:right w:val="single" w:sz="8" w:space="0" w:color="auto"/>
            </w:tcBorders>
            <w:shd w:val="clear" w:color="auto" w:fill="E1ECFF"/>
            <w:hideMark/>
          </w:tcPr>
          <w:p w14:paraId="176C869A" w14:textId="77777777" w:rsidR="00FC5CE3" w:rsidRPr="000F54FA" w:rsidRDefault="00FC5CE3" w:rsidP="007B6320">
            <w:pPr>
              <w:rPr>
                <w:sz w:val="20"/>
                <w:szCs w:val="20"/>
              </w:rPr>
            </w:pPr>
            <w:r w:rsidRPr="000F54FA">
              <w:rPr>
                <w:sz w:val="20"/>
                <w:szCs w:val="20"/>
              </w:rPr>
              <w:t>OK</w:t>
            </w:r>
          </w:p>
        </w:tc>
        <w:tc>
          <w:tcPr>
            <w:tcW w:w="2507" w:type="dxa"/>
            <w:tcBorders>
              <w:top w:val="nil"/>
              <w:left w:val="nil"/>
              <w:bottom w:val="single" w:sz="8" w:space="0" w:color="auto"/>
              <w:right w:val="single" w:sz="8" w:space="0" w:color="auto"/>
            </w:tcBorders>
            <w:shd w:val="clear" w:color="auto" w:fill="E1ECFF"/>
            <w:hideMark/>
          </w:tcPr>
          <w:p w14:paraId="39748442" w14:textId="77777777" w:rsidR="00FC5CE3" w:rsidRPr="000F54FA" w:rsidRDefault="00FC5CE3" w:rsidP="007B6320">
            <w:pPr>
              <w:rPr>
                <w:sz w:val="20"/>
                <w:szCs w:val="20"/>
              </w:rPr>
            </w:pPr>
            <w:r w:rsidRPr="000F54FA">
              <w:rPr>
                <w:sz w:val="20"/>
                <w:szCs w:val="20"/>
              </w:rPr>
              <w:t>OK</w:t>
            </w:r>
          </w:p>
        </w:tc>
      </w:tr>
      <w:tr w:rsidR="007B6320" w:rsidRPr="00FC5CE3" w14:paraId="074FB229" w14:textId="77777777" w:rsidTr="000F54FA">
        <w:tc>
          <w:tcPr>
            <w:tcW w:w="3360" w:type="dxa"/>
            <w:tcBorders>
              <w:top w:val="nil"/>
              <w:left w:val="single" w:sz="8" w:space="0" w:color="auto"/>
              <w:bottom w:val="single" w:sz="8" w:space="0" w:color="auto"/>
              <w:right w:val="single" w:sz="8" w:space="0" w:color="auto"/>
            </w:tcBorders>
            <w:shd w:val="clear" w:color="auto" w:fill="5D97FF"/>
            <w:hideMark/>
          </w:tcPr>
          <w:p w14:paraId="6EFF6105" w14:textId="77777777" w:rsidR="00FC5CE3" w:rsidRPr="000F54FA" w:rsidRDefault="00FC5CE3" w:rsidP="007B6320">
            <w:pPr>
              <w:ind w:right="17"/>
              <w:rPr>
                <w:rFonts w:eastAsia="Times New Roman"/>
                <w:color w:val="F2F2F2"/>
                <w:sz w:val="20"/>
                <w:szCs w:val="20"/>
              </w:rPr>
            </w:pPr>
            <w:r w:rsidRPr="000F54FA">
              <w:rPr>
                <w:rFonts w:eastAsia="Times New Roman"/>
                <w:color w:val="F2F2F2"/>
                <w:sz w:val="20"/>
                <w:szCs w:val="20"/>
              </w:rPr>
              <w:t>Inconsistent measures and conditions across units</w:t>
            </w:r>
          </w:p>
        </w:tc>
        <w:tc>
          <w:tcPr>
            <w:tcW w:w="2506" w:type="dxa"/>
            <w:tcBorders>
              <w:top w:val="nil"/>
              <w:left w:val="nil"/>
              <w:bottom w:val="single" w:sz="8" w:space="0" w:color="auto"/>
              <w:right w:val="single" w:sz="8" w:space="0" w:color="auto"/>
            </w:tcBorders>
            <w:shd w:val="clear" w:color="auto" w:fill="E1ECFF"/>
            <w:hideMark/>
          </w:tcPr>
          <w:p w14:paraId="5639EEDB" w14:textId="77777777" w:rsidR="00FC5CE3" w:rsidRPr="000F54FA" w:rsidRDefault="00FC5CE3" w:rsidP="007B6320">
            <w:pPr>
              <w:rPr>
                <w:sz w:val="20"/>
                <w:szCs w:val="20"/>
              </w:rPr>
            </w:pPr>
            <w:r w:rsidRPr="000F54FA">
              <w:rPr>
                <w:sz w:val="20"/>
                <w:szCs w:val="20"/>
              </w:rPr>
              <w:t>OK</w:t>
            </w:r>
          </w:p>
        </w:tc>
        <w:tc>
          <w:tcPr>
            <w:tcW w:w="2507" w:type="dxa"/>
            <w:tcBorders>
              <w:top w:val="nil"/>
              <w:left w:val="nil"/>
              <w:bottom w:val="single" w:sz="8" w:space="0" w:color="auto"/>
              <w:right w:val="single" w:sz="8" w:space="0" w:color="auto"/>
            </w:tcBorders>
            <w:shd w:val="clear" w:color="auto" w:fill="E1ECFF"/>
            <w:hideMark/>
          </w:tcPr>
          <w:p w14:paraId="078D3316" w14:textId="77777777" w:rsidR="00FC5CE3" w:rsidRPr="000F54FA" w:rsidRDefault="00FC5CE3" w:rsidP="007B6320">
            <w:pPr>
              <w:rPr>
                <w:sz w:val="20"/>
                <w:szCs w:val="20"/>
              </w:rPr>
            </w:pPr>
            <w:r w:rsidRPr="000F54FA">
              <w:rPr>
                <w:sz w:val="20"/>
                <w:szCs w:val="20"/>
              </w:rPr>
              <w:t>OK</w:t>
            </w:r>
          </w:p>
        </w:tc>
        <w:tc>
          <w:tcPr>
            <w:tcW w:w="2507" w:type="dxa"/>
            <w:tcBorders>
              <w:top w:val="nil"/>
              <w:left w:val="nil"/>
              <w:bottom w:val="single" w:sz="8" w:space="0" w:color="auto"/>
              <w:right w:val="single" w:sz="8" w:space="0" w:color="auto"/>
            </w:tcBorders>
            <w:shd w:val="clear" w:color="auto" w:fill="D9D9D9" w:themeFill="background1" w:themeFillShade="D9"/>
            <w:hideMark/>
          </w:tcPr>
          <w:p w14:paraId="4EED7934" w14:textId="77777777" w:rsidR="00FC5CE3" w:rsidRPr="000F54FA" w:rsidRDefault="00FC5CE3" w:rsidP="007B6320">
            <w:pPr>
              <w:rPr>
                <w:sz w:val="20"/>
                <w:szCs w:val="20"/>
              </w:rPr>
            </w:pPr>
            <w:r w:rsidRPr="000F54FA">
              <w:rPr>
                <w:sz w:val="20"/>
                <w:szCs w:val="20"/>
              </w:rPr>
              <w:t>Method not applicable</w:t>
            </w:r>
          </w:p>
        </w:tc>
      </w:tr>
      <w:tr w:rsidR="007B6320" w:rsidRPr="00FC5CE3" w14:paraId="4145CEA0" w14:textId="77777777" w:rsidTr="000F54FA">
        <w:tc>
          <w:tcPr>
            <w:tcW w:w="3360" w:type="dxa"/>
            <w:tcBorders>
              <w:top w:val="nil"/>
              <w:left w:val="single" w:sz="8" w:space="0" w:color="auto"/>
              <w:bottom w:val="single" w:sz="8" w:space="0" w:color="auto"/>
              <w:right w:val="single" w:sz="8" w:space="0" w:color="auto"/>
            </w:tcBorders>
            <w:shd w:val="clear" w:color="auto" w:fill="5D97FF"/>
            <w:hideMark/>
          </w:tcPr>
          <w:p w14:paraId="17728273" w14:textId="77777777" w:rsidR="00FC5CE3" w:rsidRPr="000F54FA" w:rsidRDefault="00FC5CE3" w:rsidP="007B6320">
            <w:pPr>
              <w:ind w:right="17"/>
              <w:rPr>
                <w:rFonts w:eastAsia="Times New Roman"/>
                <w:color w:val="F2F2F2"/>
                <w:sz w:val="20"/>
                <w:szCs w:val="20"/>
              </w:rPr>
            </w:pPr>
            <w:r w:rsidRPr="000F54FA">
              <w:rPr>
                <w:rFonts w:eastAsia="Times New Roman"/>
                <w:color w:val="F2F2F2"/>
                <w:sz w:val="20"/>
                <w:szCs w:val="20"/>
              </w:rPr>
              <w:t>Complex, unique measures</w:t>
            </w:r>
          </w:p>
        </w:tc>
        <w:tc>
          <w:tcPr>
            <w:tcW w:w="2506" w:type="dxa"/>
            <w:tcBorders>
              <w:top w:val="nil"/>
              <w:left w:val="nil"/>
              <w:bottom w:val="single" w:sz="8" w:space="0" w:color="auto"/>
              <w:right w:val="single" w:sz="8" w:space="0" w:color="auto"/>
            </w:tcBorders>
            <w:shd w:val="clear" w:color="auto" w:fill="D9D9D9" w:themeFill="background1" w:themeFillShade="D9"/>
            <w:hideMark/>
          </w:tcPr>
          <w:p w14:paraId="1F03280E" w14:textId="77777777" w:rsidR="00FC5CE3" w:rsidRPr="000F54FA" w:rsidRDefault="00FC5CE3" w:rsidP="007B6320">
            <w:pPr>
              <w:rPr>
                <w:sz w:val="20"/>
                <w:szCs w:val="20"/>
              </w:rPr>
            </w:pPr>
            <w:r w:rsidRPr="000F54FA">
              <w:rPr>
                <w:sz w:val="20"/>
                <w:szCs w:val="20"/>
              </w:rPr>
              <w:t>Method not applicable</w:t>
            </w:r>
          </w:p>
        </w:tc>
        <w:tc>
          <w:tcPr>
            <w:tcW w:w="2507" w:type="dxa"/>
            <w:tcBorders>
              <w:top w:val="nil"/>
              <w:left w:val="nil"/>
              <w:bottom w:val="single" w:sz="8" w:space="0" w:color="auto"/>
              <w:right w:val="single" w:sz="8" w:space="0" w:color="auto"/>
            </w:tcBorders>
            <w:shd w:val="clear" w:color="auto" w:fill="A7C6FF"/>
            <w:hideMark/>
          </w:tcPr>
          <w:p w14:paraId="5724765A" w14:textId="77777777" w:rsidR="00FC5CE3" w:rsidRPr="000F54FA" w:rsidRDefault="00FC5CE3" w:rsidP="007B6320">
            <w:pPr>
              <w:rPr>
                <w:sz w:val="20"/>
                <w:szCs w:val="20"/>
              </w:rPr>
            </w:pPr>
            <w:r w:rsidRPr="000F54FA">
              <w:rPr>
                <w:sz w:val="20"/>
                <w:szCs w:val="20"/>
              </w:rPr>
              <w:t>Method is required for this condition</w:t>
            </w:r>
          </w:p>
        </w:tc>
        <w:tc>
          <w:tcPr>
            <w:tcW w:w="2507" w:type="dxa"/>
            <w:tcBorders>
              <w:top w:val="nil"/>
              <w:left w:val="nil"/>
              <w:bottom w:val="single" w:sz="8" w:space="0" w:color="auto"/>
              <w:right w:val="single" w:sz="8" w:space="0" w:color="auto"/>
            </w:tcBorders>
            <w:shd w:val="clear" w:color="auto" w:fill="D9D9D9" w:themeFill="background1" w:themeFillShade="D9"/>
            <w:hideMark/>
          </w:tcPr>
          <w:p w14:paraId="2CDD4FA9" w14:textId="77777777" w:rsidR="00FC5CE3" w:rsidRPr="000F54FA" w:rsidRDefault="00FC5CE3" w:rsidP="007B6320">
            <w:pPr>
              <w:rPr>
                <w:sz w:val="20"/>
                <w:szCs w:val="20"/>
              </w:rPr>
            </w:pPr>
            <w:r w:rsidRPr="000F54FA">
              <w:rPr>
                <w:sz w:val="20"/>
                <w:szCs w:val="20"/>
              </w:rPr>
              <w:t>Method not applicable</w:t>
            </w:r>
          </w:p>
        </w:tc>
      </w:tr>
      <w:tr w:rsidR="007B6320" w:rsidRPr="00FC5CE3" w14:paraId="4AA1318A" w14:textId="77777777" w:rsidTr="000F54FA">
        <w:tc>
          <w:tcPr>
            <w:tcW w:w="3360" w:type="dxa"/>
            <w:tcBorders>
              <w:top w:val="nil"/>
              <w:left w:val="single" w:sz="8" w:space="0" w:color="auto"/>
              <w:bottom w:val="single" w:sz="8" w:space="0" w:color="auto"/>
              <w:right w:val="single" w:sz="8" w:space="0" w:color="auto"/>
            </w:tcBorders>
            <w:shd w:val="clear" w:color="auto" w:fill="5D97FF"/>
            <w:hideMark/>
          </w:tcPr>
          <w:p w14:paraId="2E14ADDD" w14:textId="77777777" w:rsidR="00FC5CE3" w:rsidRPr="000F54FA" w:rsidRDefault="00FC5CE3" w:rsidP="007B6320">
            <w:pPr>
              <w:ind w:right="17"/>
              <w:rPr>
                <w:rFonts w:eastAsia="Times New Roman"/>
                <w:color w:val="F2F2F2"/>
                <w:sz w:val="20"/>
                <w:szCs w:val="20"/>
              </w:rPr>
            </w:pPr>
            <w:r w:rsidRPr="000F54FA">
              <w:rPr>
                <w:rFonts w:eastAsia="Times New Roman"/>
                <w:color w:val="F2F2F2"/>
                <w:sz w:val="20"/>
                <w:szCs w:val="20"/>
              </w:rPr>
              <w:t>Valid comparison group can be defined</w:t>
            </w:r>
          </w:p>
        </w:tc>
        <w:tc>
          <w:tcPr>
            <w:tcW w:w="2506" w:type="dxa"/>
            <w:tcBorders>
              <w:top w:val="nil"/>
              <w:left w:val="nil"/>
              <w:bottom w:val="single" w:sz="8" w:space="0" w:color="auto"/>
              <w:right w:val="single" w:sz="8" w:space="0" w:color="auto"/>
            </w:tcBorders>
            <w:shd w:val="clear" w:color="auto" w:fill="A7C6FF"/>
            <w:hideMark/>
          </w:tcPr>
          <w:p w14:paraId="6A5EB3AD" w14:textId="77777777" w:rsidR="00FC5CE3" w:rsidRPr="000F54FA" w:rsidRDefault="00FC5CE3" w:rsidP="007B6320">
            <w:pPr>
              <w:rPr>
                <w:sz w:val="20"/>
                <w:szCs w:val="20"/>
              </w:rPr>
            </w:pPr>
            <w:r w:rsidRPr="000F54FA">
              <w:rPr>
                <w:sz w:val="20"/>
                <w:szCs w:val="20"/>
              </w:rPr>
              <w:t>Method requires this condition</w:t>
            </w:r>
          </w:p>
        </w:tc>
        <w:tc>
          <w:tcPr>
            <w:tcW w:w="2507" w:type="dxa"/>
            <w:tcBorders>
              <w:top w:val="nil"/>
              <w:left w:val="nil"/>
              <w:bottom w:val="single" w:sz="8" w:space="0" w:color="auto"/>
              <w:right w:val="single" w:sz="8" w:space="0" w:color="auto"/>
            </w:tcBorders>
            <w:shd w:val="clear" w:color="auto" w:fill="E1ECFF"/>
            <w:hideMark/>
          </w:tcPr>
          <w:p w14:paraId="4E1FDD1F" w14:textId="77777777" w:rsidR="00FC5CE3" w:rsidRPr="000F54FA" w:rsidRDefault="00FC5CE3" w:rsidP="007B6320">
            <w:pPr>
              <w:rPr>
                <w:sz w:val="20"/>
                <w:szCs w:val="20"/>
              </w:rPr>
            </w:pPr>
            <w:r w:rsidRPr="000F54FA">
              <w:rPr>
                <w:sz w:val="20"/>
                <w:szCs w:val="20"/>
              </w:rPr>
              <w:t>OK</w:t>
            </w:r>
          </w:p>
        </w:tc>
        <w:tc>
          <w:tcPr>
            <w:tcW w:w="2507" w:type="dxa"/>
            <w:tcBorders>
              <w:top w:val="nil"/>
              <w:left w:val="nil"/>
              <w:bottom w:val="single" w:sz="8" w:space="0" w:color="auto"/>
              <w:right w:val="single" w:sz="8" w:space="0" w:color="auto"/>
            </w:tcBorders>
            <w:shd w:val="clear" w:color="auto" w:fill="E1ECFF"/>
            <w:hideMark/>
          </w:tcPr>
          <w:p w14:paraId="3772CFF8" w14:textId="77777777" w:rsidR="00FC5CE3" w:rsidRPr="000F54FA" w:rsidRDefault="00FC5CE3" w:rsidP="007B6320">
            <w:pPr>
              <w:rPr>
                <w:sz w:val="20"/>
                <w:szCs w:val="20"/>
              </w:rPr>
            </w:pPr>
            <w:r w:rsidRPr="000F54FA">
              <w:rPr>
                <w:sz w:val="20"/>
                <w:szCs w:val="20"/>
              </w:rPr>
              <w:t>OK</w:t>
            </w:r>
          </w:p>
        </w:tc>
      </w:tr>
      <w:tr w:rsidR="00FC5CE3" w:rsidRPr="00FC5CE3" w14:paraId="01A28302" w14:textId="77777777" w:rsidTr="000F54FA">
        <w:tc>
          <w:tcPr>
            <w:tcW w:w="3360" w:type="dxa"/>
            <w:tcBorders>
              <w:top w:val="nil"/>
              <w:left w:val="single" w:sz="8" w:space="0" w:color="auto"/>
              <w:bottom w:val="single" w:sz="8" w:space="0" w:color="auto"/>
              <w:right w:val="single" w:sz="8" w:space="0" w:color="auto"/>
            </w:tcBorders>
            <w:shd w:val="clear" w:color="auto" w:fill="5D97FF"/>
            <w:hideMark/>
          </w:tcPr>
          <w:p w14:paraId="24F649CF" w14:textId="69D75A61" w:rsidR="00FC5CE3" w:rsidRPr="000F54FA" w:rsidRDefault="00FC5CE3" w:rsidP="00654063">
            <w:pPr>
              <w:ind w:right="17"/>
              <w:rPr>
                <w:rFonts w:eastAsia="Times New Roman"/>
                <w:color w:val="F2F2F2"/>
                <w:sz w:val="20"/>
                <w:szCs w:val="20"/>
              </w:rPr>
            </w:pPr>
            <w:r w:rsidRPr="000F54FA">
              <w:rPr>
                <w:rFonts w:eastAsia="Times New Roman"/>
                <w:color w:val="F2F2F2"/>
                <w:sz w:val="20"/>
                <w:szCs w:val="20"/>
              </w:rPr>
              <w:t>EE program contributes relatively little savings to total EE provider EE portfolio</w:t>
            </w:r>
          </w:p>
        </w:tc>
        <w:tc>
          <w:tcPr>
            <w:tcW w:w="2506" w:type="dxa"/>
            <w:tcBorders>
              <w:top w:val="nil"/>
              <w:left w:val="nil"/>
              <w:bottom w:val="single" w:sz="8" w:space="0" w:color="auto"/>
              <w:right w:val="single" w:sz="8" w:space="0" w:color="auto"/>
            </w:tcBorders>
            <w:shd w:val="clear" w:color="auto" w:fill="auto"/>
            <w:hideMark/>
          </w:tcPr>
          <w:p w14:paraId="177A5967" w14:textId="77777777" w:rsidR="00FC5CE3" w:rsidRPr="000F54FA" w:rsidRDefault="00FC5CE3" w:rsidP="007B6320">
            <w:pPr>
              <w:rPr>
                <w:sz w:val="20"/>
                <w:szCs w:val="20"/>
              </w:rPr>
            </w:pPr>
            <w:r w:rsidRPr="000F54FA">
              <w:rPr>
                <w:sz w:val="20"/>
                <w:szCs w:val="20"/>
              </w:rPr>
              <w:t>Method cost may not be justified</w:t>
            </w:r>
          </w:p>
        </w:tc>
        <w:tc>
          <w:tcPr>
            <w:tcW w:w="2507" w:type="dxa"/>
            <w:tcBorders>
              <w:top w:val="nil"/>
              <w:left w:val="nil"/>
              <w:bottom w:val="single" w:sz="8" w:space="0" w:color="auto"/>
              <w:right w:val="single" w:sz="8" w:space="0" w:color="auto"/>
            </w:tcBorders>
            <w:shd w:val="clear" w:color="auto" w:fill="auto"/>
            <w:hideMark/>
          </w:tcPr>
          <w:p w14:paraId="4BC477AB" w14:textId="77777777" w:rsidR="00FC5CE3" w:rsidRPr="000F54FA" w:rsidRDefault="00FC5CE3" w:rsidP="007B6320">
            <w:pPr>
              <w:rPr>
                <w:sz w:val="20"/>
                <w:szCs w:val="20"/>
              </w:rPr>
            </w:pPr>
            <w:r w:rsidRPr="000F54FA">
              <w:rPr>
                <w:sz w:val="20"/>
                <w:szCs w:val="20"/>
              </w:rPr>
              <w:t>Method cost may not be justified</w:t>
            </w:r>
          </w:p>
        </w:tc>
        <w:tc>
          <w:tcPr>
            <w:tcW w:w="2507" w:type="dxa"/>
            <w:tcBorders>
              <w:top w:val="nil"/>
              <w:left w:val="nil"/>
              <w:bottom w:val="single" w:sz="8" w:space="0" w:color="auto"/>
              <w:right w:val="single" w:sz="8" w:space="0" w:color="auto"/>
            </w:tcBorders>
            <w:shd w:val="clear" w:color="auto" w:fill="5D97FF"/>
            <w:hideMark/>
          </w:tcPr>
          <w:p w14:paraId="4B2FBE40" w14:textId="77777777" w:rsidR="00FC5CE3" w:rsidRPr="000F54FA" w:rsidRDefault="00FC5CE3" w:rsidP="007B6320">
            <w:pPr>
              <w:rPr>
                <w:sz w:val="20"/>
                <w:szCs w:val="20"/>
              </w:rPr>
            </w:pPr>
            <w:r w:rsidRPr="000F54FA">
              <w:rPr>
                <w:color w:val="FFFFFF" w:themeColor="background1"/>
                <w:sz w:val="20"/>
                <w:szCs w:val="20"/>
              </w:rPr>
              <w:t>Method may be preferred</w:t>
            </w:r>
          </w:p>
        </w:tc>
      </w:tr>
      <w:tr w:rsidR="00FC5CE3" w:rsidRPr="00FC5CE3" w14:paraId="5873F0B1" w14:textId="77777777" w:rsidTr="000F54FA">
        <w:tc>
          <w:tcPr>
            <w:tcW w:w="3360" w:type="dxa"/>
            <w:tcBorders>
              <w:top w:val="nil"/>
              <w:left w:val="single" w:sz="8" w:space="0" w:color="auto"/>
              <w:bottom w:val="single" w:sz="8" w:space="0" w:color="auto"/>
              <w:right w:val="single" w:sz="8" w:space="0" w:color="auto"/>
            </w:tcBorders>
            <w:shd w:val="clear" w:color="auto" w:fill="5D97FF"/>
            <w:hideMark/>
          </w:tcPr>
          <w:p w14:paraId="52888A77" w14:textId="450DF17A" w:rsidR="00FC5CE3" w:rsidRPr="000F54FA" w:rsidRDefault="00FC5CE3" w:rsidP="00654063">
            <w:pPr>
              <w:rPr>
                <w:rFonts w:eastAsia="Times New Roman"/>
                <w:color w:val="F2F2F2"/>
                <w:sz w:val="20"/>
                <w:szCs w:val="20"/>
              </w:rPr>
            </w:pPr>
            <w:r w:rsidRPr="000F54FA">
              <w:rPr>
                <w:rFonts w:eastAsia="Times New Roman"/>
                <w:color w:val="F2F2F2"/>
                <w:sz w:val="20"/>
                <w:szCs w:val="20"/>
              </w:rPr>
              <w:lastRenderedPageBreak/>
              <w:t>EE program contributes relatively large savings to total EE provider EE portfolio</w:t>
            </w:r>
          </w:p>
        </w:tc>
        <w:tc>
          <w:tcPr>
            <w:tcW w:w="2506" w:type="dxa"/>
            <w:tcBorders>
              <w:top w:val="nil"/>
              <w:left w:val="nil"/>
              <w:bottom w:val="single" w:sz="8" w:space="0" w:color="auto"/>
              <w:right w:val="single" w:sz="8" w:space="0" w:color="auto"/>
            </w:tcBorders>
            <w:shd w:val="clear" w:color="auto" w:fill="auto"/>
            <w:hideMark/>
          </w:tcPr>
          <w:p w14:paraId="5B34CD8C" w14:textId="77777777" w:rsidR="00FC5CE3" w:rsidRPr="000F54FA" w:rsidRDefault="00FC5CE3" w:rsidP="007B6320">
            <w:pPr>
              <w:rPr>
                <w:rFonts w:eastAsia="Times New Roman"/>
                <w:color w:val="000000"/>
                <w:sz w:val="20"/>
                <w:szCs w:val="20"/>
              </w:rPr>
            </w:pPr>
            <w:r w:rsidRPr="000F54FA">
              <w:rPr>
                <w:rFonts w:eastAsia="Times New Roman"/>
                <w:color w:val="000000"/>
                <w:sz w:val="20"/>
                <w:szCs w:val="20"/>
              </w:rPr>
              <w:t>Method is recommended if method requirements are also satisfied</w:t>
            </w:r>
          </w:p>
        </w:tc>
        <w:tc>
          <w:tcPr>
            <w:tcW w:w="2507" w:type="dxa"/>
            <w:tcBorders>
              <w:top w:val="nil"/>
              <w:left w:val="nil"/>
              <w:bottom w:val="single" w:sz="8" w:space="0" w:color="auto"/>
              <w:right w:val="single" w:sz="8" w:space="0" w:color="auto"/>
            </w:tcBorders>
            <w:shd w:val="clear" w:color="auto" w:fill="auto"/>
            <w:hideMark/>
          </w:tcPr>
          <w:p w14:paraId="13BE62C2" w14:textId="77777777" w:rsidR="00FC5CE3" w:rsidRPr="000F54FA" w:rsidRDefault="00FC5CE3" w:rsidP="007B6320">
            <w:pPr>
              <w:rPr>
                <w:rFonts w:eastAsia="Times New Roman"/>
                <w:color w:val="000000"/>
                <w:sz w:val="20"/>
                <w:szCs w:val="20"/>
              </w:rPr>
            </w:pPr>
            <w:r w:rsidRPr="000F54FA">
              <w:rPr>
                <w:rFonts w:eastAsia="Times New Roman"/>
                <w:color w:val="000000"/>
                <w:sz w:val="20"/>
                <w:szCs w:val="20"/>
              </w:rPr>
              <w:t>Method is typically recommended</w:t>
            </w:r>
          </w:p>
        </w:tc>
        <w:tc>
          <w:tcPr>
            <w:tcW w:w="2507" w:type="dxa"/>
            <w:tcBorders>
              <w:top w:val="nil"/>
              <w:left w:val="nil"/>
              <w:bottom w:val="single" w:sz="8" w:space="0" w:color="auto"/>
              <w:right w:val="single" w:sz="8" w:space="0" w:color="auto"/>
            </w:tcBorders>
            <w:shd w:val="clear" w:color="auto" w:fill="auto"/>
            <w:hideMark/>
          </w:tcPr>
          <w:p w14:paraId="09DF595D" w14:textId="77777777" w:rsidR="00FC5CE3" w:rsidRPr="000F54FA" w:rsidRDefault="00FC5CE3" w:rsidP="007B6320">
            <w:pPr>
              <w:rPr>
                <w:rFonts w:eastAsia="Times New Roman"/>
                <w:color w:val="000000"/>
                <w:sz w:val="20"/>
                <w:szCs w:val="20"/>
              </w:rPr>
            </w:pPr>
            <w:r w:rsidRPr="000F54FA">
              <w:rPr>
                <w:rFonts w:eastAsia="Times New Roman"/>
                <w:color w:val="000000"/>
                <w:sz w:val="20"/>
                <w:szCs w:val="20"/>
              </w:rPr>
              <w:t>Method is not typically recommended</w:t>
            </w:r>
          </w:p>
        </w:tc>
      </w:tr>
    </w:tbl>
    <w:p w14:paraId="72E5A112" w14:textId="77777777" w:rsidR="00FC5CE3" w:rsidRPr="000F54FA" w:rsidRDefault="00FC5CE3" w:rsidP="000F54FA"/>
    <w:p w14:paraId="6E612985" w14:textId="77777777" w:rsidR="00CF74A1" w:rsidRDefault="00CF74A1" w:rsidP="00CF74A1">
      <w:pPr>
        <w:pStyle w:val="Heading2"/>
        <w:numPr>
          <w:ilvl w:val="1"/>
          <w:numId w:val="69"/>
        </w:numPr>
      </w:pPr>
      <w:bookmarkStart w:id="48" w:name="_Toc422306693"/>
      <w:bookmarkStart w:id="49" w:name="_Toc422306930"/>
      <w:bookmarkStart w:id="50" w:name="_Toc422307071"/>
      <w:bookmarkStart w:id="51" w:name="_Toc422307203"/>
      <w:bookmarkStart w:id="52" w:name="_Toc422311306"/>
      <w:bookmarkStart w:id="53" w:name="_Toc422311440"/>
      <w:bookmarkStart w:id="54" w:name="_Toc422316664"/>
      <w:bookmarkStart w:id="55" w:name="_Toc422316803"/>
      <w:bookmarkStart w:id="56" w:name="_Toc422316943"/>
      <w:bookmarkStart w:id="57" w:name="_Toc423437585"/>
      <w:bookmarkStart w:id="58" w:name="_Toc423447652"/>
      <w:bookmarkStart w:id="59" w:name="_Toc423447812"/>
      <w:bookmarkStart w:id="60" w:name="_Toc423447929"/>
      <w:bookmarkStart w:id="61" w:name="_Toc423535494"/>
      <w:bookmarkStart w:id="62" w:name="_Toc423539639"/>
      <w:bookmarkStart w:id="63" w:name="_Toc423540034"/>
      <w:bookmarkStart w:id="64" w:name="_Toc422306695"/>
      <w:bookmarkStart w:id="65" w:name="_Toc422306932"/>
      <w:bookmarkStart w:id="66" w:name="_Toc422307073"/>
      <w:bookmarkStart w:id="67" w:name="_Toc422307205"/>
      <w:bookmarkStart w:id="68" w:name="_Toc422311308"/>
      <w:bookmarkStart w:id="69" w:name="_Toc422311442"/>
      <w:bookmarkStart w:id="70" w:name="_Toc422316666"/>
      <w:bookmarkStart w:id="71" w:name="_Toc422316805"/>
      <w:bookmarkStart w:id="72" w:name="_Toc422316945"/>
      <w:bookmarkStart w:id="73" w:name="_Toc423437587"/>
      <w:bookmarkStart w:id="74" w:name="_Toc423447653"/>
      <w:bookmarkStart w:id="75" w:name="_Toc423447813"/>
      <w:bookmarkStart w:id="76" w:name="_Toc423447930"/>
      <w:bookmarkStart w:id="77" w:name="_Toc423535495"/>
      <w:bookmarkStart w:id="78" w:name="_Toc423539640"/>
      <w:bookmarkStart w:id="79" w:name="_Toc423540035"/>
      <w:bookmarkStart w:id="80" w:name="_Toc422306696"/>
      <w:bookmarkStart w:id="81" w:name="_Toc422306933"/>
      <w:bookmarkStart w:id="82" w:name="_Toc422307074"/>
      <w:bookmarkStart w:id="83" w:name="_Toc422307206"/>
      <w:bookmarkStart w:id="84" w:name="_Toc422311309"/>
      <w:bookmarkStart w:id="85" w:name="_Toc422311443"/>
      <w:bookmarkStart w:id="86" w:name="_Toc422316667"/>
      <w:bookmarkStart w:id="87" w:name="_Toc422316806"/>
      <w:bookmarkStart w:id="88" w:name="_Toc422316946"/>
      <w:bookmarkStart w:id="89" w:name="_Toc423437588"/>
      <w:bookmarkStart w:id="90" w:name="_Toc423447654"/>
      <w:bookmarkStart w:id="91" w:name="_Toc423447814"/>
      <w:bookmarkStart w:id="92" w:name="_Toc423447931"/>
      <w:bookmarkStart w:id="93" w:name="_Toc423535496"/>
      <w:bookmarkStart w:id="94" w:name="_Toc423539641"/>
      <w:bookmarkStart w:id="95" w:name="_Toc423540036"/>
      <w:bookmarkStart w:id="96" w:name="_Toc42604462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9D76DC">
        <w:t>Electricity Savings Metrics</w:t>
      </w:r>
      <w:r>
        <w:t xml:space="preserve"> and Baselines</w:t>
      </w:r>
      <w:bookmarkEnd w:id="96"/>
    </w:p>
    <w:p w14:paraId="2082C86E" w14:textId="77777777" w:rsidR="00CF74A1" w:rsidRDefault="00CF74A1" w:rsidP="00CF74A1">
      <w:pPr>
        <w:pStyle w:val="Heading3"/>
        <w:numPr>
          <w:ilvl w:val="2"/>
          <w:numId w:val="69"/>
        </w:numPr>
        <w:spacing w:before="240"/>
        <w:ind w:left="0"/>
      </w:pPr>
      <w:bookmarkStart w:id="97" w:name="_Toc422316937"/>
      <w:bookmarkStart w:id="98" w:name="_Toc426044629"/>
      <w:r w:rsidRPr="00CD2257">
        <w:t>Discussion</w:t>
      </w:r>
      <w:bookmarkEnd w:id="97"/>
      <w:bookmarkEnd w:id="98"/>
    </w:p>
    <w:p w14:paraId="544FFA34" w14:textId="77777777" w:rsidR="0030437E" w:rsidRDefault="00C65406" w:rsidP="00977456">
      <w:pPr>
        <w:pStyle w:val="BodyText"/>
        <w:widowControl/>
      </w:pPr>
      <w:r w:rsidRPr="006D78FC">
        <w:rPr>
          <w:noProof/>
        </w:rPr>
        <mc:AlternateContent>
          <mc:Choice Requires="wps">
            <w:drawing>
              <wp:anchor distT="0" distB="0" distL="114300" distR="114300" simplePos="0" relativeHeight="251663872" behindDoc="1" locked="0" layoutInCell="1" allowOverlap="1" wp14:anchorId="767724E2" wp14:editId="2278773A">
                <wp:simplePos x="0" y="0"/>
                <wp:positionH relativeFrom="margin">
                  <wp:align>right</wp:align>
                </wp:positionH>
                <wp:positionV relativeFrom="paragraph">
                  <wp:posOffset>38100</wp:posOffset>
                </wp:positionV>
                <wp:extent cx="3291840" cy="1555115"/>
                <wp:effectExtent l="57150" t="38100" r="80010" b="102235"/>
                <wp:wrapTight wrapText="bothSides">
                  <wp:wrapPolygon edited="0">
                    <wp:start x="-375" y="-529"/>
                    <wp:lineTo x="-250" y="22755"/>
                    <wp:lineTo x="21875" y="22755"/>
                    <wp:lineTo x="22000" y="-529"/>
                    <wp:lineTo x="-375" y="-529"/>
                  </wp:wrapPolygon>
                </wp:wrapTight>
                <wp:docPr id="6" name="Text Box 6"/>
                <wp:cNvGraphicFramePr/>
                <a:graphic xmlns:a="http://schemas.openxmlformats.org/drawingml/2006/main">
                  <a:graphicData uri="http://schemas.microsoft.com/office/word/2010/wordprocessingShape">
                    <wps:wsp>
                      <wps:cNvSpPr txBox="1"/>
                      <wps:spPr>
                        <a:xfrm>
                          <a:off x="0" y="0"/>
                          <a:ext cx="3291840" cy="155511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41B84DC7" w14:textId="693523C3" w:rsidR="00133485" w:rsidRPr="0040273A" w:rsidRDefault="00133485" w:rsidP="00836232">
                            <w:pPr>
                              <w:spacing w:after="120"/>
                              <w:jc w:val="center"/>
                              <w:rPr>
                                <w:rFonts w:asciiTheme="majorHAnsi" w:hAnsiTheme="majorHAnsi"/>
                                <w:b/>
                                <w:sz w:val="20"/>
                                <w:szCs w:val="20"/>
                              </w:rPr>
                            </w:pPr>
                            <w:r>
                              <w:rPr>
                                <w:rFonts w:asciiTheme="majorHAnsi" w:hAnsiTheme="majorHAnsi"/>
                                <w:b/>
                                <w:sz w:val="20"/>
                                <w:szCs w:val="20"/>
                              </w:rPr>
                              <w:t>Key Term</w:t>
                            </w:r>
                          </w:p>
                          <w:p w14:paraId="6A0C2541" w14:textId="21FD2240" w:rsidR="00133485" w:rsidRPr="005D5FF9" w:rsidRDefault="00133485" w:rsidP="00133485">
                            <w:pPr>
                              <w:pStyle w:val="BulletLevel1"/>
                              <w:numPr>
                                <w:ilvl w:val="0"/>
                                <w:numId w:val="46"/>
                              </w:numPr>
                              <w:ind w:left="360"/>
                              <w:rPr>
                                <w:rFonts w:asciiTheme="majorHAnsi" w:hAnsiTheme="majorHAnsi"/>
                                <w:sz w:val="20"/>
                                <w:szCs w:val="20"/>
                              </w:rPr>
                            </w:pPr>
                            <w:r w:rsidRPr="005D5FF9">
                              <w:rPr>
                                <w:rFonts w:asciiTheme="majorHAnsi" w:hAnsiTheme="majorHAnsi"/>
                                <w:b/>
                                <w:i/>
                                <w:sz w:val="20"/>
                                <w:szCs w:val="20"/>
                              </w:rPr>
                              <w:t>Common practice baseline (CPB):</w:t>
                            </w:r>
                            <w:r w:rsidRPr="005D5FF9">
                              <w:rPr>
                                <w:rFonts w:asciiTheme="majorHAnsi" w:hAnsiTheme="majorHAnsi"/>
                                <w:b/>
                                <w:sz w:val="20"/>
                                <w:szCs w:val="20"/>
                              </w:rPr>
                              <w:t xml:space="preserve"> </w:t>
                            </w:r>
                            <w:r w:rsidRPr="005D5FF9">
                              <w:rPr>
                                <w:rFonts w:asciiTheme="majorHAnsi" w:hAnsiTheme="majorHAnsi"/>
                                <w:sz w:val="20"/>
                                <w:szCs w:val="20"/>
                              </w:rPr>
                              <w:t xml:space="preserve">default technology or condition that would have been in place at the time of project implementation without a decision to install a more efficient system or measure, for example, the system(s) or measure(s) a typical consumer/building owner would have continued with or installed at the time of project implementation.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724E2" id="Text Box 6" o:spid="_x0000_s1030" type="#_x0000_t202" style="position:absolute;margin-left:208pt;margin-top:3pt;width:259.2pt;height:122.4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" fillcolor="#a7bfde [1620]" strokecolor="#4579b8 [3044]">
                <v:fill color2="#e4ecf5 [500]" rotate="t" angle="180" colors="0 #a3c4ff;22938f #bfd5ff;1 #e5eeff" focus="100%" type="gradient"/>
                <v:shadow on="t" color="black" opacity="24903f" origin=",.5" offset="0,.55556mm"/>
                <v:textbox>
                  <w:txbxContent>
                    <w:p w14:paraId="41B84DC7" w14:textId="693523C3" w:rsidR="00133485" w:rsidRPr="0040273A" w:rsidRDefault="00133485" w:rsidP="00836232">
                      <w:pPr>
                        <w:spacing w:after="120"/>
                        <w:jc w:val="center"/>
                        <w:rPr>
                          <w:rFonts w:asciiTheme="majorHAnsi" w:hAnsiTheme="majorHAnsi"/>
                          <w:b/>
                          <w:sz w:val="20"/>
                          <w:szCs w:val="20"/>
                        </w:rPr>
                      </w:pPr>
                      <w:r>
                        <w:rPr>
                          <w:rFonts w:asciiTheme="majorHAnsi" w:hAnsiTheme="majorHAnsi"/>
                          <w:b/>
                          <w:sz w:val="20"/>
                          <w:szCs w:val="20"/>
                        </w:rPr>
                        <w:t>Key Term</w:t>
                      </w:r>
                    </w:p>
                    <w:p w14:paraId="6A0C2541" w14:textId="21FD2240" w:rsidR="00133485" w:rsidRPr="005D5FF9" w:rsidRDefault="00133485" w:rsidP="00133485">
                      <w:pPr>
                        <w:pStyle w:val="BulletLevel1"/>
                        <w:numPr>
                          <w:ilvl w:val="0"/>
                          <w:numId w:val="46"/>
                        </w:numPr>
                        <w:ind w:left="360"/>
                        <w:rPr>
                          <w:rFonts w:asciiTheme="majorHAnsi" w:hAnsiTheme="majorHAnsi"/>
                          <w:sz w:val="20"/>
                          <w:szCs w:val="20"/>
                        </w:rPr>
                      </w:pPr>
                      <w:r w:rsidRPr="005D5FF9">
                        <w:rPr>
                          <w:rFonts w:asciiTheme="majorHAnsi" w:hAnsiTheme="majorHAnsi"/>
                          <w:b/>
                          <w:i/>
                          <w:sz w:val="20"/>
                          <w:szCs w:val="20"/>
                        </w:rPr>
                        <w:t>Common practice baseline (CPB):</w:t>
                      </w:r>
                      <w:r w:rsidRPr="005D5FF9">
                        <w:rPr>
                          <w:rFonts w:asciiTheme="majorHAnsi" w:hAnsiTheme="majorHAnsi"/>
                          <w:b/>
                          <w:sz w:val="20"/>
                          <w:szCs w:val="20"/>
                        </w:rPr>
                        <w:t xml:space="preserve"> </w:t>
                      </w:r>
                      <w:r w:rsidRPr="005D5FF9">
                        <w:rPr>
                          <w:rFonts w:asciiTheme="majorHAnsi" w:hAnsiTheme="majorHAnsi"/>
                          <w:sz w:val="20"/>
                          <w:szCs w:val="20"/>
                        </w:rPr>
                        <w:t xml:space="preserve">default technology or condition that would have been in place at the time of project implementation without a decision to install a more efficient system or measure, for example, the system(s) or measure(s) a typical consumer/building owner would have continued with or installed at the time of project implementation. </w:t>
                      </w:r>
                    </w:p>
                  </w:txbxContent>
                </v:textbox>
                <w10:wrap type="tight" anchorx="margin"/>
              </v:shape>
            </w:pict>
          </mc:Fallback>
        </mc:AlternateContent>
      </w:r>
      <w:r w:rsidR="00CF74A1">
        <w:t xml:space="preserve">Electricity savings from an EE activity is </w:t>
      </w:r>
      <w:r w:rsidR="00CF74A1" w:rsidRPr="00CD2257">
        <w:t xml:space="preserve">the difference between </w:t>
      </w:r>
      <w:r w:rsidR="00CF74A1">
        <w:t xml:space="preserve">observed usage with EE in place and </w:t>
      </w:r>
      <w:r w:rsidR="00CF74A1" w:rsidRPr="00CD2257">
        <w:t xml:space="preserve">the </w:t>
      </w:r>
      <w:r w:rsidR="00CF74A1">
        <w:t xml:space="preserve">usage that would have occurred in the absence of EE </w:t>
      </w:r>
      <w:r w:rsidR="00CF74A1" w:rsidRPr="00CF2E67">
        <w:t>during the same</w:t>
      </w:r>
      <w:r w:rsidR="00CF74A1">
        <w:t xml:space="preserve"> time period. </w:t>
      </w:r>
      <w:r w:rsidR="00CF74A1" w:rsidRPr="00CD2257">
        <w:t xml:space="preserve">Defining </w:t>
      </w:r>
      <w:r w:rsidR="00CF74A1">
        <w:t>what would have happened without the EE program or project (i.e., the “</w:t>
      </w:r>
      <w:r w:rsidR="00CF74A1" w:rsidRPr="00CD2257">
        <w:t xml:space="preserve">counterfactual </w:t>
      </w:r>
      <w:r w:rsidR="00CF74A1">
        <w:t>baseline conditions”)</w:t>
      </w:r>
      <w:r w:rsidR="00CF74A1" w:rsidRPr="00CD2257">
        <w:t xml:space="preserve"> represents the fundamental challenge to </w:t>
      </w:r>
      <w:r w:rsidR="00CF74A1">
        <w:t>quantifying savings, and therefore warrants a comparatively detailed discussion</w:t>
      </w:r>
      <w:r w:rsidR="00CF74A1" w:rsidRPr="00CD2257">
        <w:t>.</w:t>
      </w:r>
      <w:r w:rsidR="001A5A18">
        <w:t xml:space="preserve"> </w:t>
      </w:r>
      <w:r w:rsidR="00CF74A1">
        <w:t>Baselines are typically defined by the installed equipment at the time of retrofit, or some other standard alternative to the installed EE technology. The EPA, for purposes of the emission guidelines, defines EE savings as the difference between observed electricity usage and an appropriate “common practice baseline” (CPB)</w:t>
      </w:r>
      <w:r w:rsidR="00281353">
        <w:t>.</w:t>
      </w:r>
      <w:r w:rsidR="001A5A18">
        <w:t xml:space="preserve"> </w:t>
      </w:r>
      <w:r w:rsidR="0030437E">
        <w:t>Such CPBs are specified below with respect to different EM&amp;V methods and EE activities.</w:t>
      </w:r>
      <w:r w:rsidR="001A5A18">
        <w:t xml:space="preserve"> </w:t>
      </w:r>
    </w:p>
    <w:p w14:paraId="1B3E795B" w14:textId="77777777" w:rsidR="005A7705" w:rsidRDefault="004D2861" w:rsidP="005A7705">
      <w:pPr>
        <w:pStyle w:val="BodyText"/>
        <w:widowControl/>
      </w:pPr>
      <w:bookmarkStart w:id="99" w:name="_Toc422306688"/>
      <w:bookmarkStart w:id="100" w:name="_Toc422306925"/>
      <w:bookmarkStart w:id="101" w:name="_Toc422307066"/>
      <w:bookmarkStart w:id="102" w:name="_Toc422307198"/>
      <w:bookmarkStart w:id="103" w:name="_Toc422311301"/>
      <w:bookmarkStart w:id="104" w:name="_Toc422311435"/>
      <w:bookmarkStart w:id="105" w:name="_Toc422316659"/>
      <w:bookmarkStart w:id="106" w:name="_Toc422316798"/>
      <w:bookmarkStart w:id="107" w:name="_Toc422316938"/>
      <w:bookmarkStart w:id="108" w:name="_Toc422306689"/>
      <w:bookmarkStart w:id="109" w:name="_Toc422306926"/>
      <w:bookmarkStart w:id="110" w:name="_Toc422307067"/>
      <w:bookmarkStart w:id="111" w:name="_Toc422307199"/>
      <w:bookmarkStart w:id="112" w:name="_Toc422311302"/>
      <w:bookmarkStart w:id="113" w:name="_Toc422311436"/>
      <w:bookmarkStart w:id="114" w:name="_Toc422316660"/>
      <w:bookmarkStart w:id="115" w:name="_Toc422316799"/>
      <w:bookmarkStart w:id="116" w:name="_Toc422316939"/>
      <w:bookmarkStart w:id="117" w:name="_Toc423535492"/>
      <w:bookmarkStart w:id="118" w:name="_Toc422306691"/>
      <w:bookmarkStart w:id="119" w:name="_Toc422306928"/>
      <w:bookmarkStart w:id="120" w:name="_Toc422307069"/>
      <w:bookmarkStart w:id="121" w:name="_Toc422307201"/>
      <w:bookmarkStart w:id="122" w:name="_Toc422311304"/>
      <w:bookmarkStart w:id="123" w:name="_Toc422311438"/>
      <w:bookmarkStart w:id="124" w:name="_Toc422316662"/>
      <w:bookmarkStart w:id="125" w:name="_Toc422316801"/>
      <w:bookmarkStart w:id="126" w:name="_Toc422316941"/>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t xml:space="preserve">One benefit of using a CPB is that it inherently adjusts the baseline over time to reflect market conditions and naturally occurring improvements in efficiency over time. Establishing a well-defined and consistently applied CPB avoids crediting activity. </w:t>
      </w:r>
    </w:p>
    <w:p w14:paraId="46C25114" w14:textId="77777777" w:rsidR="004D2861" w:rsidRDefault="004D2861" w:rsidP="004D2861">
      <w:pPr>
        <w:pStyle w:val="BodyText"/>
        <w:widowControl/>
      </w:pPr>
      <w:r>
        <w:t>The term gross savings refers to savings calculated with respect to a defined baseline, while net savings is due to the difference between energy consumption with the program in place and that which would have occurred absent the program.</w:t>
      </w:r>
      <w:r w:rsidRPr="005B1E0E">
        <w:rPr>
          <w:rStyle w:val="FootnoteReference"/>
        </w:rPr>
        <w:t xml:space="preserve"> </w:t>
      </w:r>
      <w:r>
        <w:rPr>
          <w:rStyle w:val="FootnoteReference"/>
        </w:rPr>
        <w:footnoteReference w:id="20"/>
      </w:r>
      <w:r>
        <w:t xml:space="preserve"> The CPB as defined in Section 2.2.2 is consistent with baseline definitions used for gross savings by many existing EE programs. Thus, for much of the EE activity within existing programs, the “gross savings” that would be determined using current methods and practices for those programs will be consistent with the savings relative to the CPB as defined here, and can be reported as </w:t>
      </w:r>
      <w:proofErr w:type="spellStart"/>
      <w:r>
        <w:t>MWh</w:t>
      </w:r>
      <w:proofErr w:type="spellEnd"/>
      <w:r>
        <w:t xml:space="preserve"> savings for purposes of the CPP.</w:t>
      </w:r>
    </w:p>
    <w:p w14:paraId="27AD4EE0" w14:textId="77777777" w:rsidR="00CF74A1" w:rsidRPr="00CD2257" w:rsidRDefault="00CF74A1" w:rsidP="00CF74A1">
      <w:pPr>
        <w:pStyle w:val="Heading3"/>
        <w:numPr>
          <w:ilvl w:val="2"/>
          <w:numId w:val="69"/>
        </w:numPr>
        <w:ind w:left="0"/>
      </w:pPr>
      <w:bookmarkStart w:id="127" w:name="_Toc426044630"/>
      <w:r>
        <w:t>Applicable Guidance</w:t>
      </w:r>
      <w:bookmarkEnd w:id="127"/>
    </w:p>
    <w:p w14:paraId="24F5EC48" w14:textId="77777777" w:rsidR="00CF74A1" w:rsidRDefault="00CF74A1" w:rsidP="00CF74A1">
      <w:pPr>
        <w:pStyle w:val="BulletLevel1"/>
      </w:pPr>
      <w:r w:rsidRPr="003C6D1A">
        <w:t xml:space="preserve">When a well-designed comparison group method is used, </w:t>
      </w:r>
      <w:r>
        <w:t xml:space="preserve">use </w:t>
      </w:r>
      <w:r w:rsidRPr="003C6D1A">
        <w:t>the control group (with randomized control trials) or the compa</w:t>
      </w:r>
      <w:r w:rsidR="00C86DF5">
        <w:t>ri</w:t>
      </w:r>
      <w:r w:rsidRPr="003C6D1A">
        <w:t xml:space="preserve">son group of non-participants (with quasi-experimental approaches) to quantify the </w:t>
      </w:r>
      <w:r>
        <w:t xml:space="preserve">CPB </w:t>
      </w:r>
      <w:r w:rsidRPr="003C6D1A">
        <w:t>electricity consumption</w:t>
      </w:r>
      <w:r>
        <w:t xml:space="preserve">. </w:t>
      </w:r>
    </w:p>
    <w:p w14:paraId="097659DB" w14:textId="77777777" w:rsidR="00CF74A1" w:rsidRDefault="00CF74A1" w:rsidP="00CF74A1">
      <w:pPr>
        <w:pStyle w:val="BulletLevel2"/>
      </w:pPr>
      <w:r>
        <w:lastRenderedPageBreak/>
        <w:t>In these cases,</w:t>
      </w:r>
      <w:r w:rsidRPr="003C6D1A">
        <w:t xml:space="preserve"> separately </w:t>
      </w:r>
      <w:r>
        <w:t>determining</w:t>
      </w:r>
      <w:r w:rsidRPr="003C6D1A">
        <w:t xml:space="preserve"> </w:t>
      </w:r>
      <w:r>
        <w:t>the CPB efficiency of individual pieces of equipment is unnecessary.</w:t>
      </w:r>
      <w:r>
        <w:rPr>
          <w:rStyle w:val="FootnoteReference"/>
        </w:rPr>
        <w:footnoteReference w:id="21"/>
      </w:r>
      <w:r>
        <w:t xml:space="preserve"> </w:t>
      </w:r>
    </w:p>
    <w:p w14:paraId="1C61D5EA" w14:textId="77777777" w:rsidR="00CF74A1" w:rsidRDefault="00CF74A1" w:rsidP="00CF74A1">
      <w:pPr>
        <w:pStyle w:val="BulletLevel2"/>
      </w:pPr>
      <w:r>
        <w:t xml:space="preserve">Design </w:t>
      </w:r>
      <w:r w:rsidRPr="005F1BB7">
        <w:t xml:space="preserve">the comparison group and analysis approach </w:t>
      </w:r>
      <w:r>
        <w:t xml:space="preserve">in a way that </w:t>
      </w:r>
      <w:r w:rsidRPr="005F1BB7">
        <w:t>represent</w:t>
      </w:r>
      <w:r>
        <w:t>s</w:t>
      </w:r>
      <w:r w:rsidRPr="005F1BB7">
        <w:t xml:space="preserve"> what the participants would have done absent the program or absent the </w:t>
      </w:r>
      <w:r>
        <w:t xml:space="preserve">EE </w:t>
      </w:r>
      <w:r w:rsidRPr="005F1BB7">
        <w:t xml:space="preserve">intervention. </w:t>
      </w:r>
    </w:p>
    <w:p w14:paraId="7058440D" w14:textId="77777777" w:rsidR="00CF74A1" w:rsidRPr="00CD2257" w:rsidRDefault="00CF74A1" w:rsidP="00CF74A1">
      <w:pPr>
        <w:pStyle w:val="BulletLevel2"/>
      </w:pPr>
      <w:r>
        <w:t xml:space="preserve">With </w:t>
      </w:r>
      <w:r w:rsidRPr="005F1BB7">
        <w:t>comparison group specification</w:t>
      </w:r>
      <w:r>
        <w:t xml:space="preserve">s, describe how the comparison group was selected and </w:t>
      </w:r>
      <w:r w:rsidRPr="005F1BB7">
        <w:t xml:space="preserve">what </w:t>
      </w:r>
      <w:r>
        <w:t xml:space="preserve">it </w:t>
      </w:r>
      <w:r w:rsidRPr="005F1BB7">
        <w:t>is intended to represent.</w:t>
      </w:r>
      <w:r>
        <w:t xml:space="preserve"> </w:t>
      </w:r>
    </w:p>
    <w:p w14:paraId="0537A2F5" w14:textId="77777777" w:rsidR="00CF74A1" w:rsidRPr="003C6D1A" w:rsidRDefault="00CF74A1" w:rsidP="00CF74A1">
      <w:pPr>
        <w:pStyle w:val="BulletLevel1"/>
      </w:pPr>
      <w:r w:rsidRPr="003C6D1A">
        <w:t xml:space="preserve">For </w:t>
      </w:r>
      <w:r>
        <w:t xml:space="preserve">the three EM&amp;V methods addressed in Section </w:t>
      </w:r>
      <w:r w:rsidR="00EE6CC1">
        <w:t>2</w:t>
      </w:r>
      <w:r>
        <w:t xml:space="preserve">.1, use </w:t>
      </w:r>
      <w:r w:rsidRPr="003C6D1A">
        <w:t>the following CPB guid</w:t>
      </w:r>
      <w:r>
        <w:t>ance</w:t>
      </w:r>
      <w:r w:rsidRPr="003C6D1A">
        <w:t>:</w:t>
      </w:r>
    </w:p>
    <w:p w14:paraId="42734AC6" w14:textId="77777777" w:rsidR="00CF74A1" w:rsidRPr="002E675A" w:rsidRDefault="00CF74A1" w:rsidP="005B1E0E">
      <w:pPr>
        <w:pStyle w:val="BulletLevel2"/>
      </w:pPr>
      <w:r w:rsidRPr="002E675A">
        <w:t xml:space="preserve">For equipment that is </w:t>
      </w:r>
      <w:r w:rsidRPr="001F77A1">
        <w:rPr>
          <w:b/>
        </w:rPr>
        <w:t>replaced on failure</w:t>
      </w:r>
      <w:r w:rsidRPr="002E675A">
        <w:t xml:space="preserve">, </w:t>
      </w:r>
      <w:r>
        <w:t xml:space="preserve">define the </w:t>
      </w:r>
      <w:r w:rsidR="005B1E0E">
        <w:t>CPB</w:t>
      </w:r>
      <w:r w:rsidRPr="002E675A">
        <w:t xml:space="preserve"> </w:t>
      </w:r>
      <w:r>
        <w:t>as:</w:t>
      </w:r>
      <w:r w:rsidRPr="002E675A">
        <w:t xml:space="preserve"> </w:t>
      </w:r>
    </w:p>
    <w:p w14:paraId="5C08697E" w14:textId="77777777" w:rsidR="00CF74A1" w:rsidRPr="002E675A" w:rsidRDefault="00CF74A1" w:rsidP="00977456">
      <w:pPr>
        <w:pStyle w:val="BulletLevel3"/>
      </w:pPr>
      <w:r>
        <w:t>The f</w:t>
      </w:r>
      <w:r w:rsidRPr="002E675A">
        <w:t>eder</w:t>
      </w:r>
      <w:r w:rsidRPr="00C023F3">
        <w:t>a</w:t>
      </w:r>
      <w:r w:rsidRPr="002E675A">
        <w:t>l standard or the market average industry</w:t>
      </w:r>
      <w:r>
        <w:t>/</w:t>
      </w:r>
      <w:r w:rsidRPr="002E675A">
        <w:t xml:space="preserve">consumer practice at the time of implementation, whichever results in </w:t>
      </w:r>
      <w:r w:rsidR="00977456">
        <w:t>a lower</w:t>
      </w:r>
      <w:r w:rsidRPr="002E675A">
        <w:t xml:space="preserve"> savings </w:t>
      </w:r>
      <w:proofErr w:type="gramStart"/>
      <w:r>
        <w:t>value.</w:t>
      </w:r>
      <w:proofErr w:type="gramEnd"/>
      <w:r>
        <w:t xml:space="preserve"> </w:t>
      </w:r>
      <w:r w:rsidRPr="002E675A">
        <w:t xml:space="preserve">This </w:t>
      </w:r>
      <w:r>
        <w:t>approach</w:t>
      </w:r>
      <w:r w:rsidRPr="002E675A">
        <w:t xml:space="preserve"> recognizes the dynamic nature of baselines in the context of changing market conditions.</w:t>
      </w:r>
    </w:p>
    <w:p w14:paraId="49C3DF43" w14:textId="77777777" w:rsidR="00CF74A1" w:rsidRPr="00C023F3" w:rsidRDefault="00CF74A1" w:rsidP="00C52206">
      <w:pPr>
        <w:pStyle w:val="BulletLevel3"/>
      </w:pPr>
      <w:r>
        <w:t>For s</w:t>
      </w:r>
      <w:r w:rsidRPr="00C023F3">
        <w:t xml:space="preserve">tates (or </w:t>
      </w:r>
      <w:r>
        <w:t>EE providers</w:t>
      </w:r>
      <w:r w:rsidRPr="00C023F3">
        <w:t xml:space="preserve"> operating in those </w:t>
      </w:r>
      <w:r>
        <w:t>state</w:t>
      </w:r>
      <w:r w:rsidRPr="00C023F3">
        <w:t>s) that have product standard</w:t>
      </w:r>
      <w:r>
        <w:t xml:space="preserve">s that are more stringent than </w:t>
      </w:r>
      <w:r w:rsidR="00330795">
        <w:t xml:space="preserve">the </w:t>
      </w:r>
      <w:r>
        <w:t>f</w:t>
      </w:r>
      <w:r w:rsidRPr="00C023F3">
        <w:t xml:space="preserve">ederal standard or market average, </w:t>
      </w:r>
      <w:r w:rsidR="00977456">
        <w:t xml:space="preserve">and </w:t>
      </w:r>
      <w:r>
        <w:t xml:space="preserve">where </w:t>
      </w:r>
      <w:r w:rsidRPr="00C023F3">
        <w:t xml:space="preserve">the </w:t>
      </w:r>
      <w:r>
        <w:t>state</w:t>
      </w:r>
      <w:r w:rsidRPr="00C023F3">
        <w:t xml:space="preserve"> is counting the </w:t>
      </w:r>
      <w:r>
        <w:t xml:space="preserve">savings increment due to the more stringent </w:t>
      </w:r>
      <w:r w:rsidRPr="00C023F3">
        <w:t xml:space="preserve">product standard as a </w:t>
      </w:r>
      <w:r>
        <w:t xml:space="preserve">state measure, </w:t>
      </w:r>
      <w:r w:rsidRPr="00C023F3">
        <w:t xml:space="preserve">use the </w:t>
      </w:r>
      <w:r>
        <w:t>state</w:t>
      </w:r>
      <w:r w:rsidRPr="00C023F3">
        <w:t xml:space="preserve"> </w:t>
      </w:r>
      <w:r>
        <w:t xml:space="preserve">product </w:t>
      </w:r>
      <w:r w:rsidRPr="00C023F3">
        <w:t xml:space="preserve">standard as </w:t>
      </w:r>
      <w:r>
        <w:t>the CPB for EE at higher efficiency than the state product standard. (See double counting S</w:t>
      </w:r>
      <w:r w:rsidRPr="00C023F3">
        <w:t xml:space="preserve">ection </w:t>
      </w:r>
      <w:r w:rsidR="00C52206">
        <w:t>2.7</w:t>
      </w:r>
      <w:r w:rsidRPr="00C023F3">
        <w:t xml:space="preserve">) </w:t>
      </w:r>
    </w:p>
    <w:p w14:paraId="7A58FB08" w14:textId="77777777" w:rsidR="00CF74A1" w:rsidRPr="002E675A" w:rsidRDefault="00CF74A1" w:rsidP="00CF74A1">
      <w:pPr>
        <w:pStyle w:val="BulletLevel2"/>
      </w:pPr>
      <w:r w:rsidRPr="002E675A">
        <w:t xml:space="preserve">For </w:t>
      </w:r>
      <w:r w:rsidRPr="001F77A1">
        <w:rPr>
          <w:b/>
        </w:rPr>
        <w:t>early replacement activities</w:t>
      </w:r>
      <w:r w:rsidRPr="002E675A">
        <w:t xml:space="preserve">, with strong evidence that replacement of functioning equipment </w:t>
      </w:r>
      <w:r>
        <w:t>is</w:t>
      </w:r>
      <w:r w:rsidRPr="002E675A">
        <w:t xml:space="preserve"> due to program influence, a dual baseline </w:t>
      </w:r>
      <w:r>
        <w:t>is applicable</w:t>
      </w:r>
      <w:r w:rsidRPr="002E675A">
        <w:t xml:space="preserve">: </w:t>
      </w:r>
    </w:p>
    <w:p w14:paraId="42A35F1D" w14:textId="77777777" w:rsidR="00CF74A1" w:rsidRPr="00C023F3" w:rsidRDefault="00CF74A1" w:rsidP="005B1E0E">
      <w:pPr>
        <w:pStyle w:val="BulletLevel3"/>
      </w:pPr>
      <w:r>
        <w:t>Use e</w:t>
      </w:r>
      <w:r w:rsidRPr="00C023F3">
        <w:t xml:space="preserve">xisting conditions for defining the </w:t>
      </w:r>
      <w:r w:rsidR="005B1E0E">
        <w:t>CPB</w:t>
      </w:r>
      <w:r w:rsidRPr="00C023F3">
        <w:t xml:space="preserve"> for the remaining useful lifetime</w:t>
      </w:r>
      <w:r w:rsidRPr="00094DBB">
        <w:rPr>
          <w:rStyle w:val="FootnoteReference"/>
        </w:rPr>
        <w:footnoteReference w:id="22"/>
      </w:r>
      <w:r w:rsidRPr="00C023F3">
        <w:t xml:space="preserve"> (RUL) of the replaced equipment or system</w:t>
      </w:r>
      <w:r>
        <w:t>.</w:t>
      </w:r>
      <w:r w:rsidR="001A5A18">
        <w:t xml:space="preserve"> </w:t>
      </w:r>
      <w:r>
        <w:t>Use the CPB that would apply to new construction or replacement on failure for the remainder of the new equipment EUL.</w:t>
      </w:r>
    </w:p>
    <w:p w14:paraId="1084A318" w14:textId="77777777" w:rsidR="00CF74A1" w:rsidRPr="002E675A" w:rsidRDefault="00CF74A1" w:rsidP="009E0124">
      <w:pPr>
        <w:pStyle w:val="BulletLevel2"/>
      </w:pPr>
      <w:r w:rsidRPr="002E675A">
        <w:t xml:space="preserve">For </w:t>
      </w:r>
      <w:r w:rsidRPr="001F77A1">
        <w:rPr>
          <w:b/>
        </w:rPr>
        <w:t>building shell improvements of existing buildings</w:t>
      </w:r>
      <w:r w:rsidRPr="002E675A">
        <w:t xml:space="preserve">, </w:t>
      </w:r>
      <w:r>
        <w:t xml:space="preserve">define the </w:t>
      </w:r>
      <w:r w:rsidR="009E0124">
        <w:t>CPB</w:t>
      </w:r>
      <w:r w:rsidRPr="002E675A">
        <w:t xml:space="preserve"> as</w:t>
      </w:r>
      <w:r>
        <w:t>:</w:t>
      </w:r>
    </w:p>
    <w:p w14:paraId="4B71951A" w14:textId="77777777" w:rsidR="00CF74A1" w:rsidRPr="00C023F3" w:rsidRDefault="00CF74A1" w:rsidP="00CF74A1">
      <w:pPr>
        <w:pStyle w:val="BulletLevel3"/>
      </w:pPr>
      <w:r w:rsidRPr="00C023F3">
        <w:t>The existing condition of the building shell unless renovations are extensive enough to trigger new construction code compliance</w:t>
      </w:r>
      <w:r>
        <w:t>, in which case the following new construction guidance applies</w:t>
      </w:r>
    </w:p>
    <w:p w14:paraId="5F71E7ED" w14:textId="77777777" w:rsidR="00CF74A1" w:rsidRPr="002E675A" w:rsidRDefault="00CF74A1" w:rsidP="009E0124">
      <w:pPr>
        <w:pStyle w:val="BulletLevel2"/>
      </w:pPr>
      <w:r w:rsidRPr="002E675A">
        <w:t xml:space="preserve">For </w:t>
      </w:r>
      <w:r w:rsidRPr="001F77A1">
        <w:rPr>
          <w:b/>
        </w:rPr>
        <w:t>new construction</w:t>
      </w:r>
      <w:r w:rsidRPr="002E675A">
        <w:t xml:space="preserve">, the </w:t>
      </w:r>
      <w:r w:rsidR="009E0124">
        <w:t>CPB</w:t>
      </w:r>
      <w:r w:rsidRPr="002E675A">
        <w:t xml:space="preserve"> </w:t>
      </w:r>
      <w:r>
        <w:t>is defined as</w:t>
      </w:r>
      <w:r w:rsidRPr="002E675A">
        <w:t xml:space="preserve">: </w:t>
      </w:r>
    </w:p>
    <w:p w14:paraId="2FDB5500" w14:textId="77777777" w:rsidR="00CF74A1" w:rsidRPr="00C023F3" w:rsidRDefault="00CF74A1" w:rsidP="00CF74A1">
      <w:pPr>
        <w:pStyle w:val="BulletLevel3"/>
      </w:pPr>
      <w:r w:rsidRPr="00C023F3">
        <w:t xml:space="preserve">For commercial </w:t>
      </w:r>
      <w:r w:rsidRPr="00A94CDE">
        <w:t xml:space="preserve">buildings, the </w:t>
      </w:r>
      <w:r w:rsidR="00996DB2" w:rsidRPr="00A94CDE">
        <w:t xml:space="preserve">approach that </w:t>
      </w:r>
      <w:r w:rsidR="00D17FF5" w:rsidRPr="00A94CDE">
        <w:t xml:space="preserve">yields fewer </w:t>
      </w:r>
      <w:proofErr w:type="spellStart"/>
      <w:r w:rsidR="00D17FF5" w:rsidRPr="00A94CDE">
        <w:t>MWh</w:t>
      </w:r>
      <w:proofErr w:type="spellEnd"/>
      <w:r w:rsidR="00D17FF5" w:rsidRPr="00A94CDE">
        <w:t xml:space="preserve"> </w:t>
      </w:r>
      <w:r w:rsidR="00996DB2" w:rsidRPr="00A94CDE">
        <w:t>savings</w:t>
      </w:r>
      <w:r w:rsidRPr="00A94CDE">
        <w:t xml:space="preserve"> of the applicable state or local building code in effect as of January 1, 2013, the market industry</w:t>
      </w:r>
      <w:r w:rsidRPr="00C023F3">
        <w:t xml:space="preserve"> average practice in the </w:t>
      </w:r>
      <w:r>
        <w:t>state</w:t>
      </w:r>
      <w:r w:rsidRPr="00C023F3">
        <w:t>, or ASHRAE 90.1-2007/2009 IECC. This baseline recognizes the dynamic nature of baselines in the context of changing market conditions.</w:t>
      </w:r>
      <w:r w:rsidRPr="00713DC8">
        <w:rPr>
          <w:rStyle w:val="FootnoteReference"/>
        </w:rPr>
        <w:footnoteReference w:id="23"/>
      </w:r>
    </w:p>
    <w:p w14:paraId="0C58BC0B" w14:textId="77777777" w:rsidR="00CF74A1" w:rsidRPr="00C023F3" w:rsidRDefault="00CF74A1" w:rsidP="00CF74A1">
      <w:pPr>
        <w:pStyle w:val="BulletLevel3"/>
      </w:pPr>
      <w:r w:rsidRPr="00C023F3">
        <w:t xml:space="preserve">For residential buildings, </w:t>
      </w:r>
      <w:r w:rsidRPr="00A94CDE">
        <w:t xml:space="preserve">the </w:t>
      </w:r>
      <w:r w:rsidR="00D17FF5" w:rsidRPr="00A94CDE">
        <w:t xml:space="preserve">approach that yields fewer </w:t>
      </w:r>
      <w:proofErr w:type="spellStart"/>
      <w:r w:rsidR="00D17FF5" w:rsidRPr="00A94CDE">
        <w:t>MWh</w:t>
      </w:r>
      <w:proofErr w:type="spellEnd"/>
      <w:r w:rsidR="00D17FF5" w:rsidRPr="00A94CDE">
        <w:t xml:space="preserve"> savings </w:t>
      </w:r>
      <w:r w:rsidRPr="00A94CDE">
        <w:t>of the applicable state or local building code in effect as of January 1, 2013, the market industry average</w:t>
      </w:r>
      <w:r w:rsidRPr="00C023F3">
        <w:t xml:space="preserve"> practice in </w:t>
      </w:r>
      <w:r w:rsidRPr="00C023F3">
        <w:lastRenderedPageBreak/>
        <w:t xml:space="preserve">the </w:t>
      </w:r>
      <w:r>
        <w:t>state</w:t>
      </w:r>
      <w:r w:rsidRPr="00C023F3">
        <w:t>, or ECC 2009. This baseline recognizes the dynamic nature of baselines in the context of changing market conditions.</w:t>
      </w:r>
    </w:p>
    <w:p w14:paraId="433299B5" w14:textId="77777777" w:rsidR="00CF74A1" w:rsidRPr="00C023F3" w:rsidRDefault="00CF74A1" w:rsidP="00C52206">
      <w:pPr>
        <w:pStyle w:val="BulletLevel3"/>
      </w:pPr>
      <w:r>
        <w:t>For s</w:t>
      </w:r>
      <w:r w:rsidRPr="00C023F3">
        <w:t xml:space="preserve">tates (or </w:t>
      </w:r>
      <w:r>
        <w:t>EE providers</w:t>
      </w:r>
      <w:r w:rsidRPr="00C023F3">
        <w:t xml:space="preserve"> in those </w:t>
      </w:r>
      <w:r>
        <w:t>state</w:t>
      </w:r>
      <w:r w:rsidRPr="00C023F3">
        <w:t xml:space="preserve">s) that are increasing the stringency of their </w:t>
      </w:r>
      <w:r>
        <w:t>state</w:t>
      </w:r>
      <w:r w:rsidRPr="00C023F3">
        <w:t xml:space="preserve"> building codes, </w:t>
      </w:r>
      <w:r>
        <w:t>use the updated state</w:t>
      </w:r>
      <w:r w:rsidRPr="00C023F3">
        <w:t xml:space="preserve"> code as a baseline if the </w:t>
      </w:r>
      <w:r>
        <w:t>state</w:t>
      </w:r>
      <w:r w:rsidRPr="00C023F3">
        <w:t xml:space="preserve"> has included and is already counting those savings se</w:t>
      </w:r>
      <w:r>
        <w:t>parately. (See double counting discussion in S</w:t>
      </w:r>
      <w:r w:rsidRPr="00C023F3">
        <w:t xml:space="preserve">ection </w:t>
      </w:r>
      <w:r w:rsidR="00C52206">
        <w:t>2.7</w:t>
      </w:r>
      <w:r w:rsidRPr="00C023F3">
        <w:t>)</w:t>
      </w:r>
    </w:p>
    <w:p w14:paraId="073F98F0" w14:textId="77777777" w:rsidR="009E0124" w:rsidRDefault="00CF74A1" w:rsidP="002220AB">
      <w:pPr>
        <w:pStyle w:val="BodyText"/>
      </w:pPr>
      <w:r w:rsidRPr="00CD2257">
        <w:t>Table 7.1 of the 2012 SEE Action Impact Guide can be referred to for defining general approaches to determining baselines for specific EE activities</w:t>
      </w:r>
      <w:r>
        <w:t>.</w:t>
      </w:r>
      <w:r w:rsidRPr="009D76DC">
        <w:rPr>
          <w:vertAlign w:val="superscript"/>
        </w:rPr>
        <w:footnoteReference w:id="24"/>
      </w:r>
    </w:p>
    <w:p w14:paraId="2DDADD0C" w14:textId="6D4AEAA2" w:rsidR="00611F4D" w:rsidRDefault="00611F4D" w:rsidP="002220AB">
      <w:pPr>
        <w:pStyle w:val="BodyText"/>
      </w:pPr>
      <w:r>
        <w:t>The CPB as defined here applies to EE activities in the context of consumer-funded programs, ESC</w:t>
      </w:r>
      <w:r w:rsidR="00EA1346">
        <w:t>O</w:t>
      </w:r>
      <w:r>
        <w:t>-supported projects, and privately funded projects outside of consumer-funded programs and ESCOs. Where there is the possibility of the same EE activity being counted as part of</w:t>
      </w:r>
      <w:r w:rsidR="0069385B">
        <w:t xml:space="preserve"> two or more categories</w:t>
      </w:r>
      <w:r w:rsidR="00A9292F">
        <w:t xml:space="preserve"> of EE activity </w:t>
      </w:r>
      <w:r w:rsidR="0069385B">
        <w:t>--</w:t>
      </w:r>
      <w:r>
        <w:t>consumer-funded program</w:t>
      </w:r>
      <w:r w:rsidR="0069385B">
        <w:t>, ESC</w:t>
      </w:r>
      <w:r w:rsidR="00513E84">
        <w:t>O</w:t>
      </w:r>
      <w:r w:rsidR="0069385B">
        <w:t xml:space="preserve"> activity, or private activity—care must be taken to avoid counting the same savings more than once.</w:t>
      </w:r>
      <w:r w:rsidR="001A5A18">
        <w:t xml:space="preserve"> </w:t>
      </w:r>
      <w:r w:rsidR="0069385B">
        <w:t xml:space="preserve">See </w:t>
      </w:r>
      <w:r w:rsidR="0069385B" w:rsidRPr="00C54C09">
        <w:t>Section 2.7 on</w:t>
      </w:r>
      <w:r w:rsidR="0069385B">
        <w:t xml:space="preserve"> avoiding double counting. </w:t>
      </w:r>
    </w:p>
    <w:p w14:paraId="405ECF21" w14:textId="77777777" w:rsidR="009E0124" w:rsidRPr="002220AB" w:rsidRDefault="009E0124" w:rsidP="002220AB">
      <w:pPr>
        <w:pStyle w:val="BodyText"/>
      </w:pPr>
      <w:r w:rsidRPr="002220AB">
        <w:t>The definitions of CPB in terms of standard efficiency equipment for new or replacement-on-failure situations, and as dual baseline for early replacement are consistent with common approaches to defining gross savings for utility programs.</w:t>
      </w:r>
      <w:r w:rsidR="001A5A18">
        <w:t xml:space="preserve"> </w:t>
      </w:r>
      <w:r w:rsidRPr="002220AB">
        <w:t>Whether a particular utility’s gross savings determination is fully consistent with the guidance in this document depends on details of the standards used as baselines, and other particulars described here such as verification methods, EUL determination, and frequency of updates of deemed values or other key parameters.</w:t>
      </w:r>
      <w:r w:rsidR="001A5A18">
        <w:t xml:space="preserve"> </w:t>
      </w:r>
    </w:p>
    <w:p w14:paraId="103D008E" w14:textId="77777777" w:rsidR="00533E47" w:rsidRDefault="009E0124" w:rsidP="00C52206">
      <w:pPr>
        <w:pStyle w:val="BodyText"/>
        <w:rPr>
          <w:rStyle w:val="BodyTextBoldChar"/>
          <w:rFonts w:asciiTheme="majorHAnsi" w:hAnsiTheme="majorHAnsi"/>
          <w:b w:val="0"/>
        </w:rPr>
      </w:pPr>
      <w:r w:rsidRPr="002220AB">
        <w:t>Use of market average baselines where standards do</w:t>
      </w:r>
      <w:r w:rsidR="000F54FA">
        <w:t xml:space="preserve"> </w:t>
      </w:r>
      <w:r w:rsidRPr="002220AB">
        <w:t>n</w:t>
      </w:r>
      <w:r w:rsidR="000F54FA">
        <w:t>o</w:t>
      </w:r>
      <w:r w:rsidRPr="002220AB">
        <w:t>t exist is not currently common practice</w:t>
      </w:r>
      <w:r>
        <w:t xml:space="preserve"> for consumer</w:t>
      </w:r>
      <w:r w:rsidR="002220AB">
        <w:t>-</w:t>
      </w:r>
      <w:r>
        <w:t>funded programs</w:t>
      </w:r>
      <w:r w:rsidRPr="002220AB">
        <w:t>.</w:t>
      </w:r>
      <w:r w:rsidR="001A5A18">
        <w:t xml:space="preserve"> </w:t>
      </w:r>
      <w:r w:rsidRPr="002220AB">
        <w:t>This definition is intended to ensure that, in the absence of a clear standard, savings reflect movement of efficiency beyond what is already occurring in the market.</w:t>
      </w:r>
      <w:r w:rsidR="001A5A18">
        <w:t xml:space="preserve"> </w:t>
      </w:r>
      <w:r w:rsidRPr="002220AB">
        <w:t>Where standards do not exist, utility program evaluated net savings may under some circumstances be used in place of savings calculated relative to a market average baseline</w:t>
      </w:r>
      <w:r w:rsidR="006442D3">
        <w:t>.</w:t>
      </w:r>
      <w:r w:rsidRPr="002220AB">
        <w:t xml:space="preserve"> To use utility net savings in this context, the state must provide an explanation of how net savings are calculated, and why this calculation is expected to be at least as stringent as savings relative to a market average baseline.</w:t>
      </w:r>
      <w:r w:rsidR="001A5A18">
        <w:t xml:space="preserve"> </w:t>
      </w:r>
      <w:r w:rsidRPr="002220AB">
        <w:t xml:space="preserve">Other aspects of the savings determination should also be consistent with the guidance in this document. For guidance on determination of net savings, see the Uniform </w:t>
      </w:r>
      <w:r w:rsidRPr="006F3DFB">
        <w:rPr>
          <w:rFonts w:asciiTheme="majorHAnsi" w:hAnsiTheme="majorHAnsi" w:cstheme="majorHAnsi"/>
          <w:szCs w:val="22"/>
        </w:rPr>
        <w:t>Methods Project</w:t>
      </w:r>
      <w:r w:rsidRPr="006F3DFB">
        <w:rPr>
          <w:rFonts w:asciiTheme="majorHAnsi" w:hAnsiTheme="majorHAnsi" w:cstheme="majorHAnsi"/>
          <w:color w:val="000000"/>
          <w:szCs w:val="22"/>
        </w:rPr>
        <w:t xml:space="preserve"> </w:t>
      </w:r>
      <w:r w:rsidRPr="006F3DFB">
        <w:rPr>
          <w:rStyle w:val="BodyTextBoldChar"/>
          <w:rFonts w:asciiTheme="majorHAnsi" w:hAnsiTheme="majorHAnsi"/>
          <w:b w:val="0"/>
          <w:i/>
        </w:rPr>
        <w:t>Estimating Net Energy Saving: Methods and Practices</w:t>
      </w:r>
      <w:r w:rsidRPr="006F3DFB">
        <w:rPr>
          <w:rStyle w:val="BodyTextBoldChar"/>
          <w:rFonts w:asciiTheme="majorHAnsi" w:hAnsiTheme="majorHAnsi"/>
          <w:b w:val="0"/>
        </w:rPr>
        <w:t>.</w:t>
      </w:r>
    </w:p>
    <w:p w14:paraId="0F4AF9B7" w14:textId="77777777" w:rsidR="007A6DD8" w:rsidRPr="009D76DC" w:rsidRDefault="007A6DD8" w:rsidP="00533E47">
      <w:pPr>
        <w:pStyle w:val="Heading2"/>
        <w:keepLines/>
        <w:numPr>
          <w:ilvl w:val="1"/>
          <w:numId w:val="69"/>
        </w:numPr>
      </w:pPr>
      <w:bookmarkStart w:id="128" w:name="_Toc426044631"/>
      <w:r>
        <w:lastRenderedPageBreak/>
        <w:t>Reporting Timeframes and Considerations</w:t>
      </w:r>
      <w:bookmarkEnd w:id="128"/>
      <w:r w:rsidRPr="009D76DC">
        <w:t xml:space="preserve"> </w:t>
      </w:r>
    </w:p>
    <w:p w14:paraId="4A5AA8D0" w14:textId="77777777" w:rsidR="007A6DD8" w:rsidRPr="000D548E" w:rsidRDefault="007A6DD8" w:rsidP="00533E47">
      <w:pPr>
        <w:pStyle w:val="Heading3"/>
        <w:keepLines/>
        <w:numPr>
          <w:ilvl w:val="2"/>
          <w:numId w:val="69"/>
        </w:numPr>
        <w:spacing w:before="240"/>
        <w:ind w:left="0"/>
      </w:pPr>
      <w:bookmarkStart w:id="129" w:name="_Toc422306698"/>
      <w:bookmarkStart w:id="130" w:name="_Toc422306935"/>
      <w:bookmarkStart w:id="131" w:name="_Toc422307076"/>
      <w:bookmarkStart w:id="132" w:name="_Toc422307208"/>
      <w:bookmarkStart w:id="133" w:name="_Toc422311311"/>
      <w:bookmarkStart w:id="134" w:name="_Toc422311445"/>
      <w:bookmarkStart w:id="135" w:name="_Toc422316669"/>
      <w:bookmarkStart w:id="136" w:name="_Toc422316808"/>
      <w:bookmarkStart w:id="137" w:name="_Toc422316948"/>
      <w:bookmarkStart w:id="138" w:name="_Toc423437590"/>
      <w:bookmarkStart w:id="139" w:name="_Toc423447656"/>
      <w:bookmarkStart w:id="140" w:name="_Toc423447816"/>
      <w:bookmarkStart w:id="141" w:name="_Toc423447933"/>
      <w:bookmarkStart w:id="142" w:name="_Toc423535498"/>
      <w:bookmarkStart w:id="143" w:name="_Toc423539643"/>
      <w:bookmarkStart w:id="144" w:name="_Toc423540038"/>
      <w:bookmarkStart w:id="145" w:name="_Toc422316949"/>
      <w:bookmarkStart w:id="146" w:name="_Toc426044632"/>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0D548E">
        <w:t>Discussion</w:t>
      </w:r>
      <w:bookmarkEnd w:id="145"/>
      <w:bookmarkEnd w:id="146"/>
    </w:p>
    <w:p w14:paraId="130B0A68" w14:textId="77777777" w:rsidR="007A6DD8" w:rsidRDefault="003660A6" w:rsidP="007A6DD8">
      <w:pPr>
        <w:pStyle w:val="BodyText"/>
        <w:widowControl/>
      </w:pPr>
      <w:r w:rsidRPr="006D78FC">
        <w:rPr>
          <w:rStyle w:val="DocumentMapChar"/>
          <w:b/>
          <w:noProof/>
        </w:rPr>
        <mc:AlternateContent>
          <mc:Choice Requires="wps">
            <w:drawing>
              <wp:anchor distT="0" distB="0" distL="114300" distR="114300" simplePos="0" relativeHeight="251658752" behindDoc="0" locked="0" layoutInCell="1" allowOverlap="1" wp14:anchorId="45FE82FA" wp14:editId="4FF38018">
                <wp:simplePos x="0" y="0"/>
                <wp:positionH relativeFrom="margin">
                  <wp:posOffset>2971800</wp:posOffset>
                </wp:positionH>
                <wp:positionV relativeFrom="paragraph">
                  <wp:posOffset>57259</wp:posOffset>
                </wp:positionV>
                <wp:extent cx="2898140" cy="2333625"/>
                <wp:effectExtent l="57150" t="38100" r="73660" b="104775"/>
                <wp:wrapSquare wrapText="bothSides"/>
                <wp:docPr id="2" name="Text Box 2"/>
                <wp:cNvGraphicFramePr/>
                <a:graphic xmlns:a="http://schemas.openxmlformats.org/drawingml/2006/main">
                  <a:graphicData uri="http://schemas.microsoft.com/office/word/2010/wordprocessingShape">
                    <wps:wsp>
                      <wps:cNvSpPr txBox="1"/>
                      <wps:spPr>
                        <a:xfrm>
                          <a:off x="0" y="0"/>
                          <a:ext cx="2898140" cy="233362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79B2C15E" w14:textId="2BE452CA" w:rsidR="00133485" w:rsidRPr="00375721" w:rsidRDefault="00133485" w:rsidP="007A6DD8">
                            <w:pPr>
                              <w:spacing w:after="120"/>
                              <w:jc w:val="center"/>
                              <w:rPr>
                                <w:rFonts w:asciiTheme="majorHAnsi" w:hAnsiTheme="majorHAnsi"/>
                                <w:b/>
                                <w:sz w:val="20"/>
                                <w:szCs w:val="20"/>
                              </w:rPr>
                            </w:pPr>
                            <w:r>
                              <w:rPr>
                                <w:rFonts w:asciiTheme="majorHAnsi" w:hAnsiTheme="majorHAnsi"/>
                                <w:b/>
                                <w:sz w:val="20"/>
                                <w:szCs w:val="20"/>
                              </w:rPr>
                              <w:t>Key Terms</w:t>
                            </w:r>
                          </w:p>
                          <w:p w14:paraId="59B123B1" w14:textId="77777777" w:rsidR="00133485" w:rsidRPr="005A7705" w:rsidRDefault="00133485" w:rsidP="007A6DD8">
                            <w:pPr>
                              <w:pStyle w:val="BulletLevel1"/>
                              <w:numPr>
                                <w:ilvl w:val="0"/>
                                <w:numId w:val="33"/>
                              </w:numPr>
                              <w:ind w:left="180" w:hanging="216"/>
                              <w:rPr>
                                <w:sz w:val="20"/>
                                <w:szCs w:val="20"/>
                              </w:rPr>
                            </w:pPr>
                            <w:r w:rsidRPr="005A7705">
                              <w:rPr>
                                <w:b/>
                                <w:i/>
                                <w:sz w:val="20"/>
                                <w:szCs w:val="20"/>
                              </w:rPr>
                              <w:t>Reporting-year incremental savings:</w:t>
                            </w:r>
                            <w:r w:rsidRPr="005A7705">
                              <w:rPr>
                                <w:sz w:val="20"/>
                                <w:szCs w:val="20"/>
                              </w:rPr>
                              <w:t xml:space="preserve"> the electricity savings quantified and verified as a result of EE activities operating for the first time in the reporting year; reported in annual megawatt hours (</w:t>
                            </w:r>
                            <w:proofErr w:type="spellStart"/>
                            <w:r w:rsidRPr="005A7705">
                              <w:rPr>
                                <w:sz w:val="20"/>
                                <w:szCs w:val="20"/>
                              </w:rPr>
                              <w:t>MWh</w:t>
                            </w:r>
                            <w:proofErr w:type="spellEnd"/>
                            <w:r w:rsidRPr="005A7705">
                              <w:rPr>
                                <w:sz w:val="20"/>
                                <w:szCs w:val="20"/>
                              </w:rPr>
                              <w:t xml:space="preserve">). </w:t>
                            </w:r>
                          </w:p>
                          <w:p w14:paraId="7BB3108B" w14:textId="77777777" w:rsidR="00133485" w:rsidRPr="005A7705" w:rsidRDefault="00133485" w:rsidP="007A6DD8">
                            <w:pPr>
                              <w:pStyle w:val="BulletLevel1"/>
                              <w:numPr>
                                <w:ilvl w:val="0"/>
                                <w:numId w:val="33"/>
                              </w:numPr>
                              <w:ind w:left="180" w:hanging="216"/>
                              <w:rPr>
                                <w:sz w:val="20"/>
                                <w:szCs w:val="20"/>
                              </w:rPr>
                            </w:pPr>
                            <w:r w:rsidRPr="005A7705">
                              <w:rPr>
                                <w:b/>
                                <w:i/>
                                <w:sz w:val="20"/>
                                <w:szCs w:val="20"/>
                              </w:rPr>
                              <w:t>Reporting-year cumulative savings:</w:t>
                            </w:r>
                            <w:r w:rsidRPr="005A7705">
                              <w:rPr>
                                <w:sz w:val="20"/>
                                <w:szCs w:val="20"/>
                              </w:rPr>
                              <w:t xml:space="preserve"> the electricity savings quantified and verified as a result of EE activities in the reporting year from both (a) EE activities operating for the first time in the reporting year and (b) EE activities initiated in prior years and still in effect; reported in megawatt hours (</w:t>
                            </w:r>
                            <w:proofErr w:type="spellStart"/>
                            <w:r w:rsidRPr="005A7705">
                              <w:rPr>
                                <w:sz w:val="20"/>
                                <w:szCs w:val="20"/>
                              </w:rPr>
                              <w:t>MWh</w:t>
                            </w:r>
                            <w:proofErr w:type="spellEnd"/>
                            <w:r w:rsidRPr="005A7705">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E82FA" id="Text Box 2" o:spid="_x0000_s1031" type="#_x0000_t202" style="position:absolute;margin-left:234pt;margin-top:4.5pt;width:228.2pt;height:183.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" fillcolor="#a7bfde [1620]" strokecolor="#4579b8 [3044]">
                <v:fill color2="#e4ecf5 [500]" rotate="t" angle="180" colors="0 #a3c4ff;22938f #bfd5ff;1 #e5eeff" focus="100%" type="gradient"/>
                <v:shadow on="t" color="black" opacity="24903f" origin=",.5" offset="0,.55556mm"/>
                <v:textbox>
                  <w:txbxContent>
                    <w:p w14:paraId="79B2C15E" w14:textId="2BE452CA" w:rsidR="00133485" w:rsidRPr="00375721" w:rsidRDefault="00133485" w:rsidP="007A6DD8">
                      <w:pPr>
                        <w:spacing w:after="120"/>
                        <w:jc w:val="center"/>
                        <w:rPr>
                          <w:rFonts w:asciiTheme="majorHAnsi" w:hAnsiTheme="majorHAnsi"/>
                          <w:b/>
                          <w:sz w:val="20"/>
                          <w:szCs w:val="20"/>
                        </w:rPr>
                      </w:pPr>
                      <w:r>
                        <w:rPr>
                          <w:rFonts w:asciiTheme="majorHAnsi" w:hAnsiTheme="majorHAnsi"/>
                          <w:b/>
                          <w:sz w:val="20"/>
                          <w:szCs w:val="20"/>
                        </w:rPr>
                        <w:t>Key Terms</w:t>
                      </w:r>
                    </w:p>
                    <w:p w14:paraId="59B123B1" w14:textId="77777777" w:rsidR="00133485" w:rsidRPr="005A7705" w:rsidRDefault="00133485" w:rsidP="007A6DD8">
                      <w:pPr>
                        <w:pStyle w:val="BulletLevel1"/>
                        <w:numPr>
                          <w:ilvl w:val="0"/>
                          <w:numId w:val="33"/>
                        </w:numPr>
                        <w:ind w:left="180" w:hanging="216"/>
                        <w:rPr>
                          <w:sz w:val="20"/>
                          <w:szCs w:val="20"/>
                        </w:rPr>
                      </w:pPr>
                      <w:r w:rsidRPr="005A7705">
                        <w:rPr>
                          <w:b/>
                          <w:i/>
                          <w:sz w:val="20"/>
                          <w:szCs w:val="20"/>
                        </w:rPr>
                        <w:t>Reporting-year incremental savings:</w:t>
                      </w:r>
                      <w:r w:rsidRPr="005A7705">
                        <w:rPr>
                          <w:sz w:val="20"/>
                          <w:szCs w:val="20"/>
                        </w:rPr>
                        <w:t xml:space="preserve"> the electricity savings quantified and verified as a result of EE activities operating for the first time in the reporting year; reported in annual megawatt hours (</w:t>
                      </w:r>
                      <w:proofErr w:type="spellStart"/>
                      <w:r w:rsidRPr="005A7705">
                        <w:rPr>
                          <w:sz w:val="20"/>
                          <w:szCs w:val="20"/>
                        </w:rPr>
                        <w:t>MWh</w:t>
                      </w:r>
                      <w:proofErr w:type="spellEnd"/>
                      <w:r w:rsidRPr="005A7705">
                        <w:rPr>
                          <w:sz w:val="20"/>
                          <w:szCs w:val="20"/>
                        </w:rPr>
                        <w:t xml:space="preserve">). </w:t>
                      </w:r>
                    </w:p>
                    <w:p w14:paraId="7BB3108B" w14:textId="77777777" w:rsidR="00133485" w:rsidRPr="005A7705" w:rsidRDefault="00133485" w:rsidP="007A6DD8">
                      <w:pPr>
                        <w:pStyle w:val="BulletLevel1"/>
                        <w:numPr>
                          <w:ilvl w:val="0"/>
                          <w:numId w:val="33"/>
                        </w:numPr>
                        <w:ind w:left="180" w:hanging="216"/>
                        <w:rPr>
                          <w:sz w:val="20"/>
                          <w:szCs w:val="20"/>
                        </w:rPr>
                      </w:pPr>
                      <w:r w:rsidRPr="005A7705">
                        <w:rPr>
                          <w:b/>
                          <w:i/>
                          <w:sz w:val="20"/>
                          <w:szCs w:val="20"/>
                        </w:rPr>
                        <w:t>Reporting-year cumulative savings:</w:t>
                      </w:r>
                      <w:r w:rsidRPr="005A7705">
                        <w:rPr>
                          <w:sz w:val="20"/>
                          <w:szCs w:val="20"/>
                        </w:rPr>
                        <w:t xml:space="preserve"> the electricity savings quantified and verified as a result of EE activities in the reporting year from both (a) EE activities operating for the first time in the reporting year and (b) EE activities initiated in prior years and still in effect; reported in megawatt hours (</w:t>
                      </w:r>
                      <w:proofErr w:type="spellStart"/>
                      <w:r w:rsidRPr="005A7705">
                        <w:rPr>
                          <w:sz w:val="20"/>
                          <w:szCs w:val="20"/>
                        </w:rPr>
                        <w:t>MWh</w:t>
                      </w:r>
                      <w:proofErr w:type="spellEnd"/>
                      <w:r w:rsidRPr="005A7705">
                        <w:rPr>
                          <w:sz w:val="20"/>
                          <w:szCs w:val="20"/>
                        </w:rPr>
                        <w:t>).</w:t>
                      </w:r>
                    </w:p>
                  </w:txbxContent>
                </v:textbox>
                <w10:wrap type="square" anchorx="margin"/>
              </v:shape>
            </w:pict>
          </mc:Fallback>
        </mc:AlternateContent>
      </w:r>
      <w:r w:rsidR="007A6DD8">
        <w:t>Current industry practices for reporting a</w:t>
      </w:r>
      <w:r w:rsidR="007A6DD8" w:rsidRPr="00CD2257">
        <w:t>nnual electricity savings var</w:t>
      </w:r>
      <w:r w:rsidR="007A6DD8">
        <w:t>ies</w:t>
      </w:r>
      <w:r w:rsidR="007A6DD8" w:rsidRPr="00CD2257">
        <w:t xml:space="preserve"> across</w:t>
      </w:r>
      <w:r w:rsidR="007A6DD8">
        <w:t xml:space="preserve"> states and EE providers with regard to specific content requirements, definitions, and timing. Local policy objectives, the brea</w:t>
      </w:r>
      <w:r w:rsidR="00330795">
        <w:t>d</w:t>
      </w:r>
      <w:r w:rsidR="007A6DD8">
        <w:t>th of EE activities, and other factors typically drive decisions about such reporting attributes.</w:t>
      </w:r>
      <w:r w:rsidR="001A5A18">
        <w:t xml:space="preserve"> </w:t>
      </w:r>
    </w:p>
    <w:p w14:paraId="299AFF44" w14:textId="5773C431" w:rsidR="007A6DD8" w:rsidRPr="00CD2257" w:rsidRDefault="007A6DD8" w:rsidP="007A6DD8">
      <w:pPr>
        <w:pStyle w:val="BodyText"/>
        <w:widowControl/>
      </w:pPr>
      <w:r>
        <w:t>The reporting process for consumer-funded EE programs typically involves projecting and reporting savings as part of the planning phase, as well as ongoing annual reporting as savings accrue over time.</w:t>
      </w:r>
      <w:r w:rsidR="001A5A18">
        <w:t xml:space="preserve"> </w:t>
      </w:r>
      <w:r>
        <w:t xml:space="preserve">This “ex-post” reporting is typically based on savings derived by applying one of the EM&amp;V methods described above in section </w:t>
      </w:r>
      <w:r w:rsidR="00414CBA">
        <w:t>2</w:t>
      </w:r>
      <w:r>
        <w:t xml:space="preserve">.1. In almost all cases, ongoing annual savings values are reported on an incremental and cumulative basis (see text-box </w:t>
      </w:r>
      <w:r w:rsidR="00075C89">
        <w:t>terms</w:t>
      </w:r>
      <w:r>
        <w:t>)</w:t>
      </w:r>
      <w:r w:rsidRPr="00CD2257">
        <w:t xml:space="preserve">. </w:t>
      </w:r>
    </w:p>
    <w:p w14:paraId="3A3F921E" w14:textId="77777777" w:rsidR="007A6DD8" w:rsidRPr="00CD2257" w:rsidRDefault="007A6DD8" w:rsidP="007A6DD8">
      <w:pPr>
        <w:pStyle w:val="BodyText"/>
        <w:widowControl/>
      </w:pPr>
      <w:r w:rsidRPr="00CD2257">
        <w:t xml:space="preserve">The </w:t>
      </w:r>
      <w:r>
        <w:t xml:space="preserve">regulatory requirements for EE reporting, as defined in the EPA’s emissions guidelines, are intended to </w:t>
      </w:r>
      <w:r w:rsidRPr="00CD2257">
        <w:t xml:space="preserve">support </w:t>
      </w:r>
      <w:r>
        <w:t xml:space="preserve">greater consistency across jurisdictions and EE providers in how savings data are quantified and collected. </w:t>
      </w:r>
      <w:r w:rsidRPr="00CD2257">
        <w:t>In addition</w:t>
      </w:r>
      <w:r w:rsidRPr="00C95CD7">
        <w:t>, the requirement to report both incremental and cumulative savings, and the associated timing provisions, are consistent with the Energy Information Agency’s (EIA) approach to collecting EE program data via Form 861</w:t>
      </w:r>
      <w:r w:rsidRPr="00C95CD7">
        <w:rPr>
          <w:rStyle w:val="FootnoteReference"/>
        </w:rPr>
        <w:footnoteReference w:id="25"/>
      </w:r>
      <w:r w:rsidRPr="00C95CD7">
        <w:t>.</w:t>
      </w:r>
      <w:r w:rsidRPr="00CD2257">
        <w:t xml:space="preserve"> </w:t>
      </w:r>
    </w:p>
    <w:p w14:paraId="33D56E81" w14:textId="77777777" w:rsidR="007A6DD8" w:rsidRDefault="007A6DD8" w:rsidP="007A6DD8">
      <w:pPr>
        <w:pStyle w:val="Heading3"/>
        <w:numPr>
          <w:ilvl w:val="2"/>
          <w:numId w:val="69"/>
        </w:numPr>
        <w:spacing w:before="240"/>
        <w:ind w:left="0"/>
      </w:pPr>
      <w:bookmarkStart w:id="147" w:name="_Toc422306700"/>
      <w:bookmarkStart w:id="148" w:name="_Toc422306937"/>
      <w:bookmarkStart w:id="149" w:name="_Toc422307078"/>
      <w:bookmarkStart w:id="150" w:name="_Toc422307210"/>
      <w:bookmarkStart w:id="151" w:name="_Toc422311313"/>
      <w:bookmarkStart w:id="152" w:name="_Toc422311447"/>
      <w:bookmarkStart w:id="153" w:name="_Toc422316671"/>
      <w:bookmarkStart w:id="154" w:name="_Toc422316810"/>
      <w:bookmarkStart w:id="155" w:name="_Toc422316950"/>
      <w:bookmarkStart w:id="156" w:name="_Toc426044633"/>
      <w:bookmarkEnd w:id="147"/>
      <w:bookmarkEnd w:id="148"/>
      <w:bookmarkEnd w:id="149"/>
      <w:bookmarkEnd w:id="150"/>
      <w:bookmarkEnd w:id="151"/>
      <w:bookmarkEnd w:id="152"/>
      <w:bookmarkEnd w:id="153"/>
      <w:bookmarkEnd w:id="154"/>
      <w:bookmarkEnd w:id="155"/>
      <w:r>
        <w:t>Applicable Guidance</w:t>
      </w:r>
      <w:bookmarkEnd w:id="156"/>
    </w:p>
    <w:p w14:paraId="0F768D1B" w14:textId="77777777" w:rsidR="009C06E7" w:rsidRDefault="007A6DD8" w:rsidP="000B4BCA">
      <w:pPr>
        <w:pStyle w:val="BulletLevel1"/>
      </w:pPr>
      <w:r>
        <w:t>W</w:t>
      </w:r>
      <w:r w:rsidRPr="008E5BC7">
        <w:t xml:space="preserve">hen using stipulated </w:t>
      </w:r>
      <w:r>
        <w:t>effective useful life (</w:t>
      </w:r>
      <w:r w:rsidRPr="008E5BC7">
        <w:t>EUL</w:t>
      </w:r>
      <w:r>
        <w:t>)</w:t>
      </w:r>
      <w:r w:rsidRPr="008E5BC7">
        <w:t xml:space="preserve"> values (see </w:t>
      </w:r>
      <w:r w:rsidR="00836232">
        <w:t>Section 2.8</w:t>
      </w:r>
      <w:r w:rsidRPr="008E5BC7">
        <w:t xml:space="preserve"> on </w:t>
      </w:r>
      <w:r w:rsidRPr="00F74D27">
        <w:rPr>
          <w:i/>
        </w:rPr>
        <w:t>Effective Useful Life and Persistence of Savings</w:t>
      </w:r>
      <w:r w:rsidRPr="008E5BC7">
        <w:t>)</w:t>
      </w:r>
      <w:r>
        <w:t xml:space="preserve"> for reporting savings</w:t>
      </w:r>
      <w:r w:rsidRPr="00CD2257">
        <w:t xml:space="preserve">, </w:t>
      </w:r>
      <w:r>
        <w:t xml:space="preserve">report </w:t>
      </w:r>
      <w:r w:rsidR="009C06E7">
        <w:t xml:space="preserve">savings </w:t>
      </w:r>
      <w:r w:rsidR="00330795">
        <w:t xml:space="preserve">pro rata based </w:t>
      </w:r>
      <w:r w:rsidR="009C06E7">
        <w:t xml:space="preserve">on </w:t>
      </w:r>
      <w:r w:rsidR="00330795">
        <w:t>the day the EE activity began saving energy during the reporting year.</w:t>
      </w:r>
    </w:p>
    <w:p w14:paraId="52100120" w14:textId="77777777" w:rsidR="009C06E7" w:rsidRDefault="009C06E7" w:rsidP="00D17FF5">
      <w:pPr>
        <w:pStyle w:val="BulletLevel2"/>
      </w:pPr>
      <w:r>
        <w:t>For emission standard plans in which EE generate</w:t>
      </w:r>
      <w:r w:rsidR="00F74D27">
        <w:t>s</w:t>
      </w:r>
      <w:r>
        <w:t xml:space="preserve"> ERCs, annual savings can be quantified for any consecutive 12-month period.</w:t>
      </w:r>
    </w:p>
    <w:p w14:paraId="4B080AEE" w14:textId="77777777" w:rsidR="00C86DF5" w:rsidRDefault="009C06E7" w:rsidP="00D17FF5">
      <w:pPr>
        <w:pStyle w:val="BulletLevel2"/>
      </w:pPr>
      <w:r>
        <w:t>For state measures plans, report s</w:t>
      </w:r>
      <w:r w:rsidRPr="00CD2257">
        <w:t>avings as if the</w:t>
      </w:r>
      <w:r>
        <w:t xml:space="preserve">y </w:t>
      </w:r>
      <w:r w:rsidRPr="00CD2257">
        <w:t xml:space="preserve">started </w:t>
      </w:r>
      <w:r>
        <w:t xml:space="preserve">accruing </w:t>
      </w:r>
      <w:r w:rsidRPr="00CD2257">
        <w:t xml:space="preserve">on January 1 of the reporting year and continued in the program for a full year (irrespective of </w:t>
      </w:r>
      <w:r w:rsidR="007A6DD8" w:rsidRPr="00CD2257">
        <w:t xml:space="preserve">which day the </w:t>
      </w:r>
      <w:r w:rsidR="007A6DD8">
        <w:t xml:space="preserve">EE activity </w:t>
      </w:r>
      <w:r w:rsidR="007A6DD8" w:rsidRPr="00CD2257">
        <w:t>began saving</w:t>
      </w:r>
      <w:r w:rsidR="007A6DD8">
        <w:t xml:space="preserve"> energy</w:t>
      </w:r>
      <w:r w:rsidR="007A6DD8" w:rsidRPr="00CD2257">
        <w:t>)</w:t>
      </w:r>
      <w:r w:rsidR="00C86DF5">
        <w:rPr>
          <w:rStyle w:val="FootnoteReference"/>
        </w:rPr>
        <w:footnoteReference w:id="26"/>
      </w:r>
      <w:r w:rsidR="007A6DD8" w:rsidRPr="00CD2257">
        <w:t>.</w:t>
      </w:r>
      <w:r w:rsidR="007A6DD8">
        <w:t xml:space="preserve"> </w:t>
      </w:r>
    </w:p>
    <w:p w14:paraId="0E98324B" w14:textId="77777777" w:rsidR="007A6DD8" w:rsidRDefault="007A6DD8" w:rsidP="007A6DD8">
      <w:pPr>
        <w:pStyle w:val="BulletLevel1"/>
      </w:pPr>
      <w:r>
        <w:t>Report c</w:t>
      </w:r>
      <w:r w:rsidRPr="00F75E11">
        <w:t>urrent year incremental and cumulative savings values on the</w:t>
      </w:r>
      <w:r>
        <w:t xml:space="preserve"> basis of the</w:t>
      </w:r>
      <w:r w:rsidRPr="00F75E11">
        <w:t xml:space="preserve"> best </w:t>
      </w:r>
      <w:r>
        <w:t xml:space="preserve">available </w:t>
      </w:r>
      <w:r w:rsidRPr="00F75E11">
        <w:t>information at the time of reporting</w:t>
      </w:r>
      <w:r>
        <w:t xml:space="preserve">. Incorporate new information </w:t>
      </w:r>
      <w:r w:rsidR="00F74D27">
        <w:t xml:space="preserve">gained from routine and ongoing EM&amp;V activities </w:t>
      </w:r>
      <w:r>
        <w:t xml:space="preserve">on a </w:t>
      </w:r>
      <w:r w:rsidRPr="00F75E11">
        <w:t xml:space="preserve">going-forward basis. </w:t>
      </w:r>
    </w:p>
    <w:p w14:paraId="7FCE14F3" w14:textId="77777777" w:rsidR="007A6DD8" w:rsidRPr="00CD2257" w:rsidRDefault="00E94042" w:rsidP="007A6DD8">
      <w:pPr>
        <w:pStyle w:val="BulletLevel2"/>
      </w:pPr>
      <w:r>
        <w:t>The</w:t>
      </w:r>
      <w:r w:rsidRPr="00F75E11">
        <w:t xml:space="preserve"> </w:t>
      </w:r>
      <w:r w:rsidR="007A6DD8" w:rsidRPr="00F75E11">
        <w:t xml:space="preserve">text box </w:t>
      </w:r>
      <w:r w:rsidR="007A6DD8">
        <w:t>that illustrates how forward adjustments can be applied</w:t>
      </w:r>
      <w:r w:rsidR="007A6DD8" w:rsidRPr="00F75E11">
        <w:t>.</w:t>
      </w:r>
    </w:p>
    <w:p w14:paraId="2006A6D7" w14:textId="77777777" w:rsidR="007A6DD8" w:rsidRPr="009D76DC" w:rsidRDefault="00EE05E7" w:rsidP="007A6DD8">
      <w:pPr>
        <w:pStyle w:val="Heading2"/>
        <w:numPr>
          <w:ilvl w:val="1"/>
          <w:numId w:val="69"/>
        </w:numPr>
      </w:pPr>
      <w:bookmarkStart w:id="157" w:name="_Toc422306703"/>
      <w:bookmarkStart w:id="158" w:name="_Toc422306940"/>
      <w:bookmarkStart w:id="159" w:name="_Toc422307081"/>
      <w:bookmarkStart w:id="160" w:name="_Toc422307213"/>
      <w:bookmarkStart w:id="161" w:name="_Toc422311316"/>
      <w:bookmarkStart w:id="162" w:name="_Toc422311450"/>
      <w:bookmarkStart w:id="163" w:name="_Toc422316674"/>
      <w:bookmarkStart w:id="164" w:name="_Toc422316813"/>
      <w:bookmarkStart w:id="165" w:name="_Toc422316953"/>
      <w:bookmarkStart w:id="166" w:name="_Toc423437595"/>
      <w:bookmarkStart w:id="167" w:name="_Toc423437597"/>
      <w:bookmarkStart w:id="168" w:name="_Toc426044634"/>
      <w:bookmarkEnd w:id="157"/>
      <w:bookmarkEnd w:id="158"/>
      <w:bookmarkEnd w:id="159"/>
      <w:bookmarkEnd w:id="160"/>
      <w:bookmarkEnd w:id="161"/>
      <w:bookmarkEnd w:id="162"/>
      <w:bookmarkEnd w:id="163"/>
      <w:bookmarkEnd w:id="164"/>
      <w:bookmarkEnd w:id="165"/>
      <w:bookmarkEnd w:id="166"/>
      <w:bookmarkEnd w:id="167"/>
      <w:r w:rsidRPr="00CB6FBA">
        <w:rPr>
          <w:b w:val="0"/>
          <w:i/>
          <w:noProof/>
        </w:rPr>
        <w:lastRenderedPageBreak/>
        <mc:AlternateContent>
          <mc:Choice Requires="wps">
            <w:drawing>
              <wp:anchor distT="0" distB="0" distL="114300" distR="114300" simplePos="0" relativeHeight="251660800" behindDoc="0" locked="0" layoutInCell="1" allowOverlap="1" wp14:anchorId="4B85F94D" wp14:editId="6DB9DDFB">
                <wp:simplePos x="0" y="0"/>
                <wp:positionH relativeFrom="margin">
                  <wp:posOffset>0</wp:posOffset>
                </wp:positionH>
                <wp:positionV relativeFrom="paragraph">
                  <wp:posOffset>182880</wp:posOffset>
                </wp:positionV>
                <wp:extent cx="6272784" cy="2459736"/>
                <wp:effectExtent l="0" t="0" r="13970" b="12700"/>
                <wp:wrapSquare wrapText="bothSides"/>
                <wp:docPr id="7" name="Text Box 7"/>
                <wp:cNvGraphicFramePr/>
                <a:graphic xmlns:a="http://schemas.openxmlformats.org/drawingml/2006/main">
                  <a:graphicData uri="http://schemas.microsoft.com/office/word/2010/wordprocessingShape">
                    <wps:wsp>
                      <wps:cNvSpPr txBox="1"/>
                      <wps:spPr>
                        <a:xfrm>
                          <a:off x="0" y="0"/>
                          <a:ext cx="6272784" cy="2459736"/>
                        </a:xfrm>
                        <a:prstGeom prst="rect">
                          <a:avLst/>
                        </a:prstGeom>
                        <a:solidFill>
                          <a:srgbClr val="D1E1FF"/>
                        </a:solidFill>
                        <a:ln w="19050">
                          <a:solidFill>
                            <a:srgbClr val="4A7EBB"/>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4B36FD33" w14:textId="77777777" w:rsidR="00133485" w:rsidRPr="000F54FA" w:rsidRDefault="00133485" w:rsidP="007A6DD8">
                            <w:pPr>
                              <w:pStyle w:val="BodyTextBold"/>
                              <w:rPr>
                                <w:sz w:val="20"/>
                                <w:szCs w:val="20"/>
                              </w:rPr>
                            </w:pPr>
                            <w:r w:rsidRPr="000F54FA">
                              <w:rPr>
                                <w:sz w:val="20"/>
                                <w:szCs w:val="20"/>
                              </w:rPr>
                              <w:t xml:space="preserve">Example of Forward Adjustments to EE Savings </w:t>
                            </w:r>
                          </w:p>
                          <w:p w14:paraId="179C7A67" w14:textId="77777777" w:rsidR="00133485" w:rsidRPr="000F54FA" w:rsidRDefault="00133485" w:rsidP="007A6DD8">
                            <w:pPr>
                              <w:pStyle w:val="BodyText"/>
                              <w:spacing w:after="120"/>
                              <w:rPr>
                                <w:sz w:val="20"/>
                                <w:szCs w:val="20"/>
                              </w:rPr>
                            </w:pPr>
                            <w:r w:rsidRPr="000F54FA">
                              <w:rPr>
                                <w:sz w:val="20"/>
                                <w:szCs w:val="20"/>
                              </w:rPr>
                              <w:t xml:space="preserve">If a program is determined to save 10,000 </w:t>
                            </w:r>
                            <w:proofErr w:type="spellStart"/>
                            <w:r w:rsidRPr="000F54FA">
                              <w:rPr>
                                <w:sz w:val="20"/>
                                <w:szCs w:val="20"/>
                              </w:rPr>
                              <w:t>MWh</w:t>
                            </w:r>
                            <w:proofErr w:type="spellEnd"/>
                            <w:r w:rsidRPr="000F54FA">
                              <w:rPr>
                                <w:sz w:val="20"/>
                                <w:szCs w:val="20"/>
                              </w:rPr>
                              <w:t xml:space="preserve"> per year for 10 years starting in Year X, 10,000 </w:t>
                            </w:r>
                            <w:proofErr w:type="spellStart"/>
                            <w:r w:rsidRPr="000F54FA">
                              <w:rPr>
                                <w:sz w:val="20"/>
                                <w:szCs w:val="20"/>
                              </w:rPr>
                              <w:t>MWh</w:t>
                            </w:r>
                            <w:proofErr w:type="spellEnd"/>
                            <w:r w:rsidRPr="000F54FA">
                              <w:rPr>
                                <w:sz w:val="20"/>
                                <w:szCs w:val="20"/>
                              </w:rPr>
                              <w:t xml:space="preserve"> may be used as the amount of incremental savings in Year X and 10,000 </w:t>
                            </w:r>
                            <w:proofErr w:type="spellStart"/>
                            <w:r w:rsidRPr="000F54FA">
                              <w:rPr>
                                <w:sz w:val="20"/>
                                <w:szCs w:val="20"/>
                              </w:rPr>
                              <w:t>MWh</w:t>
                            </w:r>
                            <w:proofErr w:type="spellEnd"/>
                            <w:r w:rsidRPr="000F54FA">
                              <w:rPr>
                                <w:sz w:val="20"/>
                                <w:szCs w:val="20"/>
                              </w:rPr>
                              <w:t xml:space="preserve"> may be used for reporting cumulative savings in Years X + 1 through X + 9. If during Year X + 3 a better annual savings value for that program is determined to be 9,500 </w:t>
                            </w:r>
                            <w:proofErr w:type="spellStart"/>
                            <w:r w:rsidRPr="000F54FA">
                              <w:rPr>
                                <w:sz w:val="20"/>
                                <w:szCs w:val="20"/>
                              </w:rPr>
                              <w:t>MWh</w:t>
                            </w:r>
                            <w:proofErr w:type="spellEnd"/>
                            <w:r w:rsidRPr="000F54FA">
                              <w:rPr>
                                <w:sz w:val="20"/>
                                <w:szCs w:val="20"/>
                              </w:rPr>
                              <w:t xml:space="preserve">, 9,500 </w:t>
                            </w:r>
                            <w:proofErr w:type="spellStart"/>
                            <w:r w:rsidRPr="000F54FA">
                              <w:rPr>
                                <w:sz w:val="20"/>
                                <w:szCs w:val="20"/>
                              </w:rPr>
                              <w:t>MWh</w:t>
                            </w:r>
                            <w:proofErr w:type="spellEnd"/>
                            <w:r w:rsidRPr="000F54FA">
                              <w:rPr>
                                <w:sz w:val="20"/>
                                <w:szCs w:val="20"/>
                              </w:rPr>
                              <w:t xml:space="preserve"> should be used for reporting cumulative savings starting in Years X + 3 through X + 9. Examples of significant new information that could cause an update in savings values include:</w:t>
                            </w:r>
                          </w:p>
                          <w:p w14:paraId="691071F8" w14:textId="77777777" w:rsidR="00133485" w:rsidRPr="000F54FA" w:rsidRDefault="00133485" w:rsidP="007A6DD8">
                            <w:pPr>
                              <w:pStyle w:val="BulletLevel1"/>
                              <w:numPr>
                                <w:ilvl w:val="0"/>
                                <w:numId w:val="33"/>
                              </w:numPr>
                              <w:rPr>
                                <w:sz w:val="20"/>
                                <w:szCs w:val="20"/>
                              </w:rPr>
                            </w:pPr>
                            <w:r w:rsidRPr="000F54FA">
                              <w:rPr>
                                <w:sz w:val="20"/>
                                <w:szCs w:val="20"/>
                              </w:rPr>
                              <w:t xml:space="preserve">Savings are adjusted because of verification activities; for example, savings might be zeroed for EE actions in facilities that have been shut down or savings are reduced if high level of savings degradation/performance is determined. </w:t>
                            </w:r>
                          </w:p>
                          <w:p w14:paraId="36F12BE8" w14:textId="77777777" w:rsidR="00133485" w:rsidRPr="000F54FA" w:rsidRDefault="00133485" w:rsidP="007A6DD8">
                            <w:pPr>
                              <w:pStyle w:val="BulletLevel1"/>
                              <w:numPr>
                                <w:ilvl w:val="0"/>
                                <w:numId w:val="33"/>
                              </w:numPr>
                              <w:rPr>
                                <w:sz w:val="20"/>
                                <w:szCs w:val="20"/>
                              </w:rPr>
                            </w:pPr>
                            <w:r w:rsidRPr="000F54FA">
                              <w:rPr>
                                <w:sz w:val="20"/>
                                <w:szCs w:val="20"/>
                              </w:rPr>
                              <w:t xml:space="preserve">Savings are adjusted because of new cycles of savings determination (see </w:t>
                            </w:r>
                            <w:r>
                              <w:rPr>
                                <w:sz w:val="20"/>
                                <w:szCs w:val="20"/>
                              </w:rPr>
                              <w:t>Section 2.9</w:t>
                            </w:r>
                            <w:r w:rsidRPr="000F54FA">
                              <w:rPr>
                                <w:sz w:val="20"/>
                                <w:szCs w:val="20"/>
                              </w:rPr>
                              <w:t xml:space="preserve"> on verification and evaluation cycles); for example, savings are updated when an applicable deemed savings value is modified/</w:t>
                            </w:r>
                            <w:r w:rsidRPr="000F54FA" w:rsidDel="008D6F4E">
                              <w:rPr>
                                <w:sz w:val="20"/>
                                <w:szCs w:val="20"/>
                              </w:rPr>
                              <w:t>updated</w:t>
                            </w:r>
                            <w:r w:rsidRPr="000F54FA">
                              <w:rPr>
                                <w:sz w:val="20"/>
                                <w:szCs w:val="20"/>
                              </w:rPr>
                              <w:t xml:space="preserve"> in an approved database.</w:t>
                            </w:r>
                          </w:p>
                          <w:p w14:paraId="5D2E43F0" w14:textId="77777777" w:rsidR="00133485" w:rsidRPr="00CD2257" w:rsidRDefault="00133485" w:rsidP="007A6DD8">
                            <w:pPr>
                              <w:pStyle w:val="BulletLevel1"/>
                              <w:numPr>
                                <w:ilvl w:val="0"/>
                                <w:numId w:val="33"/>
                              </w:numPr>
                            </w:pPr>
                            <w:r w:rsidRPr="000F54FA">
                              <w:rPr>
                                <w:sz w:val="20"/>
                                <w:szCs w:val="20"/>
                              </w:rPr>
                              <w:t>Savings values are updated when errors are found in prior-year savings calculations.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B85F94D" id="Text Box 7" o:spid="_x0000_s1032" type="#_x0000_t202" style="position:absolute;left:0;text-align:left;margin-left:0;margin-top:14.4pt;width:493.9pt;height:193.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" fillcolor="#d1e1ff" strokecolor="#4a7ebb" strokeweight="1.5pt">
                <v:textbox style="mso-fit-shape-to-text:t">
                  <w:txbxContent>
                    <w:p w14:paraId="4B36FD33" w14:textId="77777777" w:rsidR="00133485" w:rsidRPr="000F54FA" w:rsidRDefault="00133485" w:rsidP="007A6DD8">
                      <w:pPr>
                        <w:pStyle w:val="BodyTextBold"/>
                        <w:rPr>
                          <w:sz w:val="20"/>
                          <w:szCs w:val="20"/>
                        </w:rPr>
                      </w:pPr>
                      <w:r w:rsidRPr="000F54FA">
                        <w:rPr>
                          <w:sz w:val="20"/>
                          <w:szCs w:val="20"/>
                        </w:rPr>
                        <w:t xml:space="preserve">Example of Forward Adjustments to EE Savings </w:t>
                      </w:r>
                    </w:p>
                    <w:p w14:paraId="179C7A67" w14:textId="77777777" w:rsidR="00133485" w:rsidRPr="000F54FA" w:rsidRDefault="00133485" w:rsidP="007A6DD8">
                      <w:pPr>
                        <w:pStyle w:val="BodyText"/>
                        <w:spacing w:after="120"/>
                        <w:rPr>
                          <w:sz w:val="20"/>
                          <w:szCs w:val="20"/>
                        </w:rPr>
                      </w:pPr>
                      <w:r w:rsidRPr="000F54FA">
                        <w:rPr>
                          <w:sz w:val="20"/>
                          <w:szCs w:val="20"/>
                        </w:rPr>
                        <w:t xml:space="preserve">If a program is determined to save 10,000 </w:t>
                      </w:r>
                      <w:proofErr w:type="spellStart"/>
                      <w:r w:rsidRPr="000F54FA">
                        <w:rPr>
                          <w:sz w:val="20"/>
                          <w:szCs w:val="20"/>
                        </w:rPr>
                        <w:t>MWh</w:t>
                      </w:r>
                      <w:proofErr w:type="spellEnd"/>
                      <w:r w:rsidRPr="000F54FA">
                        <w:rPr>
                          <w:sz w:val="20"/>
                          <w:szCs w:val="20"/>
                        </w:rPr>
                        <w:t xml:space="preserve"> per year for 10 years starting in Year X, 10,000 </w:t>
                      </w:r>
                      <w:proofErr w:type="spellStart"/>
                      <w:r w:rsidRPr="000F54FA">
                        <w:rPr>
                          <w:sz w:val="20"/>
                          <w:szCs w:val="20"/>
                        </w:rPr>
                        <w:t>MWh</w:t>
                      </w:r>
                      <w:proofErr w:type="spellEnd"/>
                      <w:r w:rsidRPr="000F54FA">
                        <w:rPr>
                          <w:sz w:val="20"/>
                          <w:szCs w:val="20"/>
                        </w:rPr>
                        <w:t xml:space="preserve"> may be used as the amount of incremental savings in Year X and 10,000 </w:t>
                      </w:r>
                      <w:proofErr w:type="spellStart"/>
                      <w:r w:rsidRPr="000F54FA">
                        <w:rPr>
                          <w:sz w:val="20"/>
                          <w:szCs w:val="20"/>
                        </w:rPr>
                        <w:t>MWh</w:t>
                      </w:r>
                      <w:proofErr w:type="spellEnd"/>
                      <w:r w:rsidRPr="000F54FA">
                        <w:rPr>
                          <w:sz w:val="20"/>
                          <w:szCs w:val="20"/>
                        </w:rPr>
                        <w:t xml:space="preserve"> may be used for reporting cumulative savings in Years X + 1 through X + 9. If during Year X + 3 a better annual savings value for that program is determined to be 9,500 </w:t>
                      </w:r>
                      <w:proofErr w:type="spellStart"/>
                      <w:r w:rsidRPr="000F54FA">
                        <w:rPr>
                          <w:sz w:val="20"/>
                          <w:szCs w:val="20"/>
                        </w:rPr>
                        <w:t>MWh</w:t>
                      </w:r>
                      <w:proofErr w:type="spellEnd"/>
                      <w:r w:rsidRPr="000F54FA">
                        <w:rPr>
                          <w:sz w:val="20"/>
                          <w:szCs w:val="20"/>
                        </w:rPr>
                        <w:t xml:space="preserve">, 9,500 </w:t>
                      </w:r>
                      <w:proofErr w:type="spellStart"/>
                      <w:r w:rsidRPr="000F54FA">
                        <w:rPr>
                          <w:sz w:val="20"/>
                          <w:szCs w:val="20"/>
                        </w:rPr>
                        <w:t>MWh</w:t>
                      </w:r>
                      <w:proofErr w:type="spellEnd"/>
                      <w:r w:rsidRPr="000F54FA">
                        <w:rPr>
                          <w:sz w:val="20"/>
                          <w:szCs w:val="20"/>
                        </w:rPr>
                        <w:t xml:space="preserve"> should be used for reporting cumulative savings starting in Years X + 3 through X + 9. Examples of significant new information that could cause an update in savings values include:</w:t>
                      </w:r>
                    </w:p>
                    <w:p w14:paraId="691071F8" w14:textId="77777777" w:rsidR="00133485" w:rsidRPr="000F54FA" w:rsidRDefault="00133485" w:rsidP="007A6DD8">
                      <w:pPr>
                        <w:pStyle w:val="BulletLevel1"/>
                        <w:numPr>
                          <w:ilvl w:val="0"/>
                          <w:numId w:val="33"/>
                        </w:numPr>
                        <w:rPr>
                          <w:sz w:val="20"/>
                          <w:szCs w:val="20"/>
                        </w:rPr>
                      </w:pPr>
                      <w:r w:rsidRPr="000F54FA">
                        <w:rPr>
                          <w:sz w:val="20"/>
                          <w:szCs w:val="20"/>
                        </w:rPr>
                        <w:t xml:space="preserve">Savings are adjusted because of verification activities; for example, savings might be zeroed for EE actions in facilities that have been shut down or savings are reduced if high level of savings degradation/performance is determined. </w:t>
                      </w:r>
                    </w:p>
                    <w:p w14:paraId="36F12BE8" w14:textId="77777777" w:rsidR="00133485" w:rsidRPr="000F54FA" w:rsidRDefault="00133485" w:rsidP="007A6DD8">
                      <w:pPr>
                        <w:pStyle w:val="BulletLevel1"/>
                        <w:numPr>
                          <w:ilvl w:val="0"/>
                          <w:numId w:val="33"/>
                        </w:numPr>
                        <w:rPr>
                          <w:sz w:val="20"/>
                          <w:szCs w:val="20"/>
                        </w:rPr>
                      </w:pPr>
                      <w:r w:rsidRPr="000F54FA">
                        <w:rPr>
                          <w:sz w:val="20"/>
                          <w:szCs w:val="20"/>
                        </w:rPr>
                        <w:t xml:space="preserve">Savings are adjusted because of new cycles of savings determination (see </w:t>
                      </w:r>
                      <w:r>
                        <w:rPr>
                          <w:sz w:val="20"/>
                          <w:szCs w:val="20"/>
                        </w:rPr>
                        <w:t>Section 2.9</w:t>
                      </w:r>
                      <w:r w:rsidRPr="000F54FA">
                        <w:rPr>
                          <w:sz w:val="20"/>
                          <w:szCs w:val="20"/>
                        </w:rPr>
                        <w:t xml:space="preserve"> on verification and evaluation cycles); for example, savings are updated when an applicable deemed savings value is modified/</w:t>
                      </w:r>
                      <w:r w:rsidRPr="000F54FA" w:rsidDel="008D6F4E">
                        <w:rPr>
                          <w:sz w:val="20"/>
                          <w:szCs w:val="20"/>
                        </w:rPr>
                        <w:t>updated</w:t>
                      </w:r>
                      <w:r w:rsidRPr="000F54FA">
                        <w:rPr>
                          <w:sz w:val="20"/>
                          <w:szCs w:val="20"/>
                        </w:rPr>
                        <w:t xml:space="preserve"> in an approved database.</w:t>
                      </w:r>
                    </w:p>
                    <w:p w14:paraId="5D2E43F0" w14:textId="77777777" w:rsidR="00133485" w:rsidRPr="00CD2257" w:rsidRDefault="00133485" w:rsidP="007A6DD8">
                      <w:pPr>
                        <w:pStyle w:val="BulletLevel1"/>
                        <w:numPr>
                          <w:ilvl w:val="0"/>
                          <w:numId w:val="33"/>
                        </w:numPr>
                      </w:pPr>
                      <w:r w:rsidRPr="000F54FA">
                        <w:rPr>
                          <w:sz w:val="20"/>
                          <w:szCs w:val="20"/>
                        </w:rPr>
                        <w:t>Savings values are updated when errors are found in prior-year savings calculations.</w:t>
                      </w:r>
                      <w:r>
                        <w:t xml:space="preserve"> </w:t>
                      </w:r>
                    </w:p>
                  </w:txbxContent>
                </v:textbox>
                <w10:wrap type="square" anchorx="margin"/>
              </v:shape>
            </w:pict>
          </mc:Fallback>
        </mc:AlternateContent>
      </w:r>
      <w:r w:rsidR="007A6DD8" w:rsidRPr="009D76DC">
        <w:t>Deemed Savings</w:t>
      </w:r>
      <w:bookmarkEnd w:id="168"/>
      <w:r w:rsidR="007A6DD8" w:rsidRPr="009D76DC">
        <w:t xml:space="preserve"> </w:t>
      </w:r>
    </w:p>
    <w:p w14:paraId="3A3B439F" w14:textId="77777777" w:rsidR="007A6DD8" w:rsidRPr="000B4C65" w:rsidRDefault="007A6DD8" w:rsidP="007A6DD8">
      <w:pPr>
        <w:pStyle w:val="Heading3"/>
        <w:numPr>
          <w:ilvl w:val="2"/>
          <w:numId w:val="69"/>
        </w:numPr>
        <w:spacing w:before="240"/>
        <w:ind w:left="0"/>
      </w:pPr>
      <w:bookmarkStart w:id="169" w:name="_Toc422311319"/>
      <w:bookmarkStart w:id="170" w:name="_Toc422311453"/>
      <w:bookmarkStart w:id="171" w:name="_Toc422316677"/>
      <w:bookmarkStart w:id="172" w:name="_Toc422316816"/>
      <w:bookmarkStart w:id="173" w:name="_Toc422316956"/>
      <w:bookmarkStart w:id="174" w:name="_Toc423437599"/>
      <w:bookmarkStart w:id="175" w:name="_Toc423447662"/>
      <w:bookmarkStart w:id="176" w:name="_Toc422316957"/>
      <w:bookmarkStart w:id="177" w:name="_Toc426044635"/>
      <w:bookmarkEnd w:id="169"/>
      <w:bookmarkEnd w:id="170"/>
      <w:bookmarkEnd w:id="171"/>
      <w:bookmarkEnd w:id="172"/>
      <w:bookmarkEnd w:id="173"/>
      <w:bookmarkEnd w:id="174"/>
      <w:bookmarkEnd w:id="175"/>
      <w:r w:rsidRPr="000B4C65">
        <w:t>Discussion</w:t>
      </w:r>
      <w:bookmarkEnd w:id="176"/>
      <w:bookmarkEnd w:id="177"/>
    </w:p>
    <w:p w14:paraId="0E9E0979" w14:textId="77777777" w:rsidR="007A6DD8" w:rsidRDefault="007A6DD8" w:rsidP="00EC0DB3">
      <w:pPr>
        <w:pStyle w:val="BodyText"/>
        <w:widowControl/>
      </w:pPr>
      <w:r>
        <w:t xml:space="preserve">As described in </w:t>
      </w:r>
      <w:r w:rsidR="006F0684">
        <w:t>S</w:t>
      </w:r>
      <w:r>
        <w:t xml:space="preserve">ection </w:t>
      </w:r>
      <w:r w:rsidR="006F0684">
        <w:t>2</w:t>
      </w:r>
      <w:r>
        <w:t>.1 above, o</w:t>
      </w:r>
      <w:r w:rsidRPr="009D76DC">
        <w:t xml:space="preserve">ne </w:t>
      </w:r>
      <w:r w:rsidR="00EC0DB3">
        <w:t xml:space="preserve">of the </w:t>
      </w:r>
      <w:r w:rsidR="00EE05E7">
        <w:t>three</w:t>
      </w:r>
      <w:r w:rsidR="00EC0DB3">
        <w:t xml:space="preserve"> categories of EM&amp;V</w:t>
      </w:r>
      <w:r>
        <w:t xml:space="preserve"> method</w:t>
      </w:r>
      <w:r w:rsidR="00EC0DB3">
        <w:t>s</w:t>
      </w:r>
      <w:r>
        <w:t xml:space="preserve"> for quantifying savings is the application of </w:t>
      </w:r>
      <w:r w:rsidRPr="009D76DC">
        <w:t>deemed</w:t>
      </w:r>
      <w:r>
        <w:t xml:space="preserve"> savings</w:t>
      </w:r>
      <w:r w:rsidRPr="009D76DC">
        <w:t xml:space="preserve">. </w:t>
      </w:r>
      <w:r>
        <w:t xml:space="preserve">Deemed values are appropriately applied </w:t>
      </w:r>
      <w:r w:rsidR="00EC0DB3">
        <w:t xml:space="preserve">only </w:t>
      </w:r>
      <w:r>
        <w:t xml:space="preserve">to relatively </w:t>
      </w:r>
      <w:r w:rsidRPr="000B4C65">
        <w:t xml:space="preserve">simple, well-defined efficiency measures </w:t>
      </w:r>
      <w:r>
        <w:t xml:space="preserve">such as light bulbs or </w:t>
      </w:r>
      <w:r w:rsidR="008A66A0">
        <w:t xml:space="preserve">specific pieces of </w:t>
      </w:r>
      <w:r>
        <w:t xml:space="preserve">equipment for which the </w:t>
      </w:r>
      <w:r w:rsidRPr="000B4C65">
        <w:t xml:space="preserve">performance characteristics and </w:t>
      </w:r>
      <w:r>
        <w:t xml:space="preserve">location-specific </w:t>
      </w:r>
      <w:r w:rsidRPr="000B4C65">
        <w:t>conditions are well known</w:t>
      </w:r>
      <w:r>
        <w:t xml:space="preserve">. In these instances, </w:t>
      </w:r>
      <w:r w:rsidRPr="000B4C65">
        <w:t xml:space="preserve">a deemed savings approach can provide </w:t>
      </w:r>
      <w:r>
        <w:t xml:space="preserve">reasonable </w:t>
      </w:r>
      <w:r w:rsidRPr="000B4C65">
        <w:t xml:space="preserve">reliable </w:t>
      </w:r>
      <w:r>
        <w:t xml:space="preserve">and accurate </w:t>
      </w:r>
      <w:r w:rsidRPr="000B4C65">
        <w:t>savings values</w:t>
      </w:r>
      <w:r>
        <w:t>,</w:t>
      </w:r>
      <w:r w:rsidRPr="000B4C65">
        <w:t xml:space="preserve"> on average. </w:t>
      </w:r>
    </w:p>
    <w:p w14:paraId="5FDE3136" w14:textId="77777777" w:rsidR="007A6DD8" w:rsidRPr="007B0115" w:rsidRDefault="007A6DD8" w:rsidP="007A6DD8">
      <w:pPr>
        <w:pStyle w:val="BodyText"/>
        <w:widowControl/>
        <w:rPr>
          <w:rFonts w:asciiTheme="majorHAnsi" w:hAnsiTheme="majorHAnsi" w:cstheme="majorHAnsi"/>
        </w:rPr>
      </w:pPr>
      <w:r>
        <w:t>Because</w:t>
      </w:r>
      <w:r w:rsidRPr="000B4C65">
        <w:t xml:space="preserve"> the</w:t>
      </w:r>
      <w:r>
        <w:t xml:space="preserve">se </w:t>
      </w:r>
      <w:r w:rsidRPr="000B4C65">
        <w:t xml:space="preserve">stipulated </w:t>
      </w:r>
      <w:r>
        <w:t>values are agreed upon in advance</w:t>
      </w:r>
      <w:r w:rsidRPr="000B4C65">
        <w:t xml:space="preserve">, deemed savings can help alleviate some of the guesswork in program planning and design. </w:t>
      </w:r>
      <w:r>
        <w:t>D</w:t>
      </w:r>
      <w:r w:rsidRPr="000B4C65">
        <w:t xml:space="preserve">eemed savings can </w:t>
      </w:r>
      <w:r>
        <w:t xml:space="preserve">also </w:t>
      </w:r>
      <w:r w:rsidRPr="000B4C65">
        <w:t>result in a form of r</w:t>
      </w:r>
      <w:r>
        <w:t>is</w:t>
      </w:r>
      <w:r w:rsidRPr="000B4C65">
        <w:t>k</w:t>
      </w:r>
      <w:r>
        <w:t xml:space="preserve">, in which </w:t>
      </w:r>
      <w:r w:rsidRPr="000B4C65">
        <w:t>overestimates</w:t>
      </w:r>
      <w:r>
        <w:rPr>
          <w:rFonts w:ascii="MS Gothic" w:eastAsia="MS Gothic" w:hAnsi="MS Gothic" w:cs="MS Gothic" w:hint="eastAsia"/>
        </w:rPr>
        <w:t xml:space="preserve"> </w:t>
      </w:r>
      <w:r w:rsidRPr="000B4C65">
        <w:t xml:space="preserve">or underestimates of savings </w:t>
      </w:r>
      <w:r>
        <w:t xml:space="preserve">can occur when EE </w:t>
      </w:r>
      <w:r w:rsidRPr="000B4C65">
        <w:t xml:space="preserve">projects or </w:t>
      </w:r>
      <w:r>
        <w:t xml:space="preserve">measures </w:t>
      </w:r>
      <w:r w:rsidRPr="000B4C65">
        <w:t>do not perform as expected</w:t>
      </w:r>
      <w:r>
        <w:t xml:space="preserve">, or if deemed values are </w:t>
      </w:r>
      <w:r w:rsidRPr="000B4C65">
        <w:t xml:space="preserve">applied </w:t>
      </w:r>
      <w:r>
        <w:t>in the wrong circumstances</w:t>
      </w:r>
      <w:r w:rsidRPr="000B4C65">
        <w:t>.</w:t>
      </w:r>
      <w:r w:rsidR="001A5A18">
        <w:t xml:space="preserve"> </w:t>
      </w:r>
      <w:r>
        <w:t>The v</w:t>
      </w:r>
      <w:r w:rsidRPr="000B4C65">
        <w:t>erification activities</w:t>
      </w:r>
      <w:r>
        <w:t xml:space="preserve"> commonly required by state PUCs and other oversight and management bodies can alleviate this risk</w:t>
      </w:r>
      <w:r>
        <w:rPr>
          <w:rStyle w:val="FootnoteReference"/>
        </w:rPr>
        <w:footnoteReference w:id="27"/>
      </w:r>
      <w:r>
        <w:t>.</w:t>
      </w:r>
      <w:r w:rsidR="001A5A18">
        <w:t xml:space="preserve"> </w:t>
      </w:r>
    </w:p>
    <w:p w14:paraId="6A12BEAE" w14:textId="1B42D2CB" w:rsidR="007A6DD8" w:rsidRDefault="007A6DD8" w:rsidP="00EC0DB3">
      <w:pPr>
        <w:pStyle w:val="BodyText"/>
        <w:widowControl/>
      </w:pPr>
      <w:r w:rsidRPr="007B0115">
        <w:rPr>
          <w:rFonts w:asciiTheme="majorHAnsi" w:hAnsiTheme="majorHAnsi" w:cstheme="majorHAnsi"/>
        </w:rPr>
        <w:t>For more complex efficiency projects or for projects with significant savings variability,</w:t>
      </w:r>
      <w:r>
        <w:rPr>
          <w:rFonts w:asciiTheme="majorHAnsi" w:hAnsiTheme="majorHAnsi" w:cstheme="majorHAnsi"/>
        </w:rPr>
        <w:t xml:space="preserve"> </w:t>
      </w:r>
      <w:r w:rsidRPr="007B0115">
        <w:rPr>
          <w:rFonts w:asciiTheme="majorHAnsi" w:hAnsiTheme="majorHAnsi" w:cstheme="majorHAnsi"/>
        </w:rPr>
        <w:t xml:space="preserve">measurement-based methods (i.e., </w:t>
      </w:r>
      <w:r w:rsidR="006F4D93">
        <w:rPr>
          <w:rFonts w:asciiTheme="majorHAnsi" w:hAnsiTheme="majorHAnsi" w:cstheme="majorHAnsi"/>
        </w:rPr>
        <w:t>PB-MV</w:t>
      </w:r>
      <w:r w:rsidRPr="007B0115">
        <w:rPr>
          <w:rFonts w:asciiTheme="majorHAnsi" w:hAnsiTheme="majorHAnsi" w:cstheme="majorHAnsi"/>
        </w:rPr>
        <w:t xml:space="preserve"> and </w:t>
      </w:r>
      <w:r w:rsidR="00EC0DB3">
        <w:rPr>
          <w:rFonts w:asciiTheme="majorHAnsi" w:hAnsiTheme="majorHAnsi" w:cstheme="majorHAnsi"/>
        </w:rPr>
        <w:t>comparison group methods</w:t>
      </w:r>
      <w:r w:rsidRPr="007B0115">
        <w:rPr>
          <w:rFonts w:asciiTheme="majorHAnsi" w:hAnsiTheme="majorHAnsi" w:cstheme="majorHAnsi"/>
        </w:rPr>
        <w:t>) are more appropriate</w:t>
      </w:r>
      <w:r>
        <w:rPr>
          <w:rFonts w:asciiTheme="majorHAnsi" w:hAnsiTheme="majorHAnsi" w:cstheme="majorHAnsi"/>
        </w:rPr>
        <w:t xml:space="preserve"> than deemed savings</w:t>
      </w:r>
      <w:r w:rsidRPr="007B0115">
        <w:rPr>
          <w:rFonts w:asciiTheme="majorHAnsi" w:hAnsiTheme="majorHAnsi" w:cstheme="majorHAnsi"/>
        </w:rPr>
        <w:t>.</w:t>
      </w:r>
      <w:r w:rsidRPr="007B0115">
        <w:rPr>
          <w:rFonts w:asciiTheme="majorHAnsi" w:eastAsia="MS Gothic" w:hAnsiTheme="majorHAnsi" w:cstheme="majorHAnsi"/>
        </w:rPr>
        <w:t xml:space="preserve"> </w:t>
      </w:r>
      <w:r>
        <w:rPr>
          <w:rFonts w:asciiTheme="majorHAnsi" w:eastAsia="MS Gothic" w:hAnsiTheme="majorHAnsi" w:cstheme="majorHAnsi"/>
        </w:rPr>
        <w:t xml:space="preserve">However, deemed values </w:t>
      </w:r>
      <w:r w:rsidRPr="007B0115">
        <w:rPr>
          <w:rFonts w:asciiTheme="majorHAnsi" w:hAnsiTheme="majorHAnsi" w:cstheme="majorHAnsi"/>
        </w:rPr>
        <w:t>can</w:t>
      </w:r>
      <w:r>
        <w:rPr>
          <w:rFonts w:asciiTheme="majorHAnsi" w:hAnsiTheme="majorHAnsi" w:cstheme="majorHAnsi"/>
        </w:rPr>
        <w:t xml:space="preserve"> </w:t>
      </w:r>
      <w:r w:rsidR="00E26834">
        <w:rPr>
          <w:rFonts w:asciiTheme="majorHAnsi" w:hAnsiTheme="majorHAnsi" w:cstheme="majorHAnsi"/>
        </w:rPr>
        <w:t xml:space="preserve">in some cases </w:t>
      </w:r>
      <w:r>
        <w:rPr>
          <w:rFonts w:asciiTheme="majorHAnsi" w:hAnsiTheme="majorHAnsi" w:cstheme="majorHAnsi"/>
        </w:rPr>
        <w:t xml:space="preserve">be properly applied to these projects if one or more </w:t>
      </w:r>
      <w:r w:rsidRPr="007B0115">
        <w:rPr>
          <w:rFonts w:asciiTheme="majorHAnsi" w:hAnsiTheme="majorHAnsi" w:cstheme="majorHAnsi"/>
        </w:rPr>
        <w:t>key parameters</w:t>
      </w:r>
      <w:r>
        <w:rPr>
          <w:rFonts w:asciiTheme="majorHAnsi" w:hAnsiTheme="majorHAnsi" w:cstheme="majorHAnsi"/>
        </w:rPr>
        <w:t xml:space="preserve"> is directly monitored over time at the project site</w:t>
      </w:r>
      <w:r w:rsidRPr="007B0115">
        <w:rPr>
          <w:rFonts w:asciiTheme="majorHAnsi" w:hAnsiTheme="majorHAnsi" w:cstheme="majorHAnsi"/>
        </w:rPr>
        <w:t>. For example, in a high-efficiency motor program, actual operating hours could be monitored over a full work cycle</w:t>
      </w:r>
      <w:r>
        <w:rPr>
          <w:rStyle w:val="FootnoteReference"/>
          <w:rFonts w:asciiTheme="majorHAnsi" w:hAnsiTheme="majorHAnsi" w:cstheme="majorHAnsi"/>
        </w:rPr>
        <w:footnoteReference w:id="28"/>
      </w:r>
      <w:r w:rsidRPr="007B0115">
        <w:rPr>
          <w:rFonts w:asciiTheme="majorHAnsi" w:hAnsiTheme="majorHAnsi" w:cstheme="majorHAnsi"/>
        </w:rPr>
        <w:t xml:space="preserve">. </w:t>
      </w:r>
    </w:p>
    <w:p w14:paraId="6C29FFC9" w14:textId="77777777" w:rsidR="007A6DD8" w:rsidRPr="000B4C65" w:rsidRDefault="007A6DD8" w:rsidP="007A6DD8">
      <w:pPr>
        <w:pStyle w:val="BodyText"/>
        <w:widowControl/>
        <w:jc w:val="both"/>
      </w:pPr>
      <w:r w:rsidRPr="000B4C65">
        <w:t xml:space="preserve">Deemed savings values are usually documented in </w:t>
      </w:r>
      <w:r>
        <w:t xml:space="preserve">resources such as </w:t>
      </w:r>
      <w:r w:rsidRPr="000B4C65">
        <w:t xml:space="preserve">a </w:t>
      </w:r>
      <w:r>
        <w:t xml:space="preserve">document or </w:t>
      </w:r>
      <w:r w:rsidRPr="000B4C65">
        <w:t xml:space="preserve">database in formats </w:t>
      </w:r>
      <w:r>
        <w:t xml:space="preserve">that can vary from a </w:t>
      </w:r>
      <w:r w:rsidRPr="000B4C65">
        <w:t xml:space="preserve">spreadsheet to </w:t>
      </w:r>
      <w:r>
        <w:t xml:space="preserve">an </w:t>
      </w:r>
      <w:r w:rsidRPr="000B4C65">
        <w:t xml:space="preserve">online searchable database. </w:t>
      </w:r>
      <w:r>
        <w:t xml:space="preserve">The </w:t>
      </w:r>
      <w:r w:rsidRPr="000B4C65">
        <w:t xml:space="preserve">term of art for such </w:t>
      </w:r>
      <w:r>
        <w:t>resources</w:t>
      </w:r>
      <w:r w:rsidRPr="000B4C65">
        <w:t xml:space="preserve"> is </w:t>
      </w:r>
      <w:r w:rsidRPr="000B4C65">
        <w:lastRenderedPageBreak/>
        <w:t>technical reference manuals (TRMs)</w:t>
      </w:r>
      <w:r>
        <w:rPr>
          <w:rStyle w:val="FootnoteReference"/>
        </w:rPr>
        <w:footnoteReference w:id="29"/>
      </w:r>
      <w:r w:rsidRPr="000B4C65">
        <w:t>.</w:t>
      </w:r>
      <w:r>
        <w:t xml:space="preserve"> </w:t>
      </w:r>
      <w:r w:rsidRPr="000B4C65">
        <w:t>As of this document’s publication, approximately</w:t>
      </w:r>
      <w:r w:rsidRPr="000B4C65">
        <w:rPr>
          <w:rFonts w:ascii="MS Gothic" w:hAnsi="MS Gothic" w:cs="MS Gothic"/>
        </w:rPr>
        <w:t> </w:t>
      </w:r>
      <w:r w:rsidRPr="000B4C65">
        <w:t xml:space="preserve">20 TRMs </w:t>
      </w:r>
      <w:r>
        <w:t xml:space="preserve">are </w:t>
      </w:r>
      <w:r w:rsidRPr="000B4C65">
        <w:t xml:space="preserve">in use across the </w:t>
      </w:r>
      <w:r>
        <w:t>United States at the state</w:t>
      </w:r>
      <w:r w:rsidRPr="000B4C65">
        <w:t xml:space="preserve"> and regional </w:t>
      </w:r>
      <w:r>
        <w:t>level.</w:t>
      </w:r>
      <w:r>
        <w:rPr>
          <w:rStyle w:val="FootnoteReference"/>
          <w:rFonts w:asciiTheme="majorHAnsi" w:hAnsiTheme="majorHAnsi" w:cstheme="majorHAnsi"/>
          <w:szCs w:val="22"/>
        </w:rPr>
        <w:footnoteReference w:id="30"/>
      </w:r>
      <w:r w:rsidRPr="000B4C65">
        <w:t xml:space="preserve"> </w:t>
      </w:r>
      <w:r>
        <w:t>TRM</w:t>
      </w:r>
      <w:r w:rsidRPr="000B4C65">
        <w:t>s can be valuable, but methodologies for estimating savings and the actual values</w:t>
      </w:r>
      <w:r>
        <w:t xml:space="preserve"> vary widely</w:t>
      </w:r>
      <w:r w:rsidRPr="000B4C65">
        <w:t>. Some TRMs include information based on prior</w:t>
      </w:r>
      <w:r>
        <w:t>-</w:t>
      </w:r>
      <w:r w:rsidRPr="000B4C65">
        <w:t>year evaluations including, in some cases, rigorous metering</w:t>
      </w:r>
      <w:r>
        <w:t>,</w:t>
      </w:r>
      <w:r w:rsidRPr="000B4C65">
        <w:t xml:space="preserve"> and analysis</w:t>
      </w:r>
      <w:r>
        <w:t>.</w:t>
      </w:r>
      <w:r w:rsidRPr="000B4C65">
        <w:t xml:space="preserve"> Many others have values based on computer simulations or engineering algorithms)</w:t>
      </w:r>
      <w:r>
        <w:t>.</w:t>
      </w:r>
      <w:r w:rsidRPr="000B4C65">
        <w:t xml:space="preserve"> Ongoing and new </w:t>
      </w:r>
      <w:r>
        <w:t>state</w:t>
      </w:r>
      <w:r w:rsidRPr="000B4C65">
        <w:t>, regional</w:t>
      </w:r>
      <w:r>
        <w:t>,</w:t>
      </w:r>
      <w:r w:rsidRPr="000B4C65">
        <w:t xml:space="preserve"> and </w:t>
      </w:r>
      <w:r>
        <w:t>federal</w:t>
      </w:r>
      <w:r w:rsidRPr="000B4C65">
        <w:t xml:space="preserve"> efforts to improve the quality and documentation of TRMs </w:t>
      </w:r>
      <w:r>
        <w:t xml:space="preserve">are encouraged and </w:t>
      </w:r>
      <w:r w:rsidRPr="000B4C65">
        <w:t>can support higher</w:t>
      </w:r>
      <w:r>
        <w:t>-</w:t>
      </w:r>
      <w:r w:rsidRPr="000B4C65">
        <w:t xml:space="preserve">quality savings values for compliance </w:t>
      </w:r>
      <w:r>
        <w:t>with the EPA’s emissions guidelines</w:t>
      </w:r>
      <w:r w:rsidRPr="000B4C65">
        <w:t xml:space="preserve"> and reduced E</w:t>
      </w:r>
      <w:r w:rsidR="00C65406" w:rsidRPr="00C65406">
        <w:rPr>
          <w:noProof/>
        </w:rPr>
        <w:t xml:space="preserve"> </w:t>
      </w:r>
      <w:r w:rsidR="00C65406" w:rsidRPr="006D78FC">
        <w:rPr>
          <w:noProof/>
        </w:rPr>
        <mc:AlternateContent>
          <mc:Choice Requires="wps">
            <w:drawing>
              <wp:anchor distT="0" distB="0" distL="114300" distR="114300" simplePos="0" relativeHeight="251664896" behindDoc="0" locked="0" layoutInCell="1" allowOverlap="1" wp14:anchorId="0E85CC50" wp14:editId="3DFBE2B8">
                <wp:simplePos x="0" y="0"/>
                <wp:positionH relativeFrom="margin">
                  <wp:align>right</wp:align>
                </wp:positionH>
                <wp:positionV relativeFrom="margin">
                  <wp:align>top</wp:align>
                </wp:positionV>
                <wp:extent cx="2660650" cy="3209290"/>
                <wp:effectExtent l="57150" t="38100" r="82550" b="86360"/>
                <wp:wrapSquare wrapText="bothSides"/>
                <wp:docPr id="3" name="Text Box 3"/>
                <wp:cNvGraphicFramePr/>
                <a:graphic xmlns:a="http://schemas.openxmlformats.org/drawingml/2006/main">
                  <a:graphicData uri="http://schemas.microsoft.com/office/word/2010/wordprocessingShape">
                    <wps:wsp>
                      <wps:cNvSpPr txBox="1"/>
                      <wps:spPr>
                        <a:xfrm>
                          <a:off x="0" y="0"/>
                          <a:ext cx="2660650" cy="3209290"/>
                        </a:xfrm>
                        <a:prstGeom prst="rect">
                          <a:avLst/>
                        </a:prstGeom>
                        <a:ln>
                          <a:solidFill>
                            <a:srgbClr val="4A7EBB"/>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0A6B1145" w14:textId="15673E89" w:rsidR="00133485" w:rsidRPr="00375721" w:rsidRDefault="00133485" w:rsidP="00C65406">
                            <w:pPr>
                              <w:spacing w:after="120"/>
                              <w:jc w:val="center"/>
                              <w:rPr>
                                <w:rFonts w:asciiTheme="majorHAnsi" w:hAnsiTheme="majorHAnsi"/>
                                <w:b/>
                                <w:sz w:val="20"/>
                                <w:szCs w:val="20"/>
                              </w:rPr>
                            </w:pPr>
                            <w:r>
                              <w:rPr>
                                <w:rFonts w:asciiTheme="majorHAnsi" w:hAnsiTheme="majorHAnsi"/>
                                <w:b/>
                                <w:sz w:val="20"/>
                                <w:szCs w:val="20"/>
                              </w:rPr>
                              <w:t>Key Terms</w:t>
                            </w:r>
                          </w:p>
                          <w:p w14:paraId="488227A8" w14:textId="77777777" w:rsidR="00133485" w:rsidRPr="00161A53" w:rsidRDefault="00133485" w:rsidP="00C65406">
                            <w:pPr>
                              <w:pStyle w:val="BulletLevel1"/>
                              <w:numPr>
                                <w:ilvl w:val="0"/>
                                <w:numId w:val="46"/>
                              </w:numPr>
                              <w:spacing w:after="0"/>
                              <w:ind w:left="180" w:hanging="180"/>
                              <w:rPr>
                                <w:sz w:val="20"/>
                                <w:szCs w:val="20"/>
                              </w:rPr>
                            </w:pPr>
                            <w:r w:rsidRPr="00161A53">
                              <w:rPr>
                                <w:b/>
                                <w:i/>
                                <w:sz w:val="20"/>
                                <w:szCs w:val="20"/>
                              </w:rPr>
                              <w:t>Deemed savings values:</w:t>
                            </w:r>
                            <w:r w:rsidRPr="00161A53">
                              <w:rPr>
                                <w:sz w:val="20"/>
                                <w:szCs w:val="20"/>
                              </w:rPr>
                              <w:t xml:space="preserve"> estimates of average annual electricity savings for a single unit of an installed EE measure that (a) has been developed from data sources and analytical methods widely considered acceptable for the measure and (b) is applicable to the situation and conditions in which the measure is implemented. Individual parameters or calculation methods also can be deemed, including EUL values. Deemed savings values are applicable for specific EE measures. A single deemed savings value may not be used for a program as a whole</w:t>
                            </w:r>
                            <w:r w:rsidRPr="00375721">
                              <w:rPr>
                                <w:sz w:val="20"/>
                                <w:szCs w:val="20"/>
                              </w:rPr>
                              <w:t>, nor for a multi</w:t>
                            </w:r>
                            <w:r>
                              <w:rPr>
                                <w:sz w:val="20"/>
                                <w:szCs w:val="20"/>
                              </w:rPr>
                              <w:t>-</w:t>
                            </w:r>
                            <w:r w:rsidRPr="00375721">
                              <w:rPr>
                                <w:sz w:val="20"/>
                                <w:szCs w:val="20"/>
                              </w:rPr>
                              <w:t>measure project, because of the degree of variation in how systems are used in different</w:t>
                            </w:r>
                            <w:r w:rsidRPr="00161A53">
                              <w:rPr>
                                <w:sz w:val="20"/>
                                <w:szCs w:val="20"/>
                              </w:rPr>
                              <w:t xml:space="preserve"> building types or market segments. Deemed savings are also called stipulated savings.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5CC50" id="Text Box 3" o:spid="_x0000_s1033" type="#_x0000_t202" style="position:absolute;left:0;text-align:left;margin-left:158.3pt;margin-top:0;width:209.5pt;height:252.7pt;z-index:25166489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" fillcolor="#a7bfde [1620]" strokecolor="#4a7ebb">
                <v:fill color2="#e4ecf5 [500]" rotate="t" angle="180" colors="0 #a3c4ff;22938f #bfd5ff;1 #e5eeff" focus="100%" type="gradient"/>
                <v:shadow on="t" color="black" opacity="24903f" origin=",.5" offset="0,.55556mm"/>
                <v:textbox>
                  <w:txbxContent>
                    <w:p w14:paraId="0A6B1145" w14:textId="15673E89" w:rsidR="00133485" w:rsidRPr="00375721" w:rsidRDefault="00133485" w:rsidP="00C65406">
                      <w:pPr>
                        <w:spacing w:after="120"/>
                        <w:jc w:val="center"/>
                        <w:rPr>
                          <w:rFonts w:asciiTheme="majorHAnsi" w:hAnsiTheme="majorHAnsi"/>
                          <w:b/>
                          <w:sz w:val="20"/>
                          <w:szCs w:val="20"/>
                        </w:rPr>
                      </w:pPr>
                      <w:r>
                        <w:rPr>
                          <w:rFonts w:asciiTheme="majorHAnsi" w:hAnsiTheme="majorHAnsi"/>
                          <w:b/>
                          <w:sz w:val="20"/>
                          <w:szCs w:val="20"/>
                        </w:rPr>
                        <w:t>Key Terms</w:t>
                      </w:r>
                    </w:p>
                    <w:p w14:paraId="488227A8" w14:textId="77777777" w:rsidR="00133485" w:rsidRPr="00161A53" w:rsidRDefault="00133485" w:rsidP="00C65406">
                      <w:pPr>
                        <w:pStyle w:val="BulletLevel1"/>
                        <w:numPr>
                          <w:ilvl w:val="0"/>
                          <w:numId w:val="46"/>
                        </w:numPr>
                        <w:spacing w:after="0"/>
                        <w:ind w:left="180" w:hanging="180"/>
                        <w:rPr>
                          <w:sz w:val="20"/>
                          <w:szCs w:val="20"/>
                        </w:rPr>
                      </w:pPr>
                      <w:r w:rsidRPr="00161A53">
                        <w:rPr>
                          <w:b/>
                          <w:i/>
                          <w:sz w:val="20"/>
                          <w:szCs w:val="20"/>
                        </w:rPr>
                        <w:t>Deemed savings values:</w:t>
                      </w:r>
                      <w:r w:rsidRPr="00161A53">
                        <w:rPr>
                          <w:sz w:val="20"/>
                          <w:szCs w:val="20"/>
                        </w:rPr>
                        <w:t xml:space="preserve"> estimates of average annual electricity savings for a single unit of an installed EE measure that (a) has been developed from data sources and analytical methods widely considered acceptable for the measure and (b) is applicable to the situation and conditions in which the measure is implemented. Individual parameters or calculation methods also can be deemed, including EUL values. Deemed savings values are applicable for specific EE measures. A single deemed savings value may not be used for a program as a whole</w:t>
                      </w:r>
                      <w:r w:rsidRPr="00375721">
                        <w:rPr>
                          <w:sz w:val="20"/>
                          <w:szCs w:val="20"/>
                        </w:rPr>
                        <w:t>, nor for a multi</w:t>
                      </w:r>
                      <w:r>
                        <w:rPr>
                          <w:sz w:val="20"/>
                          <w:szCs w:val="20"/>
                        </w:rPr>
                        <w:t>-</w:t>
                      </w:r>
                      <w:r w:rsidRPr="00375721">
                        <w:rPr>
                          <w:sz w:val="20"/>
                          <w:szCs w:val="20"/>
                        </w:rPr>
                        <w:t>measure project, because of the degree of variation in how systems are used in different</w:t>
                      </w:r>
                      <w:r w:rsidRPr="00161A53">
                        <w:rPr>
                          <w:sz w:val="20"/>
                          <w:szCs w:val="20"/>
                        </w:rPr>
                        <w:t xml:space="preserve"> building types or market segments. Deemed savings are also called stipulated savings.</w:t>
                      </w:r>
                    </w:p>
                  </w:txbxContent>
                </v:textbox>
                <w10:wrap type="square" anchorx="margin" anchory="margin"/>
              </v:shape>
            </w:pict>
          </mc:Fallback>
        </mc:AlternateContent>
      </w:r>
      <w:r w:rsidRPr="000B4C65">
        <w:t>M&amp;V costs.</w:t>
      </w:r>
    </w:p>
    <w:p w14:paraId="2246B569" w14:textId="77777777" w:rsidR="007A6DD8" w:rsidRPr="006A0A70" w:rsidRDefault="007A6DD8" w:rsidP="007A6DD8">
      <w:pPr>
        <w:pStyle w:val="Heading3"/>
        <w:numPr>
          <w:ilvl w:val="2"/>
          <w:numId w:val="69"/>
        </w:numPr>
        <w:ind w:left="0"/>
      </w:pPr>
      <w:bookmarkStart w:id="178" w:name="_Toc423535505"/>
      <w:bookmarkStart w:id="179" w:name="_Toc423535506"/>
      <w:bookmarkStart w:id="180" w:name="_Toc422306707"/>
      <w:bookmarkStart w:id="181" w:name="_Toc422306944"/>
      <w:bookmarkStart w:id="182" w:name="_Toc422307085"/>
      <w:bookmarkStart w:id="183" w:name="_Toc422307217"/>
      <w:bookmarkStart w:id="184" w:name="_Toc422311322"/>
      <w:bookmarkStart w:id="185" w:name="_Toc422311456"/>
      <w:bookmarkStart w:id="186" w:name="_Toc422316680"/>
      <w:bookmarkStart w:id="187" w:name="_Toc422316819"/>
      <w:bookmarkStart w:id="188" w:name="_Toc422316959"/>
      <w:bookmarkStart w:id="189" w:name="_Toc426044636"/>
      <w:bookmarkEnd w:id="178"/>
      <w:bookmarkEnd w:id="179"/>
      <w:bookmarkEnd w:id="180"/>
      <w:bookmarkEnd w:id="181"/>
      <w:bookmarkEnd w:id="182"/>
      <w:bookmarkEnd w:id="183"/>
      <w:bookmarkEnd w:id="184"/>
      <w:bookmarkEnd w:id="185"/>
      <w:bookmarkEnd w:id="186"/>
      <w:bookmarkEnd w:id="187"/>
      <w:bookmarkEnd w:id="188"/>
      <w:r w:rsidRPr="006A0A70">
        <w:t>Applicable Guidance</w:t>
      </w:r>
      <w:bookmarkEnd w:id="189"/>
    </w:p>
    <w:p w14:paraId="59456553" w14:textId="77777777" w:rsidR="006F0684" w:rsidRPr="002603D6" w:rsidRDefault="006F0684" w:rsidP="006A0A70">
      <w:pPr>
        <w:pStyle w:val="BulletLevel1"/>
        <w:rPr>
          <w:color w:val="000000" w:themeColor="text1"/>
        </w:rPr>
      </w:pPr>
      <w:r>
        <w:t xml:space="preserve">Apply deemed savings to relatively </w:t>
      </w:r>
      <w:r w:rsidRPr="000B4C65">
        <w:t>simple</w:t>
      </w:r>
      <w:r w:rsidR="009030C3">
        <w:t xml:space="preserve"> EE </w:t>
      </w:r>
      <w:r w:rsidR="00F962AE">
        <w:t xml:space="preserve">projects and </w:t>
      </w:r>
      <w:r w:rsidR="009030C3">
        <w:t xml:space="preserve">measures (e.g., </w:t>
      </w:r>
      <w:r>
        <w:t>light bulbs or specific pieces of equipment</w:t>
      </w:r>
      <w:r w:rsidR="009030C3">
        <w:t>)</w:t>
      </w:r>
      <w:r>
        <w:t xml:space="preserve"> for which the </w:t>
      </w:r>
      <w:r w:rsidRPr="000B4C65">
        <w:t xml:space="preserve">performance characteristics and </w:t>
      </w:r>
      <w:r>
        <w:t xml:space="preserve">location-specific </w:t>
      </w:r>
      <w:r w:rsidRPr="000B4C65">
        <w:t xml:space="preserve">conditions </w:t>
      </w:r>
      <w:r w:rsidR="009030C3">
        <w:t xml:space="preserve">have been evaluated and </w:t>
      </w:r>
      <w:r w:rsidRPr="000B4C65">
        <w:t>are well known</w:t>
      </w:r>
      <w:r>
        <w:t>.</w:t>
      </w:r>
    </w:p>
    <w:p w14:paraId="564CFC0A" w14:textId="77777777" w:rsidR="009030C3" w:rsidRDefault="009030C3" w:rsidP="002603D6">
      <w:pPr>
        <w:pStyle w:val="BulletLevel2"/>
      </w:pPr>
      <w:r>
        <w:t xml:space="preserve">Do not apply </w:t>
      </w:r>
      <w:r w:rsidR="00F962AE">
        <w:t xml:space="preserve">them to </w:t>
      </w:r>
      <w:r w:rsidRPr="007B0115">
        <w:rPr>
          <w:rFonts w:asciiTheme="majorHAnsi" w:hAnsiTheme="majorHAnsi" w:cstheme="majorHAnsi"/>
        </w:rPr>
        <w:t xml:space="preserve">complex </w:t>
      </w:r>
      <w:r w:rsidR="00F962AE">
        <w:rPr>
          <w:rFonts w:asciiTheme="majorHAnsi" w:hAnsiTheme="majorHAnsi" w:cstheme="majorHAnsi"/>
        </w:rPr>
        <w:t xml:space="preserve">EE projects or measures </w:t>
      </w:r>
      <w:r w:rsidRPr="007B0115">
        <w:rPr>
          <w:rFonts w:asciiTheme="majorHAnsi" w:hAnsiTheme="majorHAnsi" w:cstheme="majorHAnsi"/>
        </w:rPr>
        <w:t>with significant savings variability</w:t>
      </w:r>
    </w:p>
    <w:p w14:paraId="626DF222" w14:textId="77777777" w:rsidR="006A0A70" w:rsidRPr="00013DFE" w:rsidRDefault="006A0A70" w:rsidP="006A0A70">
      <w:pPr>
        <w:pStyle w:val="BulletLevel1"/>
        <w:rPr>
          <w:color w:val="000000" w:themeColor="text1"/>
        </w:rPr>
      </w:pPr>
      <w:r w:rsidRPr="00013DFE">
        <w:rPr>
          <w:color w:val="000000" w:themeColor="text1"/>
        </w:rPr>
        <w:t xml:space="preserve">Each deemed savings value must indicate the conditions for which the value is applicable (e.g., climate, building type, end use, and measure implementation mechanism). </w:t>
      </w:r>
    </w:p>
    <w:p w14:paraId="2EEEEEC6" w14:textId="77777777" w:rsidR="006A0A70" w:rsidRPr="00013DFE" w:rsidRDefault="006A0A70" w:rsidP="006A0A70">
      <w:pPr>
        <w:pStyle w:val="BulletLevel1"/>
        <w:rPr>
          <w:color w:val="000000" w:themeColor="text1"/>
        </w:rPr>
      </w:pPr>
      <w:r w:rsidRPr="00013DFE">
        <w:rPr>
          <w:color w:val="000000" w:themeColor="text1"/>
        </w:rPr>
        <w:t>Ensure that</w:t>
      </w:r>
      <w:r w:rsidR="00013DFE" w:rsidRPr="00013DFE">
        <w:rPr>
          <w:color w:val="000000" w:themeColor="text1"/>
        </w:rPr>
        <w:t xml:space="preserve"> deemed savings values</w:t>
      </w:r>
      <w:r w:rsidRPr="00013DFE">
        <w:rPr>
          <w:color w:val="000000" w:themeColor="text1"/>
        </w:rPr>
        <w:t>:</w:t>
      </w:r>
    </w:p>
    <w:p w14:paraId="1F4AF567" w14:textId="77777777" w:rsidR="006A0A70" w:rsidRPr="00013DFE" w:rsidRDefault="00E26834" w:rsidP="006A0A70">
      <w:pPr>
        <w:pStyle w:val="BulletLevel2"/>
      </w:pPr>
      <w:r>
        <w:t>Are based on</w:t>
      </w:r>
      <w:r w:rsidR="006A0A70" w:rsidRPr="00013DFE">
        <w:t xml:space="preserve"> EE measure definition, applicability conditions, assumptions, calculations, and references </w:t>
      </w:r>
      <w:r>
        <w:t>that are</w:t>
      </w:r>
      <w:r w:rsidR="006A0A70" w:rsidRPr="00013DFE">
        <w:t xml:space="preserve"> well documented in work papers that are publicly available;</w:t>
      </w:r>
    </w:p>
    <w:p w14:paraId="19B5313C" w14:textId="77777777" w:rsidR="006A0A70" w:rsidRPr="00013DFE" w:rsidRDefault="00013DFE" w:rsidP="006A0A70">
      <w:pPr>
        <w:pStyle w:val="BulletLevel2"/>
      </w:pPr>
      <w:r w:rsidRPr="00013DFE">
        <w:t xml:space="preserve">Are quantified </w:t>
      </w:r>
      <w:r w:rsidR="006A0A70" w:rsidRPr="00013DFE">
        <w:t xml:space="preserve">as the most likely averages of electricity savings and other factors that determine such values over the lifetime of the EE measure, such as average occupancy, typical weather, typical operating hours and EUL; </w:t>
      </w:r>
    </w:p>
    <w:p w14:paraId="572E82D8" w14:textId="77777777" w:rsidR="006A0A70" w:rsidRPr="00013DFE" w:rsidRDefault="00013DFE" w:rsidP="006A0A70">
      <w:pPr>
        <w:pStyle w:val="BulletLevel2"/>
      </w:pPr>
      <w:r w:rsidRPr="00013DFE">
        <w:t xml:space="preserve">Are developed by </w:t>
      </w:r>
      <w:r w:rsidR="006A0A70" w:rsidRPr="00013DFE">
        <w:t>independent, third parties</w:t>
      </w:r>
      <w:r w:rsidR="00E26834" w:rsidRPr="00E26834">
        <w:t xml:space="preserve"> </w:t>
      </w:r>
      <w:r w:rsidR="00E26834">
        <w:t>and, whenever possible, are based on empirical techniques such as RCTs and quasi-experimental design</w:t>
      </w:r>
      <w:r w:rsidR="006A0A70" w:rsidRPr="00013DFE">
        <w:t xml:space="preserve">. </w:t>
      </w:r>
    </w:p>
    <w:p w14:paraId="2E5E6D37" w14:textId="77777777" w:rsidR="007A6DD8" w:rsidRDefault="007A6DD8" w:rsidP="007A6DD8">
      <w:pPr>
        <w:pStyle w:val="BulletLevel1"/>
      </w:pPr>
      <w:r w:rsidRPr="006A0A70">
        <w:t>Apply deemed savings values only for the specific EE measures, program or project delivery mechanism (e.g., direct install versus point-of-sale rebates), end-uses (e.g., single-family versus multifamily residential), operating conditions (e.g., climate, operating hours), and other assumptions for which the values were developed.</w:t>
      </w:r>
    </w:p>
    <w:p w14:paraId="77909B2A" w14:textId="77777777" w:rsidR="00013DFE" w:rsidRPr="00642BF9" w:rsidRDefault="00013DFE" w:rsidP="00013DFE">
      <w:pPr>
        <w:pStyle w:val="BulletLevel1"/>
      </w:pPr>
      <w:r w:rsidRPr="00642BF9">
        <w:lastRenderedPageBreak/>
        <w:t>Update</w:t>
      </w:r>
      <w:r>
        <w:t xml:space="preserve"> deemed savings </w:t>
      </w:r>
      <w:r w:rsidRPr="00642BF9">
        <w:t xml:space="preserve">values on a going-forward basis; see </w:t>
      </w:r>
      <w:r w:rsidR="009C3D40">
        <w:t>section 2.3</w:t>
      </w:r>
      <w:r w:rsidRPr="00642BF9">
        <w:t xml:space="preserve"> on </w:t>
      </w:r>
      <w:r w:rsidRPr="00642BF9">
        <w:rPr>
          <w:i/>
        </w:rPr>
        <w:t>Reporting Incremental and Cumulative Savings</w:t>
      </w:r>
      <w:r>
        <w:t>.</w:t>
      </w:r>
    </w:p>
    <w:p w14:paraId="019D7F57" w14:textId="77777777" w:rsidR="007A6DD8" w:rsidRPr="009D76DC" w:rsidRDefault="007A6DD8" w:rsidP="007A6DD8">
      <w:pPr>
        <w:pStyle w:val="Heading2"/>
        <w:numPr>
          <w:ilvl w:val="1"/>
          <w:numId w:val="69"/>
        </w:numPr>
      </w:pPr>
      <w:bookmarkStart w:id="190" w:name="_Toc422306710"/>
      <w:bookmarkStart w:id="191" w:name="_Toc422306947"/>
      <w:bookmarkStart w:id="192" w:name="_Toc422307088"/>
      <w:bookmarkStart w:id="193" w:name="_Toc422307220"/>
      <w:bookmarkStart w:id="194" w:name="_Toc422311325"/>
      <w:bookmarkStart w:id="195" w:name="_Toc422311459"/>
      <w:bookmarkStart w:id="196" w:name="_Toc422316683"/>
      <w:bookmarkStart w:id="197" w:name="_Toc422316822"/>
      <w:bookmarkStart w:id="198" w:name="_Toc422316962"/>
      <w:bookmarkStart w:id="199" w:name="_Toc423437605"/>
      <w:bookmarkStart w:id="200" w:name="_Toc423447667"/>
      <w:bookmarkStart w:id="201" w:name="_Toc423447825"/>
      <w:bookmarkStart w:id="202" w:name="_Toc423447942"/>
      <w:bookmarkStart w:id="203" w:name="_Toc423535508"/>
      <w:bookmarkStart w:id="204" w:name="_Toc423539650"/>
      <w:bookmarkStart w:id="205" w:name="_Toc423540045"/>
      <w:bookmarkStart w:id="206" w:name="_Toc422316963"/>
      <w:bookmarkStart w:id="207" w:name="_Toc426044637"/>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Independent Factors Affecting Energy Consumption and Savings</w:t>
      </w:r>
      <w:bookmarkEnd w:id="206"/>
      <w:bookmarkEnd w:id="207"/>
    </w:p>
    <w:p w14:paraId="122AE16F" w14:textId="77777777" w:rsidR="007A6DD8" w:rsidRDefault="007A6DD8" w:rsidP="007A6DD8">
      <w:pPr>
        <w:pStyle w:val="Heading3"/>
        <w:numPr>
          <w:ilvl w:val="2"/>
          <w:numId w:val="69"/>
        </w:numPr>
        <w:spacing w:before="240"/>
        <w:ind w:left="0"/>
      </w:pPr>
      <w:bookmarkStart w:id="208" w:name="_Toc422306712"/>
      <w:bookmarkStart w:id="209" w:name="_Toc422306949"/>
      <w:bookmarkStart w:id="210" w:name="_Toc422307090"/>
      <w:bookmarkStart w:id="211" w:name="_Toc422307222"/>
      <w:bookmarkStart w:id="212" w:name="_Toc422311327"/>
      <w:bookmarkStart w:id="213" w:name="_Toc422311461"/>
      <w:bookmarkStart w:id="214" w:name="_Toc422316685"/>
      <w:bookmarkStart w:id="215" w:name="_Toc422316824"/>
      <w:bookmarkStart w:id="216" w:name="_Toc422316964"/>
      <w:bookmarkStart w:id="217" w:name="_Toc422316965"/>
      <w:bookmarkStart w:id="218" w:name="_Toc426044638"/>
      <w:bookmarkEnd w:id="208"/>
      <w:bookmarkEnd w:id="209"/>
      <w:bookmarkEnd w:id="210"/>
      <w:bookmarkEnd w:id="211"/>
      <w:bookmarkEnd w:id="212"/>
      <w:bookmarkEnd w:id="213"/>
      <w:bookmarkEnd w:id="214"/>
      <w:bookmarkEnd w:id="215"/>
      <w:bookmarkEnd w:id="216"/>
      <w:r>
        <w:t>Discussion</w:t>
      </w:r>
      <w:bookmarkEnd w:id="217"/>
      <w:bookmarkEnd w:id="218"/>
    </w:p>
    <w:p w14:paraId="121714FA" w14:textId="77777777" w:rsidR="007A6DD8" w:rsidRDefault="007A6DD8" w:rsidP="00047CCF">
      <w:pPr>
        <w:pStyle w:val="BodyText"/>
        <w:widowControl/>
      </w:pPr>
      <w:r w:rsidRPr="006D78FC">
        <w:rPr>
          <w:noProof/>
        </w:rPr>
        <mc:AlternateContent>
          <mc:Choice Requires="wps">
            <w:drawing>
              <wp:anchor distT="0" distB="0" distL="114300" distR="114300" simplePos="0" relativeHeight="251659776" behindDoc="0" locked="0" layoutInCell="1" allowOverlap="1" wp14:anchorId="03357587" wp14:editId="34EA76DD">
                <wp:simplePos x="0" y="0"/>
                <wp:positionH relativeFrom="margin">
                  <wp:align>right</wp:align>
                </wp:positionH>
                <wp:positionV relativeFrom="paragraph">
                  <wp:posOffset>0</wp:posOffset>
                </wp:positionV>
                <wp:extent cx="2926080" cy="1033272"/>
                <wp:effectExtent l="57150" t="38100" r="83820" b="90805"/>
                <wp:wrapSquare wrapText="bothSides"/>
                <wp:docPr id="8" name="Text Box 8"/>
                <wp:cNvGraphicFramePr/>
                <a:graphic xmlns:a="http://schemas.openxmlformats.org/drawingml/2006/main">
                  <a:graphicData uri="http://schemas.microsoft.com/office/word/2010/wordprocessingShape">
                    <wps:wsp>
                      <wps:cNvSpPr txBox="1"/>
                      <wps:spPr>
                        <a:xfrm>
                          <a:off x="0" y="0"/>
                          <a:ext cx="2926080" cy="1033272"/>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3C791731" w14:textId="1B0D87F1" w:rsidR="00133485" w:rsidRPr="00767B39" w:rsidRDefault="00133485" w:rsidP="007A6DD8">
                            <w:pPr>
                              <w:spacing w:after="120"/>
                              <w:jc w:val="center"/>
                              <w:rPr>
                                <w:rFonts w:asciiTheme="majorHAnsi" w:hAnsiTheme="majorHAnsi"/>
                                <w:b/>
                                <w:sz w:val="20"/>
                                <w:szCs w:val="20"/>
                              </w:rPr>
                            </w:pPr>
                            <w:r>
                              <w:rPr>
                                <w:rFonts w:asciiTheme="majorHAnsi" w:hAnsiTheme="majorHAnsi"/>
                                <w:b/>
                                <w:sz w:val="20"/>
                                <w:szCs w:val="20"/>
                              </w:rPr>
                              <w:t xml:space="preserve">Key Term </w:t>
                            </w:r>
                          </w:p>
                          <w:p w14:paraId="0C7B7E55" w14:textId="77777777" w:rsidR="00133485" w:rsidRPr="00767B39" w:rsidRDefault="00133485" w:rsidP="00047CCF">
                            <w:pPr>
                              <w:pStyle w:val="BulletLevel1"/>
                              <w:numPr>
                                <w:ilvl w:val="0"/>
                                <w:numId w:val="33"/>
                              </w:numPr>
                              <w:ind w:left="180" w:hanging="180"/>
                              <w:rPr>
                                <w:sz w:val="20"/>
                                <w:szCs w:val="20"/>
                              </w:rPr>
                            </w:pPr>
                            <w:r w:rsidRPr="00767B39">
                              <w:rPr>
                                <w:b/>
                                <w:i/>
                                <w:sz w:val="20"/>
                                <w:szCs w:val="20"/>
                              </w:rPr>
                              <w:t>Independent factors:</w:t>
                            </w:r>
                            <w:r w:rsidRPr="00767B39">
                              <w:rPr>
                                <w:sz w:val="20"/>
                                <w:szCs w:val="20"/>
                              </w:rPr>
                              <w:t xml:space="preserve"> the </w:t>
                            </w:r>
                            <w:r>
                              <w:rPr>
                                <w:sz w:val="20"/>
                                <w:szCs w:val="20"/>
                              </w:rPr>
                              <w:t>variables</w:t>
                            </w:r>
                            <w:r w:rsidRPr="00767B39">
                              <w:rPr>
                                <w:sz w:val="20"/>
                                <w:szCs w:val="20"/>
                              </w:rPr>
                              <w:t xml:space="preserve"> (e.g., weather</w:t>
                            </w:r>
                            <w:r>
                              <w:rPr>
                                <w:sz w:val="20"/>
                                <w:szCs w:val="20"/>
                              </w:rPr>
                              <w:t xml:space="preserve">, </w:t>
                            </w:r>
                            <w:r w:rsidRPr="00767B39">
                              <w:rPr>
                                <w:sz w:val="20"/>
                                <w:szCs w:val="20"/>
                              </w:rPr>
                              <w:t>occupancy</w:t>
                            </w:r>
                            <w:r>
                              <w:rPr>
                                <w:sz w:val="20"/>
                                <w:szCs w:val="20"/>
                              </w:rPr>
                              <w:t>, production levels</w:t>
                            </w:r>
                            <w:r w:rsidRPr="00767B39">
                              <w:rPr>
                                <w:sz w:val="20"/>
                                <w:szCs w:val="20"/>
                              </w:rPr>
                              <w:t>) that affect electricity consumption</w:t>
                            </w:r>
                            <w:r>
                              <w:rPr>
                                <w:sz w:val="20"/>
                                <w:szCs w:val="20"/>
                              </w:rPr>
                              <w:t xml:space="preserve"> and savings, and</w:t>
                            </w:r>
                            <w:r w:rsidRPr="00767B39">
                              <w:rPr>
                                <w:sz w:val="20"/>
                                <w:szCs w:val="20"/>
                              </w:rPr>
                              <w:t xml:space="preserve"> vary </w:t>
                            </w:r>
                            <w:r w:rsidRPr="00767B39">
                              <w:rPr>
                                <w:i/>
                                <w:sz w:val="20"/>
                                <w:szCs w:val="20"/>
                              </w:rPr>
                              <w:t>independently</w:t>
                            </w:r>
                            <w:r w:rsidRPr="00767B39">
                              <w:rPr>
                                <w:sz w:val="20"/>
                                <w:szCs w:val="20"/>
                              </w:rPr>
                              <w:t xml:space="preserve"> of the </w:t>
                            </w:r>
                            <w:r>
                              <w:rPr>
                                <w:sz w:val="20"/>
                                <w:szCs w:val="20"/>
                              </w:rPr>
                              <w:t>EE measure</w:t>
                            </w:r>
                            <w:r w:rsidRPr="00767B39">
                              <w:rPr>
                                <w:sz w:val="20"/>
                                <w:szCs w:val="20"/>
                              </w:rPr>
                              <w:t xml:space="preserve"> under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57587" id="Text Box 8" o:spid="_x0000_s1034" type="#_x0000_t202" style="position:absolute;margin-left:179.2pt;margin-top:0;width:230.4pt;height:81.3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" fillcolor="#a7bfde [1620]" strokecolor="#4579b8 [3044]">
                <v:fill color2="#e4ecf5 [500]" rotate="t" angle="180" colors="0 #a3c4ff;22938f #bfd5ff;1 #e5eeff" focus="100%" type="gradient"/>
                <v:shadow on="t" color="black" opacity="24903f" origin=",.5" offset="0,.55556mm"/>
                <v:textbox>
                  <w:txbxContent>
                    <w:p w14:paraId="3C791731" w14:textId="1B0D87F1" w:rsidR="00133485" w:rsidRPr="00767B39" w:rsidRDefault="00133485" w:rsidP="007A6DD8">
                      <w:pPr>
                        <w:spacing w:after="120"/>
                        <w:jc w:val="center"/>
                        <w:rPr>
                          <w:rFonts w:asciiTheme="majorHAnsi" w:hAnsiTheme="majorHAnsi"/>
                          <w:b/>
                          <w:sz w:val="20"/>
                          <w:szCs w:val="20"/>
                        </w:rPr>
                      </w:pPr>
                      <w:r>
                        <w:rPr>
                          <w:rFonts w:asciiTheme="majorHAnsi" w:hAnsiTheme="majorHAnsi"/>
                          <w:b/>
                          <w:sz w:val="20"/>
                          <w:szCs w:val="20"/>
                        </w:rPr>
                        <w:t xml:space="preserve">Key Term </w:t>
                      </w:r>
                    </w:p>
                    <w:p w14:paraId="0C7B7E55" w14:textId="77777777" w:rsidR="00133485" w:rsidRPr="00767B39" w:rsidRDefault="00133485" w:rsidP="00047CCF">
                      <w:pPr>
                        <w:pStyle w:val="BulletLevel1"/>
                        <w:numPr>
                          <w:ilvl w:val="0"/>
                          <w:numId w:val="33"/>
                        </w:numPr>
                        <w:ind w:left="180" w:hanging="180"/>
                        <w:rPr>
                          <w:sz w:val="20"/>
                          <w:szCs w:val="20"/>
                        </w:rPr>
                      </w:pPr>
                      <w:r w:rsidRPr="00767B39">
                        <w:rPr>
                          <w:b/>
                          <w:i/>
                          <w:sz w:val="20"/>
                          <w:szCs w:val="20"/>
                        </w:rPr>
                        <w:t>Independent factors:</w:t>
                      </w:r>
                      <w:r w:rsidRPr="00767B39">
                        <w:rPr>
                          <w:sz w:val="20"/>
                          <w:szCs w:val="20"/>
                        </w:rPr>
                        <w:t xml:space="preserve"> the </w:t>
                      </w:r>
                      <w:r>
                        <w:rPr>
                          <w:sz w:val="20"/>
                          <w:szCs w:val="20"/>
                        </w:rPr>
                        <w:t>variables</w:t>
                      </w:r>
                      <w:r w:rsidRPr="00767B39">
                        <w:rPr>
                          <w:sz w:val="20"/>
                          <w:szCs w:val="20"/>
                        </w:rPr>
                        <w:t xml:space="preserve"> (e.g., weather</w:t>
                      </w:r>
                      <w:r>
                        <w:rPr>
                          <w:sz w:val="20"/>
                          <w:szCs w:val="20"/>
                        </w:rPr>
                        <w:t xml:space="preserve">, </w:t>
                      </w:r>
                      <w:r w:rsidRPr="00767B39">
                        <w:rPr>
                          <w:sz w:val="20"/>
                          <w:szCs w:val="20"/>
                        </w:rPr>
                        <w:t>occupancy</w:t>
                      </w:r>
                      <w:r>
                        <w:rPr>
                          <w:sz w:val="20"/>
                          <w:szCs w:val="20"/>
                        </w:rPr>
                        <w:t>, production levels</w:t>
                      </w:r>
                      <w:r w:rsidRPr="00767B39">
                        <w:rPr>
                          <w:sz w:val="20"/>
                          <w:szCs w:val="20"/>
                        </w:rPr>
                        <w:t>) that affect electricity consumption</w:t>
                      </w:r>
                      <w:r>
                        <w:rPr>
                          <w:sz w:val="20"/>
                          <w:szCs w:val="20"/>
                        </w:rPr>
                        <w:t xml:space="preserve"> and savings, and</w:t>
                      </w:r>
                      <w:r w:rsidRPr="00767B39">
                        <w:rPr>
                          <w:sz w:val="20"/>
                          <w:szCs w:val="20"/>
                        </w:rPr>
                        <w:t xml:space="preserve"> vary </w:t>
                      </w:r>
                      <w:r w:rsidRPr="00767B39">
                        <w:rPr>
                          <w:i/>
                          <w:sz w:val="20"/>
                          <w:szCs w:val="20"/>
                        </w:rPr>
                        <w:t>independently</w:t>
                      </w:r>
                      <w:r w:rsidRPr="00767B39">
                        <w:rPr>
                          <w:sz w:val="20"/>
                          <w:szCs w:val="20"/>
                        </w:rPr>
                        <w:t xml:space="preserve"> of the </w:t>
                      </w:r>
                      <w:r>
                        <w:rPr>
                          <w:sz w:val="20"/>
                          <w:szCs w:val="20"/>
                        </w:rPr>
                        <w:t>EE measure</w:t>
                      </w:r>
                      <w:r w:rsidRPr="00767B39">
                        <w:rPr>
                          <w:sz w:val="20"/>
                          <w:szCs w:val="20"/>
                        </w:rPr>
                        <w:t xml:space="preserve"> under study.</w:t>
                      </w:r>
                    </w:p>
                  </w:txbxContent>
                </v:textbox>
                <w10:wrap type="square" anchorx="margin"/>
              </v:shape>
            </w:pict>
          </mc:Fallback>
        </mc:AlternateContent>
      </w:r>
      <w:r>
        <w:t>Observed c</w:t>
      </w:r>
      <w:r w:rsidRPr="00CD2257">
        <w:t xml:space="preserve">hanges in electricity consumption </w:t>
      </w:r>
      <w:r>
        <w:t xml:space="preserve">are the result of </w:t>
      </w:r>
      <w:r w:rsidRPr="00CD2257">
        <w:t xml:space="preserve">a </w:t>
      </w:r>
      <w:r>
        <w:t>variety</w:t>
      </w:r>
      <w:r w:rsidRPr="00CD2257">
        <w:t xml:space="preserve"> of </w:t>
      </w:r>
      <w:r>
        <w:t xml:space="preserve">independent factors and </w:t>
      </w:r>
      <w:r w:rsidRPr="00CD2257">
        <w:t xml:space="preserve">influences. These </w:t>
      </w:r>
      <w:r>
        <w:t xml:space="preserve">range from the outdoor temperature to occupancy levels in a building to production levels. To isolate the electricity savings that result from the EE activity in question, each of these independent factors must </w:t>
      </w:r>
      <w:r w:rsidRPr="00CD2257">
        <w:t>be taken into account</w:t>
      </w:r>
      <w:r>
        <w:t>.</w:t>
      </w:r>
      <w:r w:rsidR="001A5A18">
        <w:t xml:space="preserve"> </w:t>
      </w:r>
    </w:p>
    <w:p w14:paraId="1A8C7BE6" w14:textId="1A8B6CB5" w:rsidR="007A6DD8" w:rsidRPr="00CD2257" w:rsidRDefault="007A6DD8" w:rsidP="00047CCF">
      <w:pPr>
        <w:pStyle w:val="BodyText"/>
        <w:widowControl/>
      </w:pPr>
      <w:r>
        <w:t>Determining t</w:t>
      </w:r>
      <w:r w:rsidRPr="00CD2257">
        <w:t>he</w:t>
      </w:r>
      <w:r>
        <w:t xml:space="preserve"> influence of these factors is critical to the credibility of savings estimates, and </w:t>
      </w:r>
      <w:r w:rsidRPr="00CD2257">
        <w:t>distinguish</w:t>
      </w:r>
      <w:r>
        <w:t xml:space="preserve">es </w:t>
      </w:r>
      <w:r w:rsidRPr="00CD2257">
        <w:t xml:space="preserve">properly determined savings from a </w:t>
      </w:r>
      <w:r>
        <w:t>simp</w:t>
      </w:r>
      <w:r w:rsidRPr="00CD2257">
        <w:t>l</w:t>
      </w:r>
      <w:r>
        <w:t>e</w:t>
      </w:r>
      <w:r w:rsidRPr="00CD2257">
        <w:t xml:space="preserve"> </w:t>
      </w:r>
      <w:r>
        <w:t xml:space="preserve">and unreliable </w:t>
      </w:r>
      <w:r w:rsidRPr="00CD2257">
        <w:t xml:space="preserve">comparison of </w:t>
      </w:r>
      <w:r>
        <w:t>electricity use</w:t>
      </w:r>
      <w:r w:rsidRPr="00CD2257">
        <w:t xml:space="preserve"> before </w:t>
      </w:r>
      <w:r>
        <w:t xml:space="preserve">and after </w:t>
      </w:r>
      <w:r w:rsidRPr="00CD2257">
        <w:t>implementation of a program</w:t>
      </w:r>
      <w:r>
        <w:t>,</w:t>
      </w:r>
      <w:r w:rsidRPr="000D548E">
        <w:t xml:space="preserve"> project</w:t>
      </w:r>
      <w:r>
        <w:t>,</w:t>
      </w:r>
      <w:r w:rsidRPr="000D548E">
        <w:t xml:space="preserve"> or measure. </w:t>
      </w:r>
      <w:r>
        <w:t xml:space="preserve">Each of the three EM&amp;V methods described in Section </w:t>
      </w:r>
      <w:r w:rsidR="00047CCF">
        <w:t>2</w:t>
      </w:r>
      <w:r>
        <w:t xml:space="preserve">.1 has a mechanism for accounting for independent factors. For deemed savings values, </w:t>
      </w:r>
      <w:r w:rsidRPr="000D548E">
        <w:t xml:space="preserve">independent </w:t>
      </w:r>
      <w:r>
        <w:t xml:space="preserve">factors are implicitly quantified through the associated applicability conditions (see Section </w:t>
      </w:r>
      <w:r w:rsidR="00047CCF">
        <w:t>2.4</w:t>
      </w:r>
      <w:r>
        <w:t xml:space="preserve">); for </w:t>
      </w:r>
      <w:r w:rsidR="006F4D93">
        <w:t>PB-MV</w:t>
      </w:r>
      <w:r>
        <w:t xml:space="preserve">, these factors are considered via the use of regression analyses, computer simulation modeling, or engineering calculation adjustments; and for comparison group methods, through </w:t>
      </w:r>
      <w:r w:rsidR="00047CCF">
        <w:t xml:space="preserve">random assignment, matched comparison groups, or through </w:t>
      </w:r>
      <w:r>
        <w:t xml:space="preserve">large-scale consumption data regression analyses. </w:t>
      </w:r>
    </w:p>
    <w:p w14:paraId="1A79E3D0" w14:textId="77777777" w:rsidR="007A6DD8" w:rsidRPr="00CD2257" w:rsidRDefault="007A6DD8" w:rsidP="007A6DD8">
      <w:pPr>
        <w:pStyle w:val="Heading3"/>
        <w:numPr>
          <w:ilvl w:val="2"/>
          <w:numId w:val="69"/>
        </w:numPr>
        <w:spacing w:before="240"/>
        <w:ind w:left="0"/>
      </w:pPr>
      <w:bookmarkStart w:id="219" w:name="_Toc422306714"/>
      <w:bookmarkStart w:id="220" w:name="_Toc422306951"/>
      <w:bookmarkStart w:id="221" w:name="_Toc422307092"/>
      <w:bookmarkStart w:id="222" w:name="_Toc422307224"/>
      <w:bookmarkStart w:id="223" w:name="_Toc422311329"/>
      <w:bookmarkStart w:id="224" w:name="_Toc422311463"/>
      <w:bookmarkStart w:id="225" w:name="_Toc422316687"/>
      <w:bookmarkStart w:id="226" w:name="_Toc422316826"/>
      <w:bookmarkStart w:id="227" w:name="_Toc422316966"/>
      <w:bookmarkStart w:id="228" w:name="_Toc426044639"/>
      <w:bookmarkEnd w:id="219"/>
      <w:bookmarkEnd w:id="220"/>
      <w:bookmarkEnd w:id="221"/>
      <w:bookmarkEnd w:id="222"/>
      <w:bookmarkEnd w:id="223"/>
      <w:bookmarkEnd w:id="224"/>
      <w:bookmarkEnd w:id="225"/>
      <w:bookmarkEnd w:id="226"/>
      <w:bookmarkEnd w:id="227"/>
      <w:r>
        <w:t>Applicable Guidance</w:t>
      </w:r>
      <w:bookmarkEnd w:id="228"/>
    </w:p>
    <w:p w14:paraId="20559FE4" w14:textId="77777777" w:rsidR="00013DFE" w:rsidRPr="00013DFE" w:rsidRDefault="00013DFE" w:rsidP="00047CCF">
      <w:pPr>
        <w:pStyle w:val="BulletLevel1"/>
        <w:rPr>
          <w:color w:val="000000" w:themeColor="text1"/>
        </w:rPr>
      </w:pPr>
      <w:r w:rsidRPr="00013DFE">
        <w:rPr>
          <w:color w:val="000000" w:themeColor="text1"/>
        </w:rPr>
        <w:t xml:space="preserve">Within a single EE program, quantify savings for the constituent EE projects or measures using </w:t>
      </w:r>
      <w:r w:rsidR="00047CCF">
        <w:rPr>
          <w:color w:val="000000" w:themeColor="text1"/>
        </w:rPr>
        <w:t>consistent</w:t>
      </w:r>
      <w:r w:rsidRPr="00013DFE">
        <w:rPr>
          <w:color w:val="000000" w:themeColor="text1"/>
        </w:rPr>
        <w:t xml:space="preserve"> assumptions for independent factors. </w:t>
      </w:r>
    </w:p>
    <w:p w14:paraId="0FE3A02F" w14:textId="77777777" w:rsidR="007A6DD8" w:rsidRPr="00CD2257" w:rsidRDefault="00013DFE" w:rsidP="007A6DD8">
      <w:pPr>
        <w:pStyle w:val="BulletLevel1"/>
      </w:pPr>
      <w:r>
        <w:t xml:space="preserve">Quantify </w:t>
      </w:r>
      <w:r w:rsidR="007A6DD8">
        <w:t xml:space="preserve">EE savings on the basis of </w:t>
      </w:r>
      <w:r w:rsidR="007A6DD8" w:rsidRPr="00CD2257">
        <w:t>independent</w:t>
      </w:r>
      <w:r w:rsidR="007A6DD8">
        <w:t xml:space="preserve"> factors</w:t>
      </w:r>
      <w:r w:rsidR="007A6DD8" w:rsidRPr="00CD2257">
        <w:t xml:space="preserve">, </w:t>
      </w:r>
      <w:r w:rsidR="007A6DD8">
        <w:t>as follows</w:t>
      </w:r>
      <w:r w:rsidR="007A6DD8" w:rsidRPr="00CD2257">
        <w:t>:</w:t>
      </w:r>
    </w:p>
    <w:p w14:paraId="2A84E0F3" w14:textId="77777777" w:rsidR="007A6DD8" w:rsidRDefault="007A6DD8" w:rsidP="007A6DD8">
      <w:pPr>
        <w:pStyle w:val="BulletLevel2"/>
      </w:pPr>
      <w:r w:rsidRPr="00CD2257">
        <w:t>Actual</w:t>
      </w:r>
      <w:r w:rsidR="0023427D">
        <w:t>, normalized</w:t>
      </w:r>
      <w:r w:rsidRPr="00CD2257">
        <w:t xml:space="preserve"> conditions</w:t>
      </w:r>
      <w:r>
        <w:t xml:space="preserve"> </w:t>
      </w:r>
      <w:r w:rsidRPr="00CD2257">
        <w:t>that exist over the period when EE savings occur.</w:t>
      </w:r>
      <w:r>
        <w:t xml:space="preserve"> </w:t>
      </w:r>
    </w:p>
    <w:p w14:paraId="46B694C2" w14:textId="77777777" w:rsidR="007A6DD8" w:rsidRPr="001C1EA8" w:rsidRDefault="007A6DD8" w:rsidP="007A6DD8">
      <w:pPr>
        <w:pStyle w:val="BulletLevel3"/>
      </w:pPr>
      <w:r w:rsidRPr="00CD2257">
        <w:t>With this approach</w:t>
      </w:r>
      <w:r>
        <w:t>, adjust</w:t>
      </w:r>
      <w:r w:rsidRPr="00CD2257">
        <w:t xml:space="preserve"> baseline </w:t>
      </w:r>
      <w:r>
        <w:t>electricity-</w:t>
      </w:r>
      <w:r w:rsidRPr="00CD2257">
        <w:t xml:space="preserve">consumption </w:t>
      </w:r>
      <w:r>
        <w:t xml:space="preserve">data </w:t>
      </w:r>
      <w:r w:rsidRPr="00CD2257">
        <w:t>to</w:t>
      </w:r>
      <w:r>
        <w:t xml:space="preserve"> reflect actual </w:t>
      </w:r>
      <w:r w:rsidRPr="00CD2257">
        <w:t xml:space="preserve">independent </w:t>
      </w:r>
      <w:r>
        <w:t xml:space="preserve">factors observed via real-time </w:t>
      </w:r>
      <w:r w:rsidRPr="001C1EA8">
        <w:t>savings quantification.</w:t>
      </w:r>
      <w:r>
        <w:t xml:space="preserve"> </w:t>
      </w:r>
    </w:p>
    <w:p w14:paraId="65759F15" w14:textId="77777777" w:rsidR="007A6DD8" w:rsidRDefault="007A6DD8" w:rsidP="007A6DD8">
      <w:pPr>
        <w:pStyle w:val="BulletLevel2"/>
      </w:pPr>
      <w:r w:rsidRPr="00CD2257">
        <w:t xml:space="preserve">Normalized or standardized (typical) conditions that can be reasonably expected to occur throughout the </w:t>
      </w:r>
      <w:r>
        <w:t>EUL</w:t>
      </w:r>
      <w:r w:rsidRPr="00CD2257">
        <w:t>.</w:t>
      </w:r>
      <w:r>
        <w:t xml:space="preserve"> </w:t>
      </w:r>
    </w:p>
    <w:p w14:paraId="6C64C2D7" w14:textId="77777777" w:rsidR="007A6DD8" w:rsidRPr="001C1EA8" w:rsidRDefault="007A6DD8" w:rsidP="007A6DD8">
      <w:pPr>
        <w:pStyle w:val="BulletLevel3"/>
      </w:pPr>
      <w:r w:rsidRPr="00CD2257">
        <w:t>With this approach</w:t>
      </w:r>
      <w:r>
        <w:t>,</w:t>
      </w:r>
      <w:r w:rsidRPr="00CD2257">
        <w:t xml:space="preserve"> both baseline and performance period data </w:t>
      </w:r>
      <w:r>
        <w:t xml:space="preserve">on </w:t>
      </w:r>
      <w:r w:rsidRPr="00CD2257">
        <w:t xml:space="preserve">electricity consumption </w:t>
      </w:r>
      <w:r>
        <w:t>must</w:t>
      </w:r>
      <w:r w:rsidRPr="00CD2257">
        <w:t xml:space="preserve"> be normalized </w:t>
      </w:r>
      <w:r>
        <w:t xml:space="preserve">to data on the </w:t>
      </w:r>
      <w:r w:rsidRPr="00CD2257">
        <w:t xml:space="preserve">independent </w:t>
      </w:r>
      <w:r>
        <w:t>factors, where reasonable and appropriate</w:t>
      </w:r>
      <w:r w:rsidRPr="00CD2257">
        <w:t xml:space="preserve">. Examples of normalized independent </w:t>
      </w:r>
      <w:r>
        <w:t xml:space="preserve">factors </w:t>
      </w:r>
      <w:r w:rsidRPr="00CD2257">
        <w:t>are:</w:t>
      </w:r>
    </w:p>
    <w:p w14:paraId="7093A69E" w14:textId="77777777" w:rsidR="007A6DD8" w:rsidRDefault="007A6DD8" w:rsidP="007A6DD8">
      <w:pPr>
        <w:pStyle w:val="BulletLevel3"/>
        <w:numPr>
          <w:ilvl w:val="3"/>
          <w:numId w:val="67"/>
        </w:numPr>
        <w:ind w:left="1440"/>
      </w:pPr>
      <w:r w:rsidRPr="00C023F3">
        <w:t>Typical weather conditions for a residential heating efficiency project,</w:t>
      </w:r>
    </w:p>
    <w:p w14:paraId="6B6BE69E" w14:textId="77777777" w:rsidR="007A6DD8" w:rsidRDefault="007A6DD8" w:rsidP="007A6DD8">
      <w:pPr>
        <w:pStyle w:val="BulletLevel3"/>
        <w:numPr>
          <w:ilvl w:val="3"/>
          <w:numId w:val="67"/>
        </w:numPr>
        <w:ind w:left="1440"/>
      </w:pPr>
      <w:r w:rsidRPr="00C023F3">
        <w:t>Typical occupancy rates for a commercial building l</w:t>
      </w:r>
      <w:r>
        <w:t xml:space="preserve">ighting efficiency project, </w:t>
      </w:r>
      <w:r w:rsidR="00013DFE">
        <w:t>or</w:t>
      </w:r>
    </w:p>
    <w:p w14:paraId="257B38E8" w14:textId="77777777" w:rsidR="007A6DD8" w:rsidRDefault="007A6DD8" w:rsidP="007A6DD8">
      <w:pPr>
        <w:pStyle w:val="BulletLevel3"/>
        <w:numPr>
          <w:ilvl w:val="3"/>
          <w:numId w:val="67"/>
        </w:numPr>
        <w:ind w:left="1440"/>
      </w:pPr>
      <w:r w:rsidRPr="00C023F3">
        <w:t>Typical product production rates for an industrial efficiency project.</w:t>
      </w:r>
    </w:p>
    <w:p w14:paraId="0342D95A" w14:textId="77777777" w:rsidR="007A6DD8" w:rsidRPr="00CD2257" w:rsidRDefault="007A6DD8" w:rsidP="007A6DD8">
      <w:pPr>
        <w:pStyle w:val="BulletLevel1"/>
      </w:pPr>
      <w:r>
        <w:t>Where f</w:t>
      </w:r>
      <w:r w:rsidRPr="00CD2257">
        <w:t>i</w:t>
      </w:r>
      <w:r>
        <w:t>rst-</w:t>
      </w:r>
      <w:r w:rsidRPr="00CD2257">
        <w:t>year savings values</w:t>
      </w:r>
      <w:r>
        <w:t xml:space="preserve"> – derived by applying </w:t>
      </w:r>
      <w:r w:rsidRPr="00CD2257">
        <w:t xml:space="preserve">first-year independent </w:t>
      </w:r>
      <w:r>
        <w:t xml:space="preserve">factors – are used </w:t>
      </w:r>
      <w:r w:rsidR="00047CCF">
        <w:t xml:space="preserve">to </w:t>
      </w:r>
      <w:r>
        <w:t xml:space="preserve">represent </w:t>
      </w:r>
      <w:r w:rsidRPr="00CD2257">
        <w:t xml:space="preserve">annual savings </w:t>
      </w:r>
      <w:r>
        <w:t xml:space="preserve">for the EUL of the project or measure, provide a justification for why this is </w:t>
      </w:r>
      <w:r>
        <w:lastRenderedPageBreak/>
        <w:t>a reasonable assumption (i.e., justify why first-</w:t>
      </w:r>
      <w:r w:rsidRPr="001C1EA8">
        <w:t xml:space="preserve">year independent </w:t>
      </w:r>
      <w:r>
        <w:t xml:space="preserve">factors </w:t>
      </w:r>
      <w:r w:rsidRPr="001C1EA8">
        <w:t>can be shown to represent standard</w:t>
      </w:r>
      <w:r>
        <w:t>/</w:t>
      </w:r>
      <w:r w:rsidRPr="001C1EA8">
        <w:t>typical conditions</w:t>
      </w:r>
      <w:r w:rsidR="00047CCF">
        <w:t xml:space="preserve"> over the life of the measure</w:t>
      </w:r>
      <w:r w:rsidR="00013DFE">
        <w:t>)</w:t>
      </w:r>
      <w:r w:rsidRPr="001C1EA8">
        <w:t>.</w:t>
      </w:r>
    </w:p>
    <w:p w14:paraId="36990698" w14:textId="77777777" w:rsidR="007A6DD8" w:rsidRPr="009D76DC" w:rsidRDefault="007A6DD8" w:rsidP="007A6DD8">
      <w:pPr>
        <w:pStyle w:val="Heading2"/>
        <w:numPr>
          <w:ilvl w:val="1"/>
          <w:numId w:val="69"/>
        </w:numPr>
      </w:pPr>
      <w:bookmarkStart w:id="229" w:name="_Toc426044640"/>
      <w:r>
        <w:t>Accuracy and Reliability of Quantified Savings</w:t>
      </w:r>
      <w:bookmarkEnd w:id="229"/>
    </w:p>
    <w:p w14:paraId="279ED834" w14:textId="77777777" w:rsidR="007A6DD8" w:rsidRPr="00CD2257" w:rsidRDefault="007A6DD8" w:rsidP="007A6DD8">
      <w:pPr>
        <w:pStyle w:val="Heading3"/>
        <w:numPr>
          <w:ilvl w:val="2"/>
          <w:numId w:val="69"/>
        </w:numPr>
        <w:spacing w:before="240"/>
        <w:ind w:left="0"/>
      </w:pPr>
      <w:bookmarkStart w:id="230" w:name="_Toc422306719"/>
      <w:bookmarkStart w:id="231" w:name="_Toc422306956"/>
      <w:bookmarkStart w:id="232" w:name="_Toc422307097"/>
      <w:bookmarkStart w:id="233" w:name="_Toc422307229"/>
      <w:bookmarkStart w:id="234" w:name="_Toc422311334"/>
      <w:bookmarkStart w:id="235" w:name="_Toc422311468"/>
      <w:bookmarkStart w:id="236" w:name="_Toc422316692"/>
      <w:bookmarkStart w:id="237" w:name="_Toc422316831"/>
      <w:bookmarkStart w:id="238" w:name="_Toc422316971"/>
      <w:bookmarkStart w:id="239" w:name="_Toc422316972"/>
      <w:bookmarkStart w:id="240" w:name="_Toc426044641"/>
      <w:bookmarkEnd w:id="230"/>
      <w:bookmarkEnd w:id="231"/>
      <w:bookmarkEnd w:id="232"/>
      <w:bookmarkEnd w:id="233"/>
      <w:bookmarkEnd w:id="234"/>
      <w:bookmarkEnd w:id="235"/>
      <w:bookmarkEnd w:id="236"/>
      <w:bookmarkEnd w:id="237"/>
      <w:bookmarkEnd w:id="238"/>
      <w:r w:rsidRPr="00CD2257">
        <w:t>Discussion</w:t>
      </w:r>
      <w:bookmarkEnd w:id="239"/>
      <w:bookmarkEnd w:id="240"/>
    </w:p>
    <w:p w14:paraId="13D90B59" w14:textId="77777777" w:rsidR="007A6DD8" w:rsidRPr="00CD2257" w:rsidRDefault="003660A6" w:rsidP="00917DC9">
      <w:pPr>
        <w:pStyle w:val="BodyText"/>
        <w:widowControl/>
        <w:rPr>
          <w:noProof/>
        </w:rPr>
      </w:pPr>
      <w:r w:rsidRPr="006D78FC">
        <w:rPr>
          <w:noProof/>
        </w:rPr>
        <mc:AlternateContent>
          <mc:Choice Requires="wps">
            <w:drawing>
              <wp:anchor distT="0" distB="0" distL="114300" distR="114300" simplePos="0" relativeHeight="251656704" behindDoc="0" locked="0" layoutInCell="1" allowOverlap="1" wp14:anchorId="21DEC652" wp14:editId="7A6AED96">
                <wp:simplePos x="0" y="0"/>
                <wp:positionH relativeFrom="margin">
                  <wp:posOffset>2743200</wp:posOffset>
                </wp:positionH>
                <wp:positionV relativeFrom="margin">
                  <wp:posOffset>4643646</wp:posOffset>
                </wp:positionV>
                <wp:extent cx="3117850" cy="3401060"/>
                <wp:effectExtent l="57150" t="38100" r="82550" b="104140"/>
                <wp:wrapSquare wrapText="bothSides"/>
                <wp:docPr id="42" name="Text Box 42"/>
                <wp:cNvGraphicFramePr/>
                <a:graphic xmlns:a="http://schemas.openxmlformats.org/drawingml/2006/main">
                  <a:graphicData uri="http://schemas.microsoft.com/office/word/2010/wordprocessingShape">
                    <wps:wsp>
                      <wps:cNvSpPr txBox="1"/>
                      <wps:spPr>
                        <a:xfrm>
                          <a:off x="0" y="0"/>
                          <a:ext cx="3117850" cy="340106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3FB3443A" w14:textId="6D8F09DB" w:rsidR="00133485" w:rsidRPr="004117E6" w:rsidRDefault="00133485" w:rsidP="007A6DD8">
                            <w:pPr>
                              <w:spacing w:after="120"/>
                              <w:jc w:val="center"/>
                              <w:rPr>
                                <w:b/>
                                <w:sz w:val="20"/>
                                <w:szCs w:val="20"/>
                              </w:rPr>
                            </w:pPr>
                            <w:r w:rsidRPr="004117E6">
                              <w:rPr>
                                <w:b/>
                                <w:sz w:val="20"/>
                                <w:szCs w:val="20"/>
                              </w:rPr>
                              <w:t xml:space="preserve">Key </w:t>
                            </w:r>
                            <w:r>
                              <w:rPr>
                                <w:b/>
                                <w:sz w:val="20"/>
                                <w:szCs w:val="20"/>
                              </w:rPr>
                              <w:t>Terms</w:t>
                            </w:r>
                          </w:p>
                          <w:p w14:paraId="5B4D2CDA" w14:textId="620AAE4B" w:rsidR="00133485" w:rsidRPr="004117E6" w:rsidRDefault="00133485" w:rsidP="00917DC9">
                            <w:pPr>
                              <w:pStyle w:val="BulletLevel1"/>
                              <w:numPr>
                                <w:ilvl w:val="0"/>
                                <w:numId w:val="33"/>
                              </w:numPr>
                              <w:ind w:left="180" w:hanging="216"/>
                              <w:rPr>
                                <w:sz w:val="20"/>
                                <w:szCs w:val="20"/>
                              </w:rPr>
                            </w:pPr>
                            <w:r w:rsidRPr="004117E6">
                              <w:rPr>
                                <w:b/>
                                <w:i/>
                                <w:sz w:val="20"/>
                                <w:szCs w:val="20"/>
                              </w:rPr>
                              <w:t xml:space="preserve">Accuracy: </w:t>
                            </w:r>
                            <w:r w:rsidRPr="004117E6">
                              <w:rPr>
                                <w:sz w:val="20"/>
                                <w:szCs w:val="20"/>
                              </w:rPr>
                              <w:t>A concept that refers to how close and estimate or measured value is like</w:t>
                            </w:r>
                            <w:r>
                              <w:rPr>
                                <w:sz w:val="20"/>
                                <w:szCs w:val="20"/>
                              </w:rPr>
                              <w:t>l</w:t>
                            </w:r>
                            <w:r w:rsidRPr="004117E6">
                              <w:rPr>
                                <w:sz w:val="20"/>
                                <w:szCs w:val="20"/>
                              </w:rPr>
                              <w:t xml:space="preserve">y to be to the true value. The term can also be used in reference to a model or a set of measured data, or to describe a measuring instrument's capability. </w:t>
                            </w:r>
                          </w:p>
                          <w:p w14:paraId="3ABE817C" w14:textId="77777777" w:rsidR="00133485" w:rsidRPr="004117E6" w:rsidRDefault="00133485" w:rsidP="007A6DD8">
                            <w:pPr>
                              <w:pStyle w:val="BulletLevel1"/>
                              <w:numPr>
                                <w:ilvl w:val="0"/>
                                <w:numId w:val="33"/>
                              </w:numPr>
                              <w:ind w:left="180" w:hanging="216"/>
                              <w:rPr>
                                <w:sz w:val="20"/>
                                <w:szCs w:val="20"/>
                              </w:rPr>
                            </w:pPr>
                            <w:r w:rsidRPr="004117E6">
                              <w:rPr>
                                <w:b/>
                                <w:i/>
                                <w:sz w:val="20"/>
                                <w:szCs w:val="20"/>
                              </w:rPr>
                              <w:t xml:space="preserve">Reliability: </w:t>
                            </w:r>
                            <w:r w:rsidRPr="004117E6">
                              <w:rPr>
                                <w:sz w:val="20"/>
                                <w:szCs w:val="20"/>
                              </w:rPr>
                              <w:t xml:space="preserve">The quality of a measurement process that would produce similar results on (1) repeated observations of the same condition or event, or (2) multiple observations of the same condition or event by different observers. Reliability refers to the likelihood that the observations can be replicated. </w:t>
                            </w:r>
                          </w:p>
                          <w:p w14:paraId="397A472B" w14:textId="77777777" w:rsidR="00133485" w:rsidRPr="004117E6" w:rsidRDefault="00133485" w:rsidP="007A6DD8">
                            <w:pPr>
                              <w:pStyle w:val="BulletLevel1"/>
                              <w:numPr>
                                <w:ilvl w:val="0"/>
                                <w:numId w:val="33"/>
                              </w:numPr>
                              <w:ind w:left="180" w:hanging="180"/>
                              <w:rPr>
                                <w:rFonts w:eastAsia="Times New Roman" w:cstheme="majorHAnsi"/>
                                <w:b/>
                                <w:sz w:val="20"/>
                                <w:szCs w:val="20"/>
                              </w:rPr>
                            </w:pPr>
                            <w:r w:rsidRPr="004117E6">
                              <w:rPr>
                                <w:b/>
                                <w:i/>
                                <w:sz w:val="20"/>
                                <w:szCs w:val="20"/>
                              </w:rPr>
                              <w:t>Rigor:</w:t>
                            </w:r>
                            <w:r w:rsidRPr="004117E6">
                              <w:rPr>
                                <w:sz w:val="20"/>
                                <w:szCs w:val="20"/>
                              </w:rPr>
                              <w:t xml:space="preserve"> the level of effort expended to minimize uncertainty in savings estimates such as sampling error and bias. The higher the level of rigor, the more confident one is that the results of the EM&amp;V activities are both accurate and precise. Rigor may be quantified or described with metrics for reliability and certainty, such as statistical confidence and precision.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EC652" id="Text Box 42" o:spid="_x0000_s1035" type="#_x0000_t202" style="position:absolute;margin-left:3in;margin-top:365.65pt;width:245.5pt;height:267.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" fillcolor="#a7bfde [1620]" strokecolor="#4579b8 [3044]">
                <v:fill color2="#e4ecf5 [500]" rotate="t" angle="180" colors="0 #a3c4ff;22938f #bfd5ff;1 #e5eeff" focus="100%" type="gradient"/>
                <v:shadow on="t" color="black" opacity="24903f" origin=",.5" offset="0,.55556mm"/>
                <v:textbox>
                  <w:txbxContent>
                    <w:p w14:paraId="3FB3443A" w14:textId="6D8F09DB" w:rsidR="00133485" w:rsidRPr="004117E6" w:rsidRDefault="00133485" w:rsidP="007A6DD8">
                      <w:pPr>
                        <w:spacing w:after="120"/>
                        <w:jc w:val="center"/>
                        <w:rPr>
                          <w:b/>
                          <w:sz w:val="20"/>
                          <w:szCs w:val="20"/>
                        </w:rPr>
                      </w:pPr>
                      <w:r w:rsidRPr="004117E6">
                        <w:rPr>
                          <w:b/>
                          <w:sz w:val="20"/>
                          <w:szCs w:val="20"/>
                        </w:rPr>
                        <w:t xml:space="preserve">Key </w:t>
                      </w:r>
                      <w:r>
                        <w:rPr>
                          <w:b/>
                          <w:sz w:val="20"/>
                          <w:szCs w:val="20"/>
                        </w:rPr>
                        <w:t>Terms</w:t>
                      </w:r>
                    </w:p>
                    <w:p w14:paraId="5B4D2CDA" w14:textId="620AAE4B" w:rsidR="00133485" w:rsidRPr="004117E6" w:rsidRDefault="00133485" w:rsidP="00917DC9">
                      <w:pPr>
                        <w:pStyle w:val="BulletLevel1"/>
                        <w:numPr>
                          <w:ilvl w:val="0"/>
                          <w:numId w:val="33"/>
                        </w:numPr>
                        <w:ind w:left="180" w:hanging="216"/>
                        <w:rPr>
                          <w:sz w:val="20"/>
                          <w:szCs w:val="20"/>
                        </w:rPr>
                      </w:pPr>
                      <w:r w:rsidRPr="004117E6">
                        <w:rPr>
                          <w:b/>
                          <w:i/>
                          <w:sz w:val="20"/>
                          <w:szCs w:val="20"/>
                        </w:rPr>
                        <w:t xml:space="preserve">Accuracy: </w:t>
                      </w:r>
                      <w:r w:rsidRPr="004117E6">
                        <w:rPr>
                          <w:sz w:val="20"/>
                          <w:szCs w:val="20"/>
                        </w:rPr>
                        <w:t>A concept that refers to how close and estimate or measured value is like</w:t>
                      </w:r>
                      <w:r>
                        <w:rPr>
                          <w:sz w:val="20"/>
                          <w:szCs w:val="20"/>
                        </w:rPr>
                        <w:t>l</w:t>
                      </w:r>
                      <w:r w:rsidRPr="004117E6">
                        <w:rPr>
                          <w:sz w:val="20"/>
                          <w:szCs w:val="20"/>
                        </w:rPr>
                        <w:t xml:space="preserve">y to be to the true value. The term can also be used in reference to a model or a set of measured data, or to describe a measuring instrument's capability. </w:t>
                      </w:r>
                    </w:p>
                    <w:p w14:paraId="3ABE817C" w14:textId="77777777" w:rsidR="00133485" w:rsidRPr="004117E6" w:rsidRDefault="00133485" w:rsidP="007A6DD8">
                      <w:pPr>
                        <w:pStyle w:val="BulletLevel1"/>
                        <w:numPr>
                          <w:ilvl w:val="0"/>
                          <w:numId w:val="33"/>
                        </w:numPr>
                        <w:ind w:left="180" w:hanging="216"/>
                        <w:rPr>
                          <w:sz w:val="20"/>
                          <w:szCs w:val="20"/>
                        </w:rPr>
                      </w:pPr>
                      <w:r w:rsidRPr="004117E6">
                        <w:rPr>
                          <w:b/>
                          <w:i/>
                          <w:sz w:val="20"/>
                          <w:szCs w:val="20"/>
                        </w:rPr>
                        <w:t xml:space="preserve">Reliability: </w:t>
                      </w:r>
                      <w:r w:rsidRPr="004117E6">
                        <w:rPr>
                          <w:sz w:val="20"/>
                          <w:szCs w:val="20"/>
                        </w:rPr>
                        <w:t xml:space="preserve">The quality of a measurement process that would produce similar results on (1) repeated observations of the same condition or event, or (2) multiple observations of the same condition or event by different observers. Reliability refers to the likelihood that the observations can be replicated. </w:t>
                      </w:r>
                    </w:p>
                    <w:p w14:paraId="397A472B" w14:textId="77777777" w:rsidR="00133485" w:rsidRPr="004117E6" w:rsidRDefault="00133485" w:rsidP="007A6DD8">
                      <w:pPr>
                        <w:pStyle w:val="BulletLevel1"/>
                        <w:numPr>
                          <w:ilvl w:val="0"/>
                          <w:numId w:val="33"/>
                        </w:numPr>
                        <w:ind w:left="180" w:hanging="180"/>
                        <w:rPr>
                          <w:rFonts w:eastAsia="Times New Roman" w:cstheme="majorHAnsi"/>
                          <w:b/>
                          <w:sz w:val="20"/>
                          <w:szCs w:val="20"/>
                        </w:rPr>
                      </w:pPr>
                      <w:r w:rsidRPr="004117E6">
                        <w:rPr>
                          <w:b/>
                          <w:i/>
                          <w:sz w:val="20"/>
                          <w:szCs w:val="20"/>
                        </w:rPr>
                        <w:t>Rigor:</w:t>
                      </w:r>
                      <w:r w:rsidRPr="004117E6">
                        <w:rPr>
                          <w:sz w:val="20"/>
                          <w:szCs w:val="20"/>
                        </w:rPr>
                        <w:t xml:space="preserve"> the level of effort expended to minimize uncertainty in savings estimates such as sampling error and bias. The higher the level of rigor, the more confident one is that the results of the EM&amp;V activities are both accurate and precise. Rigor may be quantified or described with metrics for reliability and certainty, such as statistical confidence and precision.</w:t>
                      </w:r>
                    </w:p>
                  </w:txbxContent>
                </v:textbox>
                <w10:wrap type="square" anchorx="margin" anchory="margin"/>
              </v:shape>
            </w:pict>
          </mc:Fallback>
        </mc:AlternateContent>
      </w:r>
      <w:r w:rsidR="00BB424D">
        <w:t xml:space="preserve">It is a best practice in the EE industry for </w:t>
      </w:r>
      <w:r w:rsidR="007A6DD8" w:rsidRPr="0085416C">
        <w:t xml:space="preserve">EM&amp;V plans </w:t>
      </w:r>
      <w:r w:rsidR="00BB424D">
        <w:t xml:space="preserve">to </w:t>
      </w:r>
      <w:r w:rsidR="007A6DD8" w:rsidRPr="0085416C">
        <w:t xml:space="preserve">include information on how </w:t>
      </w:r>
      <w:r w:rsidR="007A6DD8">
        <w:t xml:space="preserve">the accuracy and reliability of EE savings </w:t>
      </w:r>
      <w:r w:rsidR="007A6DD8" w:rsidRPr="0085416C">
        <w:t xml:space="preserve">will be </w:t>
      </w:r>
      <w:r w:rsidR="007A6DD8">
        <w:t xml:space="preserve">determined </w:t>
      </w:r>
      <w:r w:rsidR="007A6DD8" w:rsidRPr="0085416C">
        <w:t xml:space="preserve">based on </w:t>
      </w:r>
      <w:r w:rsidR="007A6DD8">
        <w:t xml:space="preserve">the selected EM&amp;V methods. The level of accuracy and reliability of </w:t>
      </w:r>
      <w:r w:rsidR="007A6DD8">
        <w:rPr>
          <w:noProof/>
        </w:rPr>
        <w:t xml:space="preserve">quantified and verified MWh </w:t>
      </w:r>
      <w:r w:rsidR="007A6DD8" w:rsidRPr="00CD2257">
        <w:rPr>
          <w:noProof/>
        </w:rPr>
        <w:t xml:space="preserve">savings values </w:t>
      </w:r>
      <w:r w:rsidR="007A6DD8">
        <w:rPr>
          <w:noProof/>
        </w:rPr>
        <w:t xml:space="preserve">is determined by the rigor of the EM&amp;V methods applied, </w:t>
      </w:r>
      <w:r w:rsidR="001735F2">
        <w:rPr>
          <w:noProof/>
        </w:rPr>
        <w:t>where r</w:t>
      </w:r>
      <w:r w:rsidR="001735F2" w:rsidRPr="001735F2">
        <w:rPr>
          <w:noProof/>
        </w:rPr>
        <w:t xml:space="preserve">igor </w:t>
      </w:r>
      <w:r w:rsidR="001735F2">
        <w:rPr>
          <w:noProof/>
        </w:rPr>
        <w:t xml:space="preserve">is typically </w:t>
      </w:r>
      <w:r w:rsidR="001735F2" w:rsidRPr="001735F2">
        <w:rPr>
          <w:noProof/>
        </w:rPr>
        <w:t xml:space="preserve">quantified using statistical indicators such as confidence </w:t>
      </w:r>
      <w:r w:rsidR="00D60675">
        <w:rPr>
          <w:noProof/>
        </w:rPr>
        <w:t xml:space="preserve">intervals </w:t>
      </w:r>
      <w:r w:rsidR="001735F2" w:rsidRPr="001735F2">
        <w:rPr>
          <w:noProof/>
        </w:rPr>
        <w:t xml:space="preserve">and </w:t>
      </w:r>
      <w:r w:rsidR="00D60675">
        <w:rPr>
          <w:noProof/>
        </w:rPr>
        <w:t xml:space="preserve">or the relative </w:t>
      </w:r>
      <w:r w:rsidR="001735F2" w:rsidRPr="001735F2">
        <w:rPr>
          <w:noProof/>
        </w:rPr>
        <w:t>precision</w:t>
      </w:r>
      <w:r w:rsidR="00D60675">
        <w:rPr>
          <w:noProof/>
        </w:rPr>
        <w:t xml:space="preserve"> at a given confidence level</w:t>
      </w:r>
      <w:r w:rsidR="001735F2" w:rsidRPr="001735F2">
        <w:rPr>
          <w:noProof/>
        </w:rPr>
        <w:t xml:space="preserve"> (for annual MWh savings, or for a representative sample of an EE program population</w:t>
      </w:r>
      <w:r w:rsidR="001735F2">
        <w:rPr>
          <w:noProof/>
        </w:rPr>
        <w:t xml:space="preserve">). The accuracy and reliability of quantified savings </w:t>
      </w:r>
      <w:r w:rsidR="00917DC9">
        <w:rPr>
          <w:noProof/>
        </w:rPr>
        <w:t>reflects</w:t>
      </w:r>
      <w:r w:rsidR="006952C2">
        <w:rPr>
          <w:noProof/>
        </w:rPr>
        <w:t xml:space="preserve"> </w:t>
      </w:r>
      <w:r w:rsidR="007A6DD8">
        <w:rPr>
          <w:noProof/>
        </w:rPr>
        <w:t xml:space="preserve">the magnitude of </w:t>
      </w:r>
      <w:r w:rsidR="001735F2">
        <w:rPr>
          <w:noProof/>
        </w:rPr>
        <w:t xml:space="preserve">the following </w:t>
      </w:r>
      <w:r w:rsidR="007A6DD8" w:rsidRPr="00CD2257">
        <w:rPr>
          <w:noProof/>
        </w:rPr>
        <w:t xml:space="preserve">two types of error: </w:t>
      </w:r>
    </w:p>
    <w:p w14:paraId="0895219D" w14:textId="77777777" w:rsidR="007A6DD8" w:rsidRPr="00CD2257" w:rsidRDefault="007A6DD8" w:rsidP="007A6DD8">
      <w:pPr>
        <w:pStyle w:val="BulletLevel1"/>
      </w:pPr>
      <w:r w:rsidRPr="00CB6FBA">
        <w:rPr>
          <w:b/>
        </w:rPr>
        <w:t>Systematic error:</w:t>
      </w:r>
      <w:r w:rsidRPr="00CD2257">
        <w:t xml:space="preserve"> </w:t>
      </w:r>
      <w:r>
        <w:t xml:space="preserve">inaccuracies in the same direction, causing savings values to be consistently either overstated or understated. Systematic errors </w:t>
      </w:r>
      <w:r w:rsidR="00374D30">
        <w:t xml:space="preserve">(also referred to as bias) </w:t>
      </w:r>
      <w:r>
        <w:t>may result from incorrect assumptions, a methodological issue, or a flawed reporting system.</w:t>
      </w:r>
    </w:p>
    <w:p w14:paraId="5C373410" w14:textId="77777777" w:rsidR="007E3BF4" w:rsidRDefault="007A6DD8" w:rsidP="00D17FF5">
      <w:pPr>
        <w:pStyle w:val="BulletLevel1"/>
        <w:numPr>
          <w:ilvl w:val="0"/>
          <w:numId w:val="214"/>
        </w:numPr>
        <w:ind w:left="360"/>
        <w:rPr>
          <w:noProof/>
        </w:rPr>
      </w:pPr>
      <w:r w:rsidRPr="00ED10C6">
        <w:rPr>
          <w:b/>
        </w:rPr>
        <w:t>Random error:</w:t>
      </w:r>
      <w:r w:rsidR="00C65406">
        <w:t xml:space="preserve"> error</w:t>
      </w:r>
      <w:r w:rsidRPr="00CD2257">
        <w:t xml:space="preserve"> occurring by “chance” </w:t>
      </w:r>
      <w:r>
        <w:t>that may cause the savings estimates to be inconsistently overstated or understated. R</w:t>
      </w:r>
      <w:r w:rsidRPr="00CD2257">
        <w:t>andom error</w:t>
      </w:r>
      <w:r>
        <w:t>s</w:t>
      </w:r>
      <w:r w:rsidRPr="00CD2257">
        <w:t xml:space="preserve"> </w:t>
      </w:r>
      <w:r>
        <w:t xml:space="preserve">include an observed </w:t>
      </w:r>
      <w:r w:rsidRPr="00CD2257">
        <w:t>change in energy use due to un</w:t>
      </w:r>
      <w:r>
        <w:t xml:space="preserve">accounted-for factors that affect energy use. </w:t>
      </w:r>
    </w:p>
    <w:p w14:paraId="4CD53436" w14:textId="77777777" w:rsidR="007A6DD8" w:rsidRDefault="007A6DD8" w:rsidP="00703A52">
      <w:pPr>
        <w:pStyle w:val="BodyText"/>
        <w:rPr>
          <w:noProof/>
        </w:rPr>
      </w:pPr>
      <w:r>
        <w:rPr>
          <w:noProof/>
        </w:rPr>
        <w:t xml:space="preserve">The magnitude of random error can be quantified based on the variations observed across different units. By contrast, systematic error or bias is not quantifiable based on the observations. For this reason, it is important to report the quantifiable random error, and to describe the steps that have been taken to minimize the potential for systematic error, and provide a subjective assessment of the potential effects of such error. </w:t>
      </w:r>
    </w:p>
    <w:p w14:paraId="2A40D2C3" w14:textId="77777777" w:rsidR="007A6DD8" w:rsidRPr="00CD2257" w:rsidRDefault="007A6DD8" w:rsidP="007A6DD8">
      <w:pPr>
        <w:pStyle w:val="Heading3"/>
        <w:numPr>
          <w:ilvl w:val="2"/>
          <w:numId w:val="69"/>
        </w:numPr>
        <w:ind w:left="0"/>
      </w:pPr>
      <w:bookmarkStart w:id="241" w:name="_Toc422306721"/>
      <w:bookmarkStart w:id="242" w:name="_Toc422306958"/>
      <w:bookmarkStart w:id="243" w:name="_Toc422307099"/>
      <w:bookmarkStart w:id="244" w:name="_Toc422307231"/>
      <w:bookmarkStart w:id="245" w:name="_Toc422311336"/>
      <w:bookmarkStart w:id="246" w:name="_Toc422311470"/>
      <w:bookmarkStart w:id="247" w:name="_Toc422316694"/>
      <w:bookmarkStart w:id="248" w:name="_Toc422316833"/>
      <w:bookmarkStart w:id="249" w:name="_Toc422316973"/>
      <w:bookmarkStart w:id="250" w:name="_Toc423535517"/>
      <w:bookmarkStart w:id="251" w:name="_Toc426044642"/>
      <w:bookmarkEnd w:id="241"/>
      <w:bookmarkEnd w:id="242"/>
      <w:bookmarkEnd w:id="243"/>
      <w:bookmarkEnd w:id="244"/>
      <w:bookmarkEnd w:id="245"/>
      <w:bookmarkEnd w:id="246"/>
      <w:bookmarkEnd w:id="247"/>
      <w:bookmarkEnd w:id="248"/>
      <w:bookmarkEnd w:id="249"/>
      <w:bookmarkEnd w:id="250"/>
      <w:r>
        <w:t>Applicable Guidance</w:t>
      </w:r>
      <w:bookmarkEnd w:id="251"/>
    </w:p>
    <w:p w14:paraId="69B7A2AC" w14:textId="77777777" w:rsidR="007A6DD8" w:rsidRPr="003E0285" w:rsidRDefault="00917DC9" w:rsidP="00703A52">
      <w:pPr>
        <w:pStyle w:val="BulletLevel1"/>
      </w:pPr>
      <w:r>
        <w:t>Assumptions required for savings quantification should be designed neither to provide optimistic savings estimates (aiming to err on the high side) nor to provide conservative estimates (aiming to err on the low side).</w:t>
      </w:r>
      <w:r w:rsidR="001A5A18">
        <w:t xml:space="preserve"> </w:t>
      </w:r>
    </w:p>
    <w:p w14:paraId="44E88796" w14:textId="77777777" w:rsidR="007A6DD8" w:rsidRPr="00190792" w:rsidRDefault="006952C2" w:rsidP="007A6DD8">
      <w:pPr>
        <w:pStyle w:val="BulletLevel1"/>
      </w:pPr>
      <w:r>
        <w:t xml:space="preserve">If </w:t>
      </w:r>
      <w:r w:rsidR="007A6DD8">
        <w:t>s</w:t>
      </w:r>
      <w:r w:rsidR="007A6DD8" w:rsidRPr="00CD2257">
        <w:t xml:space="preserve">ampling </w:t>
      </w:r>
      <w:r>
        <w:t xml:space="preserve">is used </w:t>
      </w:r>
      <w:r w:rsidR="007A6DD8">
        <w:t xml:space="preserve">for quantifying </w:t>
      </w:r>
      <w:r w:rsidR="007A6DD8" w:rsidRPr="00CD2257">
        <w:t>savings values</w:t>
      </w:r>
      <w:r w:rsidR="007A6DD8">
        <w:t>, ensure that</w:t>
      </w:r>
      <w:r>
        <w:t xml:space="preserve"> a</w:t>
      </w:r>
      <w:r w:rsidR="007A6DD8" w:rsidRPr="00CD2257">
        <w:t xml:space="preserve">ctual </w:t>
      </w:r>
      <w:r w:rsidR="001735F2">
        <w:t xml:space="preserve">observed </w:t>
      </w:r>
      <w:r w:rsidR="007A6DD8" w:rsidRPr="00CD2257">
        <w:t xml:space="preserve">confidence/precision values </w:t>
      </w:r>
      <w:r w:rsidR="007A6DD8">
        <w:t>are applied</w:t>
      </w:r>
      <w:r>
        <w:t xml:space="preserve"> (</w:t>
      </w:r>
      <w:r w:rsidR="007A6DD8">
        <w:t xml:space="preserve">versus </w:t>
      </w:r>
      <w:r w:rsidR="007A6DD8" w:rsidRPr="00CD2257">
        <w:t>ex-ante estimate</w:t>
      </w:r>
      <w:r w:rsidR="007A6DD8">
        <w:t>s</w:t>
      </w:r>
      <w:r w:rsidR="007A6DD8" w:rsidRPr="00CD2257">
        <w:t xml:space="preserve"> of confidence/precision</w:t>
      </w:r>
      <w:r>
        <w:t>)</w:t>
      </w:r>
      <w:r w:rsidR="007A6DD8">
        <w:t>.</w:t>
      </w:r>
      <w:r w:rsidR="001735F2">
        <w:t xml:space="preserve"> </w:t>
      </w:r>
      <w:r w:rsidR="007A6DD8" w:rsidRPr="00190792">
        <w:t xml:space="preserve">If sampling is used to </w:t>
      </w:r>
      <w:r>
        <w:t xml:space="preserve">quantify </w:t>
      </w:r>
      <w:r w:rsidR="007A6DD8" w:rsidRPr="00190792">
        <w:t xml:space="preserve">savings, </w:t>
      </w:r>
      <w:r w:rsidR="007A6DD8">
        <w:t xml:space="preserve">report </w:t>
      </w:r>
      <w:r w:rsidR="007A6DD8" w:rsidRPr="00190792">
        <w:t>the statistical precision of the associated estimates.</w:t>
      </w:r>
      <w:r w:rsidR="007A6DD8">
        <w:t xml:space="preserve"> </w:t>
      </w:r>
      <w:r w:rsidR="007A6DD8" w:rsidRPr="00190792">
        <w:t>Examples</w:t>
      </w:r>
      <w:r w:rsidR="00917DC9">
        <w:t xml:space="preserve"> of use of sampling for savings quantification</w:t>
      </w:r>
      <w:r w:rsidR="007A6DD8" w:rsidRPr="00190792">
        <w:t xml:space="preserve"> include</w:t>
      </w:r>
      <w:r w:rsidR="007A6DD8">
        <w:t>:</w:t>
      </w:r>
    </w:p>
    <w:p w14:paraId="27A65CEF" w14:textId="0A96983D" w:rsidR="007A6DD8" w:rsidRPr="00190792" w:rsidRDefault="006F4D93" w:rsidP="007A6DD8">
      <w:pPr>
        <w:pStyle w:val="BulletLevel2"/>
      </w:pPr>
      <w:r>
        <w:t>PB-MV</w:t>
      </w:r>
      <w:r w:rsidR="007A6DD8" w:rsidRPr="00190792">
        <w:t xml:space="preserve"> </w:t>
      </w:r>
      <w:r w:rsidR="007A6DD8">
        <w:t>of the program savings</w:t>
      </w:r>
      <w:r w:rsidR="007A6DD8" w:rsidRPr="00190792">
        <w:t xml:space="preserve">, based on </w:t>
      </w:r>
      <w:r>
        <w:t>PB-MB</w:t>
      </w:r>
      <w:r w:rsidR="007A6DD8">
        <w:t xml:space="preserve"> for </w:t>
      </w:r>
      <w:r w:rsidR="007A6DD8" w:rsidRPr="00190792">
        <w:t xml:space="preserve">a sample of </w:t>
      </w:r>
      <w:r w:rsidR="007A6DD8" w:rsidRPr="00190792">
        <w:lastRenderedPageBreak/>
        <w:t>project</w:t>
      </w:r>
      <w:r w:rsidR="00917DC9">
        <w:t>s</w:t>
      </w:r>
      <w:r w:rsidR="007A6DD8">
        <w:t xml:space="preserve"> and installed measures</w:t>
      </w:r>
      <w:r w:rsidR="007A6DD8" w:rsidRPr="00190792">
        <w:t>.</w:t>
      </w:r>
      <w:r w:rsidR="007A6DD8">
        <w:tab/>
      </w:r>
    </w:p>
    <w:p w14:paraId="344815B1" w14:textId="77777777" w:rsidR="007A6DD8" w:rsidRPr="00190792" w:rsidRDefault="007A6DD8" w:rsidP="007A6DD8">
      <w:pPr>
        <w:pStyle w:val="BulletLevel2"/>
      </w:pPr>
      <w:r w:rsidRPr="00190792">
        <w:t xml:space="preserve">A program-level estimate of savings or of key parameters used to calculated savings (e.g. lighting operating hours) </w:t>
      </w:r>
      <w:r w:rsidR="0023427D">
        <w:t xml:space="preserve">derived from </w:t>
      </w:r>
      <w:r w:rsidRPr="00190792">
        <w:t>a random sample of units.</w:t>
      </w:r>
    </w:p>
    <w:p w14:paraId="4C74EB1C" w14:textId="77777777" w:rsidR="007A6DD8" w:rsidRDefault="007A6DD8" w:rsidP="007A6DD8">
      <w:pPr>
        <w:pStyle w:val="BulletLevel2"/>
      </w:pPr>
      <w:r w:rsidRPr="00190792">
        <w:t xml:space="preserve">For savings determined by comparison group methods, the statistical </w:t>
      </w:r>
      <w:r w:rsidR="00D60675">
        <w:t xml:space="preserve">confidence intervals or confidence/relative </w:t>
      </w:r>
      <w:r w:rsidRPr="00190792">
        <w:t>precision</w:t>
      </w:r>
      <w:r w:rsidR="00D60675">
        <w:t xml:space="preserve"> levels</w:t>
      </w:r>
      <w:r w:rsidRPr="00190792">
        <w:t xml:space="preserve"> of the program effect measured by the comparison group analysis should be reported.</w:t>
      </w:r>
      <w:r>
        <w:t xml:space="preserve"> Applicable g</w:t>
      </w:r>
      <w:r w:rsidRPr="00190792">
        <w:t>uidance documents include</w:t>
      </w:r>
      <w:r>
        <w:t xml:space="preserve">: </w:t>
      </w:r>
    </w:p>
    <w:p w14:paraId="3C6C79C6" w14:textId="77777777" w:rsidR="007A6DD8" w:rsidRPr="00B67A19" w:rsidRDefault="007A6DD8" w:rsidP="007A6DD8">
      <w:pPr>
        <w:pStyle w:val="BulletLevel3"/>
        <w:rPr>
          <w:rStyle w:val="FootnoteReference"/>
          <w:vertAlign w:val="baseline"/>
        </w:rPr>
      </w:pPr>
      <w:r w:rsidRPr="00190792">
        <w:t>SEE Action Guide on evaluating behavior programs,</w:t>
      </w:r>
      <w:r w:rsidRPr="00EF7CAE">
        <w:rPr>
          <w:rStyle w:val="FootnoteReference"/>
        </w:rPr>
        <w:footnoteReference w:id="31"/>
      </w:r>
      <w:r w:rsidRPr="00EF7CAE">
        <w:rPr>
          <w:rStyle w:val="FootnoteReference"/>
        </w:rPr>
        <w:t xml:space="preserve"> </w:t>
      </w:r>
    </w:p>
    <w:p w14:paraId="28886A49" w14:textId="77777777" w:rsidR="007A6DD8" w:rsidRDefault="007A6DD8" w:rsidP="007A6DD8">
      <w:pPr>
        <w:pStyle w:val="BulletLevel3"/>
      </w:pPr>
      <w:r w:rsidRPr="00190792">
        <w:t>Uniform Methods Project Sample Design Cross-Cutting Protocol (Section 11)</w:t>
      </w:r>
      <w:r w:rsidRPr="00EF7CAE">
        <w:rPr>
          <w:rStyle w:val="FootnoteReference"/>
        </w:rPr>
        <w:footnoteReference w:id="32"/>
      </w:r>
      <w:r>
        <w:t>,</w:t>
      </w:r>
      <w:r w:rsidRPr="00190792">
        <w:t xml:space="preserve"> and </w:t>
      </w:r>
    </w:p>
    <w:p w14:paraId="146245B1" w14:textId="77777777" w:rsidR="007A6DD8" w:rsidRPr="00190792" w:rsidRDefault="007A6DD8" w:rsidP="007A6DD8">
      <w:pPr>
        <w:pStyle w:val="BulletLevel3"/>
      </w:pPr>
      <w:r w:rsidRPr="00190792">
        <w:t>Uniform Methods Project Whole-Building Retrofit Evaluation Protocol (Section 8)</w:t>
      </w:r>
      <w:r w:rsidRPr="00EF7CAE">
        <w:rPr>
          <w:rStyle w:val="FootnoteReference"/>
        </w:rPr>
        <w:footnoteReference w:id="33"/>
      </w:r>
    </w:p>
    <w:p w14:paraId="1918629B" w14:textId="77777777" w:rsidR="006952C2" w:rsidRDefault="006952C2" w:rsidP="006952C2">
      <w:pPr>
        <w:pStyle w:val="BulletLevel1"/>
      </w:pPr>
      <w:r>
        <w:t>Apply and cite a</w:t>
      </w:r>
      <w:r w:rsidRPr="00CD2257">
        <w:t>pplicable industry-standard protocols and guidance documents for sampling</w:t>
      </w:r>
      <w:r>
        <w:t xml:space="preserve">. Best practices for </w:t>
      </w:r>
      <w:r w:rsidRPr="00CD2257">
        <w:t xml:space="preserve">statistical sampling </w:t>
      </w:r>
      <w:r>
        <w:t xml:space="preserve">are </w:t>
      </w:r>
      <w:r w:rsidRPr="00CD2257">
        <w:t>described in</w:t>
      </w:r>
      <w:r>
        <w:t>:</w:t>
      </w:r>
    </w:p>
    <w:p w14:paraId="578B9CD7" w14:textId="77777777" w:rsidR="006952C2" w:rsidRDefault="006952C2" w:rsidP="006952C2">
      <w:pPr>
        <w:pStyle w:val="BulletLevel2"/>
      </w:pPr>
      <w:r w:rsidRPr="00CD2257">
        <w:t>ISO New England Manual for Measurement and Verification of Demand Reduction Value from Demand Resources</w:t>
      </w:r>
      <w:r>
        <w:t>.</w:t>
      </w:r>
      <w:r w:rsidRPr="00CB6FBA">
        <w:rPr>
          <w:rStyle w:val="FootnoteReference"/>
          <w:rFonts w:asciiTheme="majorHAnsi" w:hAnsiTheme="majorHAnsi" w:cstheme="majorHAnsi"/>
          <w:szCs w:val="22"/>
        </w:rPr>
        <w:footnoteReference w:id="34"/>
      </w:r>
      <w:r w:rsidRPr="001808DC">
        <w:t xml:space="preserve"> </w:t>
      </w:r>
    </w:p>
    <w:p w14:paraId="220CB75A" w14:textId="77777777" w:rsidR="006952C2" w:rsidRPr="00CD2257" w:rsidRDefault="006952C2" w:rsidP="006952C2">
      <w:pPr>
        <w:pStyle w:val="BulletLevel2"/>
      </w:pPr>
      <w:r>
        <w:t>T</w:t>
      </w:r>
      <w:r w:rsidRPr="00CD2257">
        <w:t>he California Evaluation Protocols</w:t>
      </w:r>
      <w:r>
        <w:t xml:space="preserve">. </w:t>
      </w:r>
    </w:p>
    <w:p w14:paraId="5CE2C9F7" w14:textId="77777777" w:rsidR="006952C2" w:rsidRDefault="006952C2" w:rsidP="006952C2">
      <w:pPr>
        <w:pStyle w:val="BulletLevel2"/>
      </w:pPr>
      <w:r>
        <w:t xml:space="preserve">Uniform Methods Project </w:t>
      </w:r>
      <w:r w:rsidRPr="00CD2257">
        <w:rPr>
          <w:i/>
        </w:rPr>
        <w:t>Sample Design Cross-Cutting Protocol</w:t>
      </w:r>
      <w:r>
        <w:t xml:space="preserve"> (Chapter 11).</w:t>
      </w:r>
      <w:r w:rsidRPr="003E00BA">
        <w:t xml:space="preserve"> </w:t>
      </w:r>
    </w:p>
    <w:p w14:paraId="036AF382" w14:textId="77777777" w:rsidR="006952C2" w:rsidRDefault="006952C2" w:rsidP="006952C2">
      <w:pPr>
        <w:pStyle w:val="BulletLevel1"/>
      </w:pPr>
      <w:r w:rsidRPr="00190792">
        <w:t>For deemed savings</w:t>
      </w:r>
      <w:r>
        <w:t xml:space="preserve">: </w:t>
      </w:r>
    </w:p>
    <w:p w14:paraId="390C6F7C" w14:textId="77777777" w:rsidR="006952C2" w:rsidRDefault="006952C2" w:rsidP="006952C2">
      <w:pPr>
        <w:pStyle w:val="BulletLevel2"/>
      </w:pPr>
      <w:r>
        <w:t xml:space="preserve">Quantify </w:t>
      </w:r>
      <w:r w:rsidRPr="00190792">
        <w:t>random errors if applicable</w:t>
      </w:r>
    </w:p>
    <w:p w14:paraId="2D1DB6CC" w14:textId="77777777" w:rsidR="006952C2" w:rsidRPr="00190792" w:rsidRDefault="006952C2" w:rsidP="006952C2">
      <w:pPr>
        <w:pStyle w:val="BulletLevel2"/>
      </w:pPr>
      <w:r>
        <w:t>I</w:t>
      </w:r>
      <w:r w:rsidRPr="00190792">
        <w:t xml:space="preserve">nclude the statistical precision </w:t>
      </w:r>
      <w:r w:rsidR="001169A6">
        <w:t xml:space="preserve">(margin of error) </w:t>
      </w:r>
      <w:r w:rsidRPr="00190792">
        <w:t xml:space="preserve">of any </w:t>
      </w:r>
      <w:r>
        <w:t xml:space="preserve">EM&amp;V parameters </w:t>
      </w:r>
      <w:r w:rsidRPr="00190792">
        <w:t xml:space="preserve">determined </w:t>
      </w:r>
      <w:r>
        <w:t xml:space="preserve">using </w:t>
      </w:r>
      <w:r w:rsidRPr="00190792">
        <w:t>sampling</w:t>
      </w:r>
    </w:p>
    <w:p w14:paraId="67FA8646" w14:textId="77777777" w:rsidR="007A6DD8" w:rsidRDefault="007A6DD8" w:rsidP="007A6DD8">
      <w:pPr>
        <w:pStyle w:val="BulletLevel1"/>
      </w:pPr>
      <w:r w:rsidRPr="00190792">
        <w:t xml:space="preserve">For all EM&amp;V methods, </w:t>
      </w:r>
      <w:r>
        <w:t xml:space="preserve">discuss </w:t>
      </w:r>
      <w:r w:rsidRPr="00190792">
        <w:t>potential risks and biases</w:t>
      </w:r>
      <w:r>
        <w:t xml:space="preserve"> (and associated quality-control measures) in EM&amp;V plans and monitoring and verification reports.</w:t>
      </w:r>
      <w:r w:rsidRPr="003E00BA">
        <w:t xml:space="preserve"> </w:t>
      </w:r>
    </w:p>
    <w:p w14:paraId="10FE274A" w14:textId="51F48467" w:rsidR="009C0AB7" w:rsidRPr="00C023F3" w:rsidRDefault="009C0AB7" w:rsidP="00BC027B">
      <w:pPr>
        <w:pStyle w:val="BulletLevel1"/>
      </w:pPr>
      <w:r>
        <w:t xml:space="preserve">For states trading ERCs across borders, </w:t>
      </w:r>
      <w:r w:rsidR="00CC574F">
        <w:t xml:space="preserve">coordinate </w:t>
      </w:r>
      <w:r w:rsidR="005E10A9">
        <w:t xml:space="preserve">in an effort to apply </w:t>
      </w:r>
      <w:r>
        <w:t xml:space="preserve">the same or consistent EM&amp;V approaches to ensure the savings values are determined with comparable levels of accuracy and reliability. </w:t>
      </w:r>
    </w:p>
    <w:p w14:paraId="0135FF07" w14:textId="77777777" w:rsidR="007A6DD8" w:rsidRDefault="007A6DD8" w:rsidP="007A6DD8">
      <w:pPr>
        <w:pStyle w:val="Heading2"/>
        <w:numPr>
          <w:ilvl w:val="1"/>
          <w:numId w:val="69"/>
        </w:numPr>
      </w:pPr>
      <w:bookmarkStart w:id="252" w:name="_Toc422316977"/>
      <w:bookmarkStart w:id="253" w:name="_Toc426044643"/>
      <w:r w:rsidRPr="009D76DC">
        <w:t>Avoid</w:t>
      </w:r>
      <w:r>
        <w:t xml:space="preserve">ing </w:t>
      </w:r>
      <w:r w:rsidRPr="009D76DC">
        <w:t>Double Counting</w:t>
      </w:r>
      <w:bookmarkEnd w:id="252"/>
      <w:bookmarkEnd w:id="253"/>
    </w:p>
    <w:p w14:paraId="0F856B6A" w14:textId="77777777" w:rsidR="007A6DD8" w:rsidRPr="00CD2257" w:rsidRDefault="007A6DD8" w:rsidP="007A6DD8">
      <w:pPr>
        <w:pStyle w:val="Heading3"/>
        <w:numPr>
          <w:ilvl w:val="2"/>
          <w:numId w:val="69"/>
        </w:numPr>
        <w:spacing w:before="240"/>
        <w:ind w:left="0"/>
      </w:pPr>
      <w:bookmarkStart w:id="254" w:name="_Toc422306726"/>
      <w:bookmarkStart w:id="255" w:name="_Toc422306963"/>
      <w:bookmarkStart w:id="256" w:name="_Toc422307104"/>
      <w:bookmarkStart w:id="257" w:name="_Toc422307236"/>
      <w:bookmarkStart w:id="258" w:name="_Toc422311341"/>
      <w:bookmarkStart w:id="259" w:name="_Toc422311475"/>
      <w:bookmarkStart w:id="260" w:name="_Toc422316699"/>
      <w:bookmarkStart w:id="261" w:name="_Toc422316838"/>
      <w:bookmarkStart w:id="262" w:name="_Toc422316978"/>
      <w:bookmarkStart w:id="263" w:name="_Toc422316979"/>
      <w:bookmarkStart w:id="264" w:name="_Toc426044644"/>
      <w:bookmarkEnd w:id="254"/>
      <w:bookmarkEnd w:id="255"/>
      <w:bookmarkEnd w:id="256"/>
      <w:bookmarkEnd w:id="257"/>
      <w:bookmarkEnd w:id="258"/>
      <w:bookmarkEnd w:id="259"/>
      <w:bookmarkEnd w:id="260"/>
      <w:bookmarkEnd w:id="261"/>
      <w:bookmarkEnd w:id="262"/>
      <w:r w:rsidRPr="00CD2257">
        <w:t>Discussion</w:t>
      </w:r>
      <w:bookmarkEnd w:id="263"/>
      <w:bookmarkEnd w:id="264"/>
    </w:p>
    <w:p w14:paraId="0C767A02" w14:textId="77777777" w:rsidR="007A6DD8" w:rsidRPr="009D76DC" w:rsidRDefault="007A6DD8" w:rsidP="007A6DD8">
      <w:pPr>
        <w:pStyle w:val="BodyText"/>
        <w:widowControl/>
      </w:pPr>
      <w:r w:rsidRPr="00CD2257">
        <w:t xml:space="preserve">Double counting </w:t>
      </w:r>
      <w:r>
        <w:t xml:space="preserve">occurs when the </w:t>
      </w:r>
      <w:proofErr w:type="spellStart"/>
      <w:r>
        <w:t>MWh</w:t>
      </w:r>
      <w:proofErr w:type="spellEnd"/>
      <w:r>
        <w:t xml:space="preserve"> savings from </w:t>
      </w:r>
      <w:r w:rsidRPr="00CD2257">
        <w:t xml:space="preserve">a single </w:t>
      </w:r>
      <w:r>
        <w:t xml:space="preserve">EE program, project, or measure are </w:t>
      </w:r>
      <w:r w:rsidRPr="00CD2257">
        <w:t>counted more than once</w:t>
      </w:r>
      <w:r>
        <w:t xml:space="preserve"> under the same regulation or program</w:t>
      </w:r>
      <w:r w:rsidRPr="00CD2257">
        <w:t>.</w:t>
      </w:r>
      <w:r>
        <w:t xml:space="preserve"> This type of error must be prevented</w:t>
      </w:r>
      <w:r w:rsidRPr="00CD2257">
        <w:t xml:space="preserve"> to maintain </w:t>
      </w:r>
      <w:r>
        <w:t xml:space="preserve">programmatic </w:t>
      </w:r>
      <w:r w:rsidRPr="00CD2257">
        <w:t xml:space="preserve">integrity </w:t>
      </w:r>
      <w:r>
        <w:t>and credibility, and to ensure that EE results in real and permanent reductions in CO</w:t>
      </w:r>
      <w:r w:rsidRPr="00E07CBE">
        <w:rPr>
          <w:vertAlign w:val="subscript"/>
        </w:rPr>
        <w:t xml:space="preserve">2 </w:t>
      </w:r>
      <w:r>
        <w:t>emissions</w:t>
      </w:r>
      <w:r w:rsidRPr="00CD2257">
        <w:t>.</w:t>
      </w:r>
      <w:r>
        <w:t xml:space="preserve"> Tracking, accounting, and quality checks are steps that are routinely </w:t>
      </w:r>
      <w:r>
        <w:lastRenderedPageBreak/>
        <w:t>undertaken in states and regions across the country to avoid double counting. The purpose of these steps is to avoid the following circumstances</w:t>
      </w:r>
      <w:r w:rsidRPr="009D76DC">
        <w:t>:</w:t>
      </w:r>
    </w:p>
    <w:p w14:paraId="38335C0E" w14:textId="77777777" w:rsidR="007A6DD8" w:rsidRPr="009D76DC" w:rsidRDefault="007A6DD8" w:rsidP="007A6DD8">
      <w:pPr>
        <w:pStyle w:val="BulletLevel1"/>
      </w:pPr>
      <w:r>
        <w:t xml:space="preserve">Savings from a single EE program or project </w:t>
      </w:r>
      <w:r w:rsidRPr="009D76DC">
        <w:t xml:space="preserve">being claimed </w:t>
      </w:r>
      <w:r>
        <w:t xml:space="preserve">by </w:t>
      </w:r>
      <w:r w:rsidRPr="009D76DC">
        <w:t>more than one EGU</w:t>
      </w:r>
      <w:r>
        <w:t xml:space="preserve"> or state. For example:</w:t>
      </w:r>
    </w:p>
    <w:p w14:paraId="255F658F" w14:textId="77777777" w:rsidR="007A6DD8" w:rsidRPr="009D76DC" w:rsidRDefault="007A6DD8" w:rsidP="007A6DD8">
      <w:pPr>
        <w:pStyle w:val="BulletLevel2"/>
      </w:pPr>
      <w:r>
        <w:t>T</w:t>
      </w:r>
      <w:r w:rsidRPr="009D76DC">
        <w:t>wo EGUs claiming the savings from the same lighting retrofit program</w:t>
      </w:r>
      <w:r>
        <w:t>,</w:t>
      </w:r>
      <w:r w:rsidRPr="009D76DC">
        <w:t xml:space="preserve"> or an EGU claiming the same savings </w:t>
      </w:r>
      <w:r>
        <w:t xml:space="preserve">that </w:t>
      </w:r>
      <w:r w:rsidRPr="009D76DC">
        <w:t xml:space="preserve">a </w:t>
      </w:r>
      <w:r>
        <w:t>state</w:t>
      </w:r>
      <w:r w:rsidRPr="009D76DC">
        <w:t xml:space="preserve"> is claiming</w:t>
      </w:r>
      <w:r>
        <w:t>.</w:t>
      </w:r>
    </w:p>
    <w:p w14:paraId="57C7E049" w14:textId="77777777" w:rsidR="007A6DD8" w:rsidRPr="009D76DC" w:rsidRDefault="007A6DD8" w:rsidP="007A6DD8">
      <w:pPr>
        <w:pStyle w:val="BulletLevel1"/>
      </w:pPr>
      <w:r w:rsidRPr="009D76DC">
        <w:t xml:space="preserve">Two or more </w:t>
      </w:r>
      <w:r>
        <w:t xml:space="preserve">EE programs or projects </w:t>
      </w:r>
      <w:r w:rsidRPr="009D76DC">
        <w:t xml:space="preserve">operating at the same time claiming savings from the same </w:t>
      </w:r>
      <w:proofErr w:type="spellStart"/>
      <w:r>
        <w:t>MWh</w:t>
      </w:r>
      <w:proofErr w:type="spellEnd"/>
      <w:r>
        <w:t xml:space="preserve"> savings. For example:</w:t>
      </w:r>
    </w:p>
    <w:p w14:paraId="29F43959" w14:textId="77777777" w:rsidR="007A6DD8" w:rsidRPr="009D76DC" w:rsidRDefault="007A6DD8" w:rsidP="007A6DD8">
      <w:pPr>
        <w:pStyle w:val="BulletLevel2"/>
      </w:pPr>
      <w:r>
        <w:t>S</w:t>
      </w:r>
      <w:r w:rsidRPr="009D76DC">
        <w:t>ome or all savings from the same retrofit being claimed by a residential behavior</w:t>
      </w:r>
      <w:r>
        <w:t>-</w:t>
      </w:r>
      <w:r w:rsidRPr="009D76DC">
        <w:t>based program and a retailer point</w:t>
      </w:r>
      <w:r>
        <w:t>-</w:t>
      </w:r>
      <w:r w:rsidRPr="009D76DC">
        <w:t>of</w:t>
      </w:r>
      <w:r>
        <w:t>-</w:t>
      </w:r>
      <w:r w:rsidRPr="009D76DC">
        <w:t>sale incentive program</w:t>
      </w:r>
      <w:r>
        <w:t>.</w:t>
      </w:r>
      <w:r w:rsidRPr="009D76DC">
        <w:rPr>
          <w:rStyle w:val="FootnoteReference"/>
          <w:rFonts w:asciiTheme="majorHAnsi" w:hAnsiTheme="majorHAnsi" w:cstheme="majorHAnsi"/>
          <w:szCs w:val="22"/>
        </w:rPr>
        <w:footnoteReference w:id="35"/>
      </w:r>
      <w:r w:rsidRPr="009D76DC">
        <w:t xml:space="preserve"> </w:t>
      </w:r>
    </w:p>
    <w:p w14:paraId="1948C33B" w14:textId="77777777" w:rsidR="007A6DD8" w:rsidRDefault="007A6DD8" w:rsidP="007A6DD8">
      <w:pPr>
        <w:pStyle w:val="BulletLevel2"/>
        <w:numPr>
          <w:ilvl w:val="0"/>
          <w:numId w:val="0"/>
        </w:numPr>
        <w:ind w:left="720"/>
      </w:pPr>
      <w:r>
        <w:t>S</w:t>
      </w:r>
      <w:r w:rsidRPr="009D76DC">
        <w:t xml:space="preserve">avings from </w:t>
      </w:r>
      <w:r>
        <w:t xml:space="preserve">a single </w:t>
      </w:r>
      <w:r w:rsidRPr="009D76DC">
        <w:t xml:space="preserve">retrofit </w:t>
      </w:r>
      <w:r>
        <w:t xml:space="preserve">project </w:t>
      </w:r>
      <w:r w:rsidRPr="009D76DC">
        <w:t xml:space="preserve">being claimed by a </w:t>
      </w:r>
      <w:r>
        <w:t>utility</w:t>
      </w:r>
      <w:r w:rsidRPr="009D76DC">
        <w:t xml:space="preserve"> incentive program and </w:t>
      </w:r>
      <w:r>
        <w:t xml:space="preserve">the </w:t>
      </w:r>
      <w:r w:rsidRPr="009D76DC">
        <w:t xml:space="preserve">ESCO </w:t>
      </w:r>
      <w:r>
        <w:t>that implemented the retrofit.</w:t>
      </w:r>
    </w:p>
    <w:p w14:paraId="1776753E" w14:textId="77777777" w:rsidR="007A6DD8" w:rsidRPr="009D76DC" w:rsidRDefault="007A6DD8" w:rsidP="007A6DD8">
      <w:pPr>
        <w:pStyle w:val="BulletLevel1"/>
      </w:pPr>
      <w:r w:rsidRPr="009D76DC">
        <w:t>Two or more programs operating during different years claiming savings from the same projects</w:t>
      </w:r>
      <w:r>
        <w:t xml:space="preserve"> or </w:t>
      </w:r>
      <w:r w:rsidRPr="009D76DC">
        <w:t>measures</w:t>
      </w:r>
      <w:r>
        <w:t>, for example:</w:t>
      </w:r>
    </w:p>
    <w:p w14:paraId="367C97F4" w14:textId="77777777" w:rsidR="007A6DD8" w:rsidRDefault="007A6DD8" w:rsidP="007A6DD8">
      <w:pPr>
        <w:pStyle w:val="BulletLevel2"/>
      </w:pPr>
      <w:r>
        <w:t>A</w:t>
      </w:r>
      <w:r w:rsidRPr="009D76DC">
        <w:t xml:space="preserve"> 2020 program incenting a</w:t>
      </w:r>
      <w:r>
        <w:t>n</w:t>
      </w:r>
      <w:r w:rsidRPr="009D76DC">
        <w:t xml:space="preserve"> LED lamp operating for 10 years</w:t>
      </w:r>
      <w:r>
        <w:t xml:space="preserve">, with </w:t>
      </w:r>
      <w:r w:rsidRPr="009D76DC">
        <w:t xml:space="preserve">the lamp failing after </w:t>
      </w:r>
      <w:r>
        <w:t>2</w:t>
      </w:r>
      <w:r w:rsidRPr="009D76DC">
        <w:t xml:space="preserve"> years and being replaced by a new LED lamp that receives an incentive from another program</w:t>
      </w:r>
      <w:r>
        <w:t>.</w:t>
      </w:r>
    </w:p>
    <w:p w14:paraId="64DE299B" w14:textId="77777777" w:rsidR="007A6DD8" w:rsidRDefault="007A6DD8" w:rsidP="007A6DD8">
      <w:pPr>
        <w:pStyle w:val="BulletLevel1"/>
      </w:pPr>
      <w:r>
        <w:t>Inconsistent baselines across a portfolio of programs, for example:</w:t>
      </w:r>
    </w:p>
    <w:p w14:paraId="39EF0177" w14:textId="77777777" w:rsidR="001169A6" w:rsidRPr="00CD2257" w:rsidRDefault="007A6DD8" w:rsidP="002603D6">
      <w:pPr>
        <w:pStyle w:val="BulletLevel2"/>
      </w:pPr>
      <w:r w:rsidRPr="00C023F3">
        <w:t xml:space="preserve">A </w:t>
      </w:r>
      <w:r>
        <w:t>state</w:t>
      </w:r>
      <w:r w:rsidRPr="00C023F3">
        <w:t xml:space="preserve"> claiming </w:t>
      </w:r>
      <w:r>
        <w:t xml:space="preserve">(1) </w:t>
      </w:r>
      <w:r w:rsidRPr="00C023F3">
        <w:t>in one program savings from enacting a C&amp;S with 100-percent compliance that results in savings above a prior C&amp;S or common practice</w:t>
      </w:r>
      <w:r>
        <w:t>,</w:t>
      </w:r>
      <w:r w:rsidRPr="00C023F3">
        <w:t xml:space="preserve"> and (2) in another program claiming savings with a baseline defined below the new C&amp;S (e.g., a baseline defined by a prior C&amp;S) for the same types of EE projects or measures</w:t>
      </w:r>
      <w:r>
        <w:t>.</w:t>
      </w:r>
    </w:p>
    <w:p w14:paraId="21180A20" w14:textId="77777777" w:rsidR="001169A6" w:rsidRPr="00CD2257" w:rsidRDefault="001169A6" w:rsidP="007A6DD8">
      <w:pPr>
        <w:pStyle w:val="BulletLevel2"/>
      </w:pPr>
      <w:r>
        <w:t>A state claiming credit for federal actions such as building code determinations or appliance standards</w:t>
      </w:r>
    </w:p>
    <w:p w14:paraId="32492393" w14:textId="77777777" w:rsidR="007A6DD8" w:rsidRPr="00CD2257" w:rsidRDefault="007A6DD8" w:rsidP="007A6DD8">
      <w:pPr>
        <w:pStyle w:val="Heading3"/>
        <w:numPr>
          <w:ilvl w:val="2"/>
          <w:numId w:val="69"/>
        </w:numPr>
        <w:spacing w:before="240"/>
        <w:ind w:left="0"/>
      </w:pPr>
      <w:bookmarkStart w:id="265" w:name="_Toc422306728"/>
      <w:bookmarkStart w:id="266" w:name="_Toc422306965"/>
      <w:bookmarkStart w:id="267" w:name="_Toc422307106"/>
      <w:bookmarkStart w:id="268" w:name="_Toc422307238"/>
      <w:bookmarkStart w:id="269" w:name="_Toc422311343"/>
      <w:bookmarkStart w:id="270" w:name="_Toc422311477"/>
      <w:bookmarkStart w:id="271" w:name="_Toc422316701"/>
      <w:bookmarkStart w:id="272" w:name="_Toc422316840"/>
      <w:bookmarkStart w:id="273" w:name="_Toc422316980"/>
      <w:bookmarkStart w:id="274" w:name="_Toc422306730"/>
      <w:bookmarkStart w:id="275" w:name="_Toc422306967"/>
      <w:bookmarkStart w:id="276" w:name="_Toc422307108"/>
      <w:bookmarkStart w:id="277" w:name="_Toc422307240"/>
      <w:bookmarkStart w:id="278" w:name="_Toc422311345"/>
      <w:bookmarkStart w:id="279" w:name="_Toc422311479"/>
      <w:bookmarkStart w:id="280" w:name="_Toc422316703"/>
      <w:bookmarkStart w:id="281" w:name="_Toc422316842"/>
      <w:bookmarkStart w:id="282" w:name="_Toc422316982"/>
      <w:bookmarkStart w:id="283" w:name="_Toc426044645"/>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t>Applicable Guidance</w:t>
      </w:r>
      <w:bookmarkEnd w:id="283"/>
    </w:p>
    <w:p w14:paraId="3A2962AE" w14:textId="77777777" w:rsidR="007A6DD8" w:rsidRDefault="007A6DD8" w:rsidP="007A6DD8">
      <w:pPr>
        <w:pStyle w:val="BulletLevel1"/>
      </w:pPr>
      <w:r>
        <w:t>Implement systematic tracking and accounting procedures, including the use of well-structured and well-maintained tracking and reporting systems such as those already being used by many states and EE providers</w:t>
      </w:r>
      <w:bookmarkStart w:id="284" w:name="_Toc422316984"/>
      <w:r>
        <w:t>.</w:t>
      </w:r>
      <w:r w:rsidRPr="00703023">
        <w:t xml:space="preserve"> </w:t>
      </w:r>
    </w:p>
    <w:p w14:paraId="60BB87CC" w14:textId="77777777" w:rsidR="007A6DD8" w:rsidRPr="005D5879" w:rsidRDefault="007A6DD8" w:rsidP="007A6DD8">
      <w:pPr>
        <w:pStyle w:val="BulletLevel1"/>
      </w:pPr>
      <w:r>
        <w:t>Implement the following procedures to avoid or correct for double counting:</w:t>
      </w:r>
    </w:p>
    <w:p w14:paraId="15558E1B" w14:textId="77777777" w:rsidR="007A6DD8" w:rsidRDefault="007A6DD8" w:rsidP="007A6DD8">
      <w:pPr>
        <w:pStyle w:val="BulletLevel2"/>
      </w:pPr>
      <w:r w:rsidRPr="00D4123B">
        <w:t xml:space="preserve">For programs and projects with identified consumers, </w:t>
      </w:r>
      <w:r w:rsidRPr="00D846B9">
        <w:t>track EE actions</w:t>
      </w:r>
      <w:r>
        <w:t xml:space="preserve"> (type and number of measures implemented) at the </w:t>
      </w:r>
      <w:r w:rsidRPr="008D6F4E">
        <w:t>utility</w:t>
      </w:r>
      <w:r>
        <w:t>-</w:t>
      </w:r>
      <w:r w:rsidRPr="008D6F4E">
        <w:t>customer level</w:t>
      </w:r>
      <w:r>
        <w:t xml:space="preserve"> using customer name, address, account number, and date of actions for each program. </w:t>
      </w:r>
    </w:p>
    <w:p w14:paraId="0E3951FE" w14:textId="77777777" w:rsidR="007A6DD8" w:rsidRPr="005D5879" w:rsidRDefault="007A6DD8" w:rsidP="007A6DD8">
      <w:pPr>
        <w:pStyle w:val="BulletLevel2"/>
      </w:pPr>
      <w:r>
        <w:t xml:space="preserve">For programs without identified consumers, such as </w:t>
      </w:r>
      <w:r w:rsidRPr="008D6F4E">
        <w:t>point</w:t>
      </w:r>
      <w:r>
        <w:t>-</w:t>
      </w:r>
      <w:r w:rsidRPr="008D6F4E">
        <w:t>of</w:t>
      </w:r>
      <w:r>
        <w:t>-</w:t>
      </w:r>
      <w:r w:rsidRPr="008D6F4E">
        <w:t>sale rebates</w:t>
      </w:r>
      <w:r>
        <w:t xml:space="preserve"> and</w:t>
      </w:r>
      <w:r w:rsidRPr="008D6F4E">
        <w:t xml:space="preserve"> retailer or manufacturer incentive</w:t>
      </w:r>
      <w:r>
        <w:t xml:space="preserve"> program</w:t>
      </w:r>
      <w:r w:rsidRPr="008D6F4E">
        <w:t>s</w:t>
      </w:r>
      <w:r>
        <w:t>, t</w:t>
      </w:r>
      <w:r w:rsidRPr="00D4123B">
        <w:t xml:space="preserve">rack </w:t>
      </w:r>
      <w:r>
        <w:t xml:space="preserve">applicable </w:t>
      </w:r>
      <w:r w:rsidRPr="00D4123B">
        <w:t xml:space="preserve">vendor, retailer, </w:t>
      </w:r>
      <w:r>
        <w:t xml:space="preserve">and </w:t>
      </w:r>
      <w:r w:rsidRPr="00D4123B">
        <w:t>manufacturer data.</w:t>
      </w:r>
      <w:r>
        <w:t xml:space="preserve"> Include the appropriate </w:t>
      </w:r>
      <w:r w:rsidRPr="00D4123B">
        <w:t>specifications and quantities of program-incented units sold or shipped, with as much granularity as possible.</w:t>
      </w:r>
    </w:p>
    <w:p w14:paraId="480B28E2" w14:textId="77777777" w:rsidR="007A6DD8" w:rsidRDefault="007A6DD8" w:rsidP="007A6DD8">
      <w:pPr>
        <w:pStyle w:val="BulletLevel2"/>
      </w:pPr>
      <w:r>
        <w:lastRenderedPageBreak/>
        <w:t>Use the consumer-level data to identify and correct for duplicate EE activity records across programs with “</w:t>
      </w:r>
      <w:proofErr w:type="spellStart"/>
      <w:r>
        <w:t>trackable</w:t>
      </w:r>
      <w:proofErr w:type="spellEnd"/>
      <w:r>
        <w:t>” consumers and across non-program projects such as private-sector transactions for projects sponsored by an ESCO.</w:t>
      </w:r>
    </w:p>
    <w:p w14:paraId="6F2C3500" w14:textId="77777777" w:rsidR="007A6DD8" w:rsidRDefault="007A6DD8" w:rsidP="007A6DD8">
      <w:pPr>
        <w:pStyle w:val="BulletLevel2"/>
      </w:pPr>
      <w:r>
        <w:t>Identify and correct for duplicate EE activity records across programs and non-program projects such as private-sector transactions for projects sponsored by an ESCO.</w:t>
      </w:r>
    </w:p>
    <w:p w14:paraId="0DFA251C" w14:textId="77777777" w:rsidR="007A6DD8" w:rsidRDefault="007A6DD8" w:rsidP="007A6DD8">
      <w:pPr>
        <w:pStyle w:val="BulletLevel2"/>
      </w:pPr>
      <w:r>
        <w:t>Identify instances where tracked consumer activity is likely to be double counted with upstream activity, and subtract the estimated overlap from one or the other’s savings claims.</w:t>
      </w:r>
    </w:p>
    <w:p w14:paraId="506E4A0F" w14:textId="77777777" w:rsidR="007A6DD8" w:rsidRDefault="007A6DD8" w:rsidP="00D60675">
      <w:pPr>
        <w:pStyle w:val="BulletLevel1"/>
      </w:pPr>
      <w:r w:rsidRPr="00D4123B">
        <w:t>For programs with identified consumers but without identified EE actions</w:t>
      </w:r>
      <w:r>
        <w:t xml:space="preserve"> (e.g., </w:t>
      </w:r>
      <w:r w:rsidRPr="00D4123B">
        <w:t xml:space="preserve">an information </w:t>
      </w:r>
      <w:r>
        <w:t xml:space="preserve">or </w:t>
      </w:r>
      <w:r w:rsidRPr="00D4123B">
        <w:t>behavior</w:t>
      </w:r>
      <w:r w:rsidRPr="00D846B9">
        <w:t>al program</w:t>
      </w:r>
      <w:r>
        <w:t>)</w:t>
      </w:r>
      <w:r w:rsidRPr="00D846B9">
        <w:t xml:space="preserve"> </w:t>
      </w:r>
      <w:r>
        <w:t>that apply comparison-</w:t>
      </w:r>
      <w:r w:rsidRPr="005D5879">
        <w:t>group</w:t>
      </w:r>
      <w:r>
        <w:t xml:space="preserve"> EM&amp;V</w:t>
      </w:r>
      <w:r w:rsidRPr="005D5879">
        <w:t>, use the comparison group</w:t>
      </w:r>
      <w:r w:rsidR="00D60675">
        <w:t xml:space="preserve">’s tracked activity </w:t>
      </w:r>
      <w:r w:rsidRPr="005D5879">
        <w:t xml:space="preserve">to determine the </w:t>
      </w:r>
      <w:r w:rsidR="00D60675">
        <w:t xml:space="preserve">baseline activity in the other programs; the balance of the participant group’s tracked activity is </w:t>
      </w:r>
      <w:r w:rsidRPr="005D5879">
        <w:t>incremental other</w:t>
      </w:r>
      <w:r w:rsidR="00D60675">
        <w:t>-</w:t>
      </w:r>
      <w:r w:rsidRPr="005D5879">
        <w:t>program</w:t>
      </w:r>
      <w:r w:rsidR="00D60675">
        <w:t xml:space="preserve"> activity</w:t>
      </w:r>
      <w:r w:rsidRPr="005D5879">
        <w:t>.</w:t>
      </w:r>
      <w:r>
        <w:t xml:space="preserve"> </w:t>
      </w:r>
    </w:p>
    <w:p w14:paraId="321C05B4" w14:textId="77777777" w:rsidR="007A6DD8" w:rsidRDefault="007A6DD8" w:rsidP="007A6DD8">
      <w:pPr>
        <w:pStyle w:val="BulletLevel2"/>
      </w:pPr>
      <w:r w:rsidRPr="005D5879">
        <w:t>The savings for this</w:t>
      </w:r>
      <w:r w:rsidR="00D60675">
        <w:t xml:space="preserve"> incremental</w:t>
      </w:r>
      <w:r w:rsidRPr="005D5879">
        <w:t xml:space="preserve"> activity is reflected both in the total tracked savings for the other programs and in the comparison-group</w:t>
      </w:r>
      <w:r w:rsidR="00D60675">
        <w:t>-based</w:t>
      </w:r>
      <w:r w:rsidRPr="005D5879">
        <w:t xml:space="preserve"> savings for the informational program, and should be </w:t>
      </w:r>
      <w:r>
        <w:t>subtracted</w:t>
      </w:r>
      <w:r w:rsidRPr="005D5879">
        <w:t xml:space="preserve"> from one or the other total.</w:t>
      </w:r>
      <w:r>
        <w:t xml:space="preserve"> </w:t>
      </w:r>
    </w:p>
    <w:p w14:paraId="7813A593" w14:textId="77777777" w:rsidR="00ED0090" w:rsidRDefault="007A6DD8" w:rsidP="007A6DD8">
      <w:pPr>
        <w:pStyle w:val="BulletLevel2"/>
        <w:rPr>
          <w:noProof/>
        </w:rPr>
      </w:pPr>
      <w:r>
        <w:t xml:space="preserve">Use the </w:t>
      </w:r>
      <w:r w:rsidRPr="005D5879">
        <w:t xml:space="preserve">SEE Action Guide </w:t>
      </w:r>
      <w:r>
        <w:t xml:space="preserve">or the UMP protocol for </w:t>
      </w:r>
      <w:r w:rsidRPr="005D5879">
        <w:t>evaluating behavior programs</w:t>
      </w:r>
      <w:r>
        <w:t xml:space="preserve"> for further guidance on applying this method</w:t>
      </w:r>
      <w:r>
        <w:rPr>
          <w:rStyle w:val="FootnoteReference"/>
        </w:rPr>
        <w:footnoteReference w:id="36"/>
      </w:r>
      <w:r>
        <w:t>.</w:t>
      </w:r>
      <w:r w:rsidRPr="00767B39">
        <w:rPr>
          <w:noProof/>
        </w:rPr>
        <w:t xml:space="preserve"> </w:t>
      </w:r>
    </w:p>
    <w:p w14:paraId="24C3FAC8" w14:textId="77777777" w:rsidR="007A6DD8" w:rsidRPr="00CD2257" w:rsidRDefault="007A6DD8" w:rsidP="007A6DD8">
      <w:pPr>
        <w:pStyle w:val="Heading2"/>
        <w:numPr>
          <w:ilvl w:val="1"/>
          <w:numId w:val="69"/>
        </w:numPr>
      </w:pPr>
      <w:bookmarkStart w:id="285" w:name="_Toc426044646"/>
      <w:r w:rsidRPr="00CD2257">
        <w:t>Effective Useful Life and Persistence of Savings</w:t>
      </w:r>
      <w:bookmarkEnd w:id="284"/>
      <w:bookmarkEnd w:id="285"/>
    </w:p>
    <w:p w14:paraId="0D78803C" w14:textId="77777777" w:rsidR="007A6DD8" w:rsidRDefault="007A6DD8" w:rsidP="007A6DD8">
      <w:pPr>
        <w:pStyle w:val="Heading3"/>
        <w:numPr>
          <w:ilvl w:val="2"/>
          <w:numId w:val="69"/>
        </w:numPr>
        <w:spacing w:before="240"/>
        <w:ind w:left="0"/>
      </w:pPr>
      <w:bookmarkStart w:id="286" w:name="_Toc422306733"/>
      <w:bookmarkStart w:id="287" w:name="_Toc422306970"/>
      <w:bookmarkStart w:id="288" w:name="_Toc422307111"/>
      <w:bookmarkStart w:id="289" w:name="_Toc422307243"/>
      <w:bookmarkStart w:id="290" w:name="_Toc422311348"/>
      <w:bookmarkStart w:id="291" w:name="_Toc422311482"/>
      <w:bookmarkStart w:id="292" w:name="_Toc422316706"/>
      <w:bookmarkStart w:id="293" w:name="_Toc422316845"/>
      <w:bookmarkStart w:id="294" w:name="_Toc422316985"/>
      <w:bookmarkStart w:id="295" w:name="_Toc422316986"/>
      <w:bookmarkStart w:id="296" w:name="_Toc426044647"/>
      <w:bookmarkEnd w:id="286"/>
      <w:bookmarkEnd w:id="287"/>
      <w:bookmarkEnd w:id="288"/>
      <w:bookmarkEnd w:id="289"/>
      <w:bookmarkEnd w:id="290"/>
      <w:bookmarkEnd w:id="291"/>
      <w:bookmarkEnd w:id="292"/>
      <w:bookmarkEnd w:id="293"/>
      <w:bookmarkEnd w:id="294"/>
      <w:r w:rsidRPr="00CD2257">
        <w:t>Discussion</w:t>
      </w:r>
      <w:bookmarkEnd w:id="295"/>
      <w:bookmarkEnd w:id="296"/>
    </w:p>
    <w:p w14:paraId="62DC2C67" w14:textId="77777777" w:rsidR="007A6DD8" w:rsidRDefault="003660A6" w:rsidP="007A6DD8">
      <w:pPr>
        <w:pStyle w:val="BodyText"/>
        <w:widowControl/>
      </w:pPr>
      <w:r w:rsidRPr="006D78FC">
        <w:rPr>
          <w:noProof/>
        </w:rPr>
        <mc:AlternateContent>
          <mc:Choice Requires="wps">
            <w:drawing>
              <wp:anchor distT="0" distB="0" distL="114300" distR="114300" simplePos="0" relativeHeight="251653632" behindDoc="0" locked="0" layoutInCell="1" allowOverlap="1" wp14:anchorId="73297D5D" wp14:editId="19BB4BF4">
                <wp:simplePos x="0" y="0"/>
                <wp:positionH relativeFrom="margin">
                  <wp:posOffset>2781300</wp:posOffset>
                </wp:positionH>
                <wp:positionV relativeFrom="paragraph">
                  <wp:posOffset>49639</wp:posOffset>
                </wp:positionV>
                <wp:extent cx="3081020" cy="1627505"/>
                <wp:effectExtent l="57150" t="38100" r="81280" b="86995"/>
                <wp:wrapSquare wrapText="bothSides"/>
                <wp:docPr id="13" name="Text Box 13"/>
                <wp:cNvGraphicFramePr/>
                <a:graphic xmlns:a="http://schemas.openxmlformats.org/drawingml/2006/main">
                  <a:graphicData uri="http://schemas.microsoft.com/office/word/2010/wordprocessingShape">
                    <wps:wsp>
                      <wps:cNvSpPr txBox="1"/>
                      <wps:spPr>
                        <a:xfrm>
                          <a:off x="0" y="0"/>
                          <a:ext cx="3081020" cy="162750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2AE9A9FE" w14:textId="55BCC277" w:rsidR="00133485" w:rsidRPr="00767B39" w:rsidRDefault="00133485" w:rsidP="007A6DD8">
                            <w:pPr>
                              <w:spacing w:after="120"/>
                              <w:jc w:val="center"/>
                              <w:rPr>
                                <w:rFonts w:asciiTheme="majorHAnsi" w:hAnsiTheme="majorHAnsi"/>
                                <w:b/>
                                <w:sz w:val="20"/>
                                <w:szCs w:val="20"/>
                              </w:rPr>
                            </w:pPr>
                            <w:r>
                              <w:rPr>
                                <w:rFonts w:asciiTheme="majorHAnsi" w:hAnsiTheme="majorHAnsi"/>
                                <w:b/>
                                <w:sz w:val="20"/>
                                <w:szCs w:val="20"/>
                              </w:rPr>
                              <w:t xml:space="preserve">Key Term </w:t>
                            </w:r>
                          </w:p>
                          <w:p w14:paraId="612B5242" w14:textId="77777777" w:rsidR="00133485" w:rsidRPr="00767B39" w:rsidRDefault="00133485" w:rsidP="007A6DD8">
                            <w:pPr>
                              <w:pStyle w:val="BulletLevel1"/>
                              <w:numPr>
                                <w:ilvl w:val="0"/>
                                <w:numId w:val="33"/>
                              </w:numPr>
                              <w:ind w:left="180" w:hanging="180"/>
                              <w:rPr>
                                <w:sz w:val="20"/>
                                <w:szCs w:val="20"/>
                              </w:rPr>
                            </w:pPr>
                            <w:r w:rsidRPr="00767B39">
                              <w:rPr>
                                <w:b/>
                                <w:i/>
                                <w:sz w:val="20"/>
                                <w:szCs w:val="20"/>
                              </w:rPr>
                              <w:t>Effective useful life (EUL):</w:t>
                            </w:r>
                            <w:r w:rsidRPr="00767B39">
                              <w:rPr>
                                <w:sz w:val="20"/>
                                <w:szCs w:val="20"/>
                              </w:rPr>
                              <w:t xml:space="preserve"> an estimate of the duration of savings from individual </w:t>
                            </w:r>
                            <w:r>
                              <w:rPr>
                                <w:sz w:val="20"/>
                                <w:szCs w:val="20"/>
                              </w:rPr>
                              <w:t>EE</w:t>
                            </w:r>
                            <w:r w:rsidRPr="00767B39">
                              <w:rPr>
                                <w:sz w:val="20"/>
                                <w:szCs w:val="20"/>
                              </w:rPr>
                              <w:t xml:space="preserve"> measures, reported in years. Values are typically specific to individual EE measures or projects but also may be specified by program. EUL is defined through various means, including median number of years that the measures/projects installed under a program are still in place and operable.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97D5D" id="Text Box 13" o:spid="_x0000_s1036" type="#_x0000_t202" style="position:absolute;margin-left:219pt;margin-top:3.9pt;width:242.6pt;height:128.1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" fillcolor="#a7bfde [1620]" strokecolor="#4579b8 [3044]">
                <v:fill color2="#e4ecf5 [500]" rotate="t" angle="180" colors="0 #a3c4ff;22938f #bfd5ff;1 #e5eeff" focus="100%" type="gradient"/>
                <v:shadow on="t" color="black" opacity="24903f" origin=",.5" offset="0,.55556mm"/>
                <v:textbox>
                  <w:txbxContent>
                    <w:p w14:paraId="2AE9A9FE" w14:textId="55BCC277" w:rsidR="00133485" w:rsidRPr="00767B39" w:rsidRDefault="00133485" w:rsidP="007A6DD8">
                      <w:pPr>
                        <w:spacing w:after="120"/>
                        <w:jc w:val="center"/>
                        <w:rPr>
                          <w:rFonts w:asciiTheme="majorHAnsi" w:hAnsiTheme="majorHAnsi"/>
                          <w:b/>
                          <w:sz w:val="20"/>
                          <w:szCs w:val="20"/>
                        </w:rPr>
                      </w:pPr>
                      <w:r>
                        <w:rPr>
                          <w:rFonts w:asciiTheme="majorHAnsi" w:hAnsiTheme="majorHAnsi"/>
                          <w:b/>
                          <w:sz w:val="20"/>
                          <w:szCs w:val="20"/>
                        </w:rPr>
                        <w:t xml:space="preserve">Key Term </w:t>
                      </w:r>
                    </w:p>
                    <w:p w14:paraId="612B5242" w14:textId="77777777" w:rsidR="00133485" w:rsidRPr="00767B39" w:rsidRDefault="00133485" w:rsidP="007A6DD8">
                      <w:pPr>
                        <w:pStyle w:val="BulletLevel1"/>
                        <w:numPr>
                          <w:ilvl w:val="0"/>
                          <w:numId w:val="33"/>
                        </w:numPr>
                        <w:ind w:left="180" w:hanging="180"/>
                        <w:rPr>
                          <w:sz w:val="20"/>
                          <w:szCs w:val="20"/>
                        </w:rPr>
                      </w:pPr>
                      <w:r w:rsidRPr="00767B39">
                        <w:rPr>
                          <w:b/>
                          <w:i/>
                          <w:sz w:val="20"/>
                          <w:szCs w:val="20"/>
                        </w:rPr>
                        <w:t>Effective useful life (EUL):</w:t>
                      </w:r>
                      <w:r w:rsidRPr="00767B39">
                        <w:rPr>
                          <w:sz w:val="20"/>
                          <w:szCs w:val="20"/>
                        </w:rPr>
                        <w:t xml:space="preserve"> an estimate of the duration of savings from individual </w:t>
                      </w:r>
                      <w:r>
                        <w:rPr>
                          <w:sz w:val="20"/>
                          <w:szCs w:val="20"/>
                        </w:rPr>
                        <w:t>EE</w:t>
                      </w:r>
                      <w:r w:rsidRPr="00767B39">
                        <w:rPr>
                          <w:sz w:val="20"/>
                          <w:szCs w:val="20"/>
                        </w:rPr>
                        <w:t xml:space="preserve"> measures, reported in years. Values are typically specific to individual EE measures or projects but also may be specified by program. EUL is defined through various means, including median number of years that the measures/projects installed under a program are still in place and operable.</w:t>
                      </w:r>
                    </w:p>
                  </w:txbxContent>
                </v:textbox>
                <w10:wrap type="square" anchorx="margin"/>
              </v:shape>
            </w:pict>
          </mc:Fallback>
        </mc:AlternateContent>
      </w:r>
      <w:r w:rsidR="007A6DD8">
        <w:t xml:space="preserve">While the full cost of an EE project or measure is typically borne at the time of purchase and installation, the resulting </w:t>
      </w:r>
      <w:proofErr w:type="spellStart"/>
      <w:r w:rsidR="007A6DD8">
        <w:t>MWh</w:t>
      </w:r>
      <w:proofErr w:type="spellEnd"/>
      <w:r w:rsidR="007A6DD8">
        <w:t xml:space="preserve"> savings accrue for the full duration of time for which the EE is in place.</w:t>
      </w:r>
      <w:r w:rsidR="001A5A18">
        <w:t xml:space="preserve"> </w:t>
      </w:r>
      <w:r w:rsidR="007A6DD8">
        <w:t xml:space="preserve">The typical practice of state PUCs (for consumer-funded EE programs) and ESCOs is to apply one or more EM&amp;V methods to measure and report EE </w:t>
      </w:r>
      <w:r w:rsidR="007A6DD8" w:rsidRPr="00CD2257">
        <w:t xml:space="preserve">savings </w:t>
      </w:r>
      <w:r w:rsidR="007A6DD8">
        <w:t xml:space="preserve">during the </w:t>
      </w:r>
      <w:r w:rsidR="007A6DD8" w:rsidRPr="00CD2257">
        <w:t>first year</w:t>
      </w:r>
      <w:r w:rsidR="007A6DD8">
        <w:t xml:space="preserve">, and then to assume a constant </w:t>
      </w:r>
      <w:r w:rsidR="00496ACB">
        <w:t xml:space="preserve">(or in some cases, systematically declining) </w:t>
      </w:r>
      <w:r w:rsidR="007A6DD8">
        <w:t xml:space="preserve">level of savings in each year for the full lifetime of the project or measure (or, alternatively, for </w:t>
      </w:r>
      <w:r w:rsidR="007A6DD8" w:rsidRPr="00CD2257">
        <w:t>a specified time horizon such as 10 years</w:t>
      </w:r>
      <w:r w:rsidR="007A6DD8">
        <w:t>)</w:t>
      </w:r>
      <w:r w:rsidR="007A6DD8" w:rsidRPr="00CD2257">
        <w:t xml:space="preserve">. </w:t>
      </w:r>
      <w:r w:rsidR="007A6DD8">
        <w:t xml:space="preserve">This period of time is referred to as </w:t>
      </w:r>
      <w:r w:rsidR="007A6DD8" w:rsidRPr="00CD2257">
        <w:t xml:space="preserve">the </w:t>
      </w:r>
      <w:r w:rsidR="007A6DD8">
        <w:t>effective useful life (</w:t>
      </w:r>
      <w:r w:rsidR="007A6DD8" w:rsidRPr="00CD2257">
        <w:t>EUL</w:t>
      </w:r>
      <w:r w:rsidR="007A6DD8">
        <w:t>).</w:t>
      </w:r>
      <w:r w:rsidR="007A6DD8">
        <w:rPr>
          <w:rStyle w:val="FootnoteReference"/>
          <w:rFonts w:asciiTheme="majorHAnsi" w:hAnsiTheme="majorHAnsi"/>
          <w:b/>
          <w:color w:val="000000" w:themeColor="text1"/>
        </w:rPr>
        <w:footnoteReference w:id="37"/>
      </w:r>
      <w:r w:rsidR="001A5A18">
        <w:t xml:space="preserve"> </w:t>
      </w:r>
    </w:p>
    <w:p w14:paraId="33A04482" w14:textId="77777777" w:rsidR="007A6DD8" w:rsidRDefault="007A6DD8" w:rsidP="007A6DD8">
      <w:pPr>
        <w:pStyle w:val="BodyText"/>
        <w:widowControl/>
      </w:pPr>
      <w:r>
        <w:t xml:space="preserve">EUL is a function of the </w:t>
      </w:r>
      <w:r w:rsidRPr="007B0115">
        <w:rPr>
          <w:i/>
        </w:rPr>
        <w:t>expected</w:t>
      </w:r>
      <w:r>
        <w:t xml:space="preserve"> life of the equipment and the number of years that the measure actually </w:t>
      </w:r>
      <w:r w:rsidRPr="007B0115">
        <w:rPr>
          <w:i/>
        </w:rPr>
        <w:t>persists</w:t>
      </w:r>
      <w:r>
        <w:t xml:space="preserve">, as determined using field measurements of on-the-ground conditions. </w:t>
      </w:r>
      <w:r w:rsidRPr="00432950">
        <w:t xml:space="preserve">The methods for </w:t>
      </w:r>
      <w:r>
        <w:t xml:space="preserve">determining EUL of a given measure </w:t>
      </w:r>
      <w:r w:rsidRPr="00432950">
        <w:t>var</w:t>
      </w:r>
      <w:r>
        <w:t xml:space="preserve">y somewhat across the country and by EE provider based on observable conditions (such as weather and climate), input assumptions (such as rates of measure </w:t>
      </w:r>
      <w:r>
        <w:lastRenderedPageBreak/>
        <w:t>failure), and other factors</w:t>
      </w:r>
      <w:r w:rsidRPr="00432950">
        <w:t>.</w:t>
      </w:r>
      <w:r w:rsidRPr="00432950">
        <w:rPr>
          <w:vertAlign w:val="superscript"/>
        </w:rPr>
        <w:footnoteReference w:id="38"/>
      </w:r>
      <w:r w:rsidRPr="00432950">
        <w:t xml:space="preserve"> For common</w:t>
      </w:r>
      <w:r>
        <w:t>ly</w:t>
      </w:r>
      <w:r w:rsidR="00EE05E7">
        <w:t xml:space="preserve"> </w:t>
      </w:r>
      <w:r>
        <w:t>implemented</w:t>
      </w:r>
      <w:r w:rsidRPr="00432950">
        <w:t xml:space="preserve"> measure</w:t>
      </w:r>
      <w:r>
        <w:t xml:space="preserve"> types</w:t>
      </w:r>
      <w:r w:rsidRPr="00432950">
        <w:t>,</w:t>
      </w:r>
      <w:r>
        <w:t xml:space="preserve"> it is typical for state, regional, or national entities to collaborate on mutually beneficial research to refine and improve EUL measurements, especially in light of ongoing industry trends and technology evolution over time.</w:t>
      </w:r>
      <w:r w:rsidR="001A5A18">
        <w:t xml:space="preserve"> </w:t>
      </w:r>
    </w:p>
    <w:p w14:paraId="267107F2" w14:textId="77777777" w:rsidR="007A6DD8" w:rsidRPr="00CD2257" w:rsidRDefault="007A6DD8" w:rsidP="007A6DD8">
      <w:pPr>
        <w:pStyle w:val="Heading3"/>
        <w:numPr>
          <w:ilvl w:val="2"/>
          <w:numId w:val="69"/>
        </w:numPr>
        <w:spacing w:before="240"/>
        <w:ind w:left="0"/>
      </w:pPr>
      <w:bookmarkStart w:id="297" w:name="_Toc422306735"/>
      <w:bookmarkStart w:id="298" w:name="_Toc422306972"/>
      <w:bookmarkStart w:id="299" w:name="_Toc422307113"/>
      <w:bookmarkStart w:id="300" w:name="_Toc422307245"/>
      <w:bookmarkStart w:id="301" w:name="_Toc422311350"/>
      <w:bookmarkStart w:id="302" w:name="_Toc422311484"/>
      <w:bookmarkStart w:id="303" w:name="_Toc422316708"/>
      <w:bookmarkStart w:id="304" w:name="_Toc422316847"/>
      <w:bookmarkStart w:id="305" w:name="_Toc422316987"/>
      <w:bookmarkStart w:id="306" w:name="_Toc426044648"/>
      <w:bookmarkEnd w:id="297"/>
      <w:bookmarkEnd w:id="298"/>
      <w:bookmarkEnd w:id="299"/>
      <w:bookmarkEnd w:id="300"/>
      <w:bookmarkEnd w:id="301"/>
      <w:bookmarkEnd w:id="302"/>
      <w:bookmarkEnd w:id="303"/>
      <w:bookmarkEnd w:id="304"/>
      <w:bookmarkEnd w:id="305"/>
      <w:r>
        <w:t>Applicable Guidance</w:t>
      </w:r>
      <w:bookmarkEnd w:id="306"/>
    </w:p>
    <w:p w14:paraId="1AD503DD" w14:textId="77777777" w:rsidR="00770014" w:rsidRDefault="007A6DD8" w:rsidP="00770014">
      <w:pPr>
        <w:pStyle w:val="BodyText"/>
        <w:widowControl/>
        <w:numPr>
          <w:ilvl w:val="0"/>
          <w:numId w:val="34"/>
        </w:numPr>
        <w:ind w:left="360"/>
        <w:rPr>
          <w:rFonts w:asciiTheme="majorHAnsi" w:hAnsiTheme="majorHAnsi" w:cstheme="majorHAnsi"/>
          <w:color w:val="000000" w:themeColor="text1"/>
          <w:szCs w:val="22"/>
        </w:rPr>
      </w:pPr>
      <w:r w:rsidRPr="00770014">
        <w:rPr>
          <w:color w:val="000000" w:themeColor="text1"/>
        </w:rPr>
        <w:t xml:space="preserve">Use Section </w:t>
      </w:r>
      <w:r w:rsidR="00BE4FEE">
        <w:rPr>
          <w:color w:val="000000" w:themeColor="text1"/>
        </w:rPr>
        <w:t>2</w:t>
      </w:r>
      <w:r w:rsidRPr="00770014">
        <w:rPr>
          <w:color w:val="000000" w:themeColor="text1"/>
        </w:rPr>
        <w:t>.9 (</w:t>
      </w:r>
      <w:r w:rsidRPr="00770014">
        <w:rPr>
          <w:i/>
          <w:color w:val="000000" w:themeColor="text1"/>
        </w:rPr>
        <w:t>Savings Quantification and Verification Cycles</w:t>
      </w:r>
      <w:r w:rsidRPr="00770014">
        <w:rPr>
          <w:color w:val="000000" w:themeColor="text1"/>
        </w:rPr>
        <w:t xml:space="preserve">) of this document to inform first-year </w:t>
      </w:r>
      <w:r w:rsidRPr="00770014">
        <w:rPr>
          <w:rFonts w:asciiTheme="majorHAnsi" w:hAnsiTheme="majorHAnsi" w:cstheme="majorHAnsi"/>
          <w:color w:val="000000" w:themeColor="text1"/>
          <w:szCs w:val="22"/>
        </w:rPr>
        <w:t>verification</w:t>
      </w:r>
      <w:r w:rsidR="00C35F46">
        <w:rPr>
          <w:rFonts w:asciiTheme="majorHAnsi" w:hAnsiTheme="majorHAnsi" w:cstheme="majorHAnsi"/>
          <w:color w:val="000000" w:themeColor="text1"/>
          <w:szCs w:val="22"/>
        </w:rPr>
        <w:t xml:space="preserve"> activities undertaken to determine </w:t>
      </w:r>
      <w:r w:rsidRPr="00770014">
        <w:rPr>
          <w:rFonts w:asciiTheme="majorHAnsi" w:hAnsiTheme="majorHAnsi" w:cstheme="majorHAnsi"/>
          <w:color w:val="000000" w:themeColor="text1"/>
          <w:szCs w:val="22"/>
        </w:rPr>
        <w:t xml:space="preserve">whether measures </w:t>
      </w:r>
      <w:r w:rsidR="00C35F46">
        <w:rPr>
          <w:rFonts w:asciiTheme="majorHAnsi" w:hAnsiTheme="majorHAnsi" w:cstheme="majorHAnsi"/>
          <w:color w:val="000000" w:themeColor="text1"/>
          <w:szCs w:val="22"/>
        </w:rPr>
        <w:t xml:space="preserve">were properly installed, </w:t>
      </w:r>
      <w:r w:rsidRPr="00770014">
        <w:rPr>
          <w:rFonts w:asciiTheme="majorHAnsi" w:hAnsiTheme="majorHAnsi" w:cstheme="majorHAnsi"/>
          <w:color w:val="000000" w:themeColor="text1"/>
          <w:szCs w:val="22"/>
        </w:rPr>
        <w:t>functioning</w:t>
      </w:r>
      <w:r w:rsidR="00C35F46">
        <w:rPr>
          <w:rFonts w:asciiTheme="majorHAnsi" w:hAnsiTheme="majorHAnsi" w:cstheme="majorHAnsi"/>
          <w:color w:val="000000" w:themeColor="text1"/>
          <w:szCs w:val="22"/>
        </w:rPr>
        <w:t xml:space="preserve">, </w:t>
      </w:r>
      <w:r w:rsidRPr="00770014">
        <w:rPr>
          <w:rFonts w:asciiTheme="majorHAnsi" w:hAnsiTheme="majorHAnsi" w:cstheme="majorHAnsi"/>
          <w:color w:val="000000" w:themeColor="text1"/>
          <w:szCs w:val="22"/>
        </w:rPr>
        <w:t xml:space="preserve">and </w:t>
      </w:r>
      <w:r w:rsidR="00C35F46">
        <w:rPr>
          <w:rFonts w:asciiTheme="majorHAnsi" w:hAnsiTheme="majorHAnsi" w:cstheme="majorHAnsi"/>
          <w:color w:val="000000" w:themeColor="text1"/>
          <w:szCs w:val="22"/>
        </w:rPr>
        <w:t xml:space="preserve">capable of </w:t>
      </w:r>
      <w:r w:rsidRPr="00770014">
        <w:rPr>
          <w:rFonts w:asciiTheme="majorHAnsi" w:hAnsiTheme="majorHAnsi" w:cstheme="majorHAnsi"/>
          <w:color w:val="000000" w:themeColor="text1"/>
          <w:szCs w:val="22"/>
        </w:rPr>
        <w:t xml:space="preserve">generating savings. </w:t>
      </w:r>
    </w:p>
    <w:p w14:paraId="7901FDE3" w14:textId="77777777" w:rsidR="00770014" w:rsidRDefault="00D107DC" w:rsidP="00703A52">
      <w:pPr>
        <w:pStyle w:val="BulletLevel1"/>
      </w:pPr>
      <w:r w:rsidRPr="00770014">
        <w:t>Determine deemed EUL values using either or both:</w:t>
      </w:r>
    </w:p>
    <w:p w14:paraId="5C75EE0A" w14:textId="77777777" w:rsidR="00D107DC" w:rsidRPr="00770014" w:rsidRDefault="00D107DC" w:rsidP="00703A52">
      <w:pPr>
        <w:pStyle w:val="BulletLevel2"/>
      </w:pPr>
      <w:r w:rsidRPr="00770014">
        <w:t xml:space="preserve">Documented best practices that are determined by independent entities and publically documented per the requirements indicated below in the subsection on </w:t>
      </w:r>
      <w:r w:rsidRPr="00770014">
        <w:rPr>
          <w:i/>
        </w:rPr>
        <w:t>Deemed Savings</w:t>
      </w:r>
      <w:r w:rsidRPr="00770014">
        <w:t xml:space="preserve">. </w:t>
      </w:r>
    </w:p>
    <w:p w14:paraId="3339EA26" w14:textId="77777777" w:rsidR="00D107DC" w:rsidRPr="00770014" w:rsidRDefault="00D107DC" w:rsidP="00703A52">
      <w:pPr>
        <w:pStyle w:val="BulletLevel2"/>
      </w:pPr>
      <w:r w:rsidRPr="00770014">
        <w:t xml:space="preserve">Persistence studies conducted by independent entities at least once every 5 years to determine values. </w:t>
      </w:r>
    </w:p>
    <w:p w14:paraId="4FD87897" w14:textId="77777777" w:rsidR="00D07AC4" w:rsidRDefault="00D107DC" w:rsidP="00D107DC">
      <w:pPr>
        <w:pStyle w:val="BulletLevel1"/>
        <w:numPr>
          <w:ilvl w:val="0"/>
          <w:numId w:val="34"/>
        </w:numPr>
        <w:ind w:left="360"/>
        <w:rPr>
          <w:rFonts w:asciiTheme="majorHAnsi" w:hAnsiTheme="majorHAnsi" w:cstheme="majorHAnsi"/>
          <w:color w:val="000000" w:themeColor="text1"/>
          <w:szCs w:val="22"/>
        </w:rPr>
      </w:pPr>
      <w:r w:rsidRPr="00770014">
        <w:rPr>
          <w:rFonts w:asciiTheme="majorHAnsi" w:hAnsiTheme="majorHAnsi" w:cstheme="majorHAnsi"/>
          <w:color w:val="000000" w:themeColor="text1"/>
          <w:szCs w:val="22"/>
        </w:rPr>
        <w:t>If deemed EUL values are used</w:t>
      </w:r>
      <w:r w:rsidR="00D07AC4">
        <w:rPr>
          <w:rFonts w:asciiTheme="majorHAnsi" w:hAnsiTheme="majorHAnsi" w:cstheme="majorHAnsi"/>
          <w:color w:val="000000" w:themeColor="text1"/>
          <w:szCs w:val="22"/>
        </w:rPr>
        <w:t xml:space="preserve">: </w:t>
      </w:r>
    </w:p>
    <w:p w14:paraId="3E9708F4" w14:textId="77777777" w:rsidR="00D107DC" w:rsidRPr="00770014" w:rsidRDefault="00D07AC4" w:rsidP="00D17FF5">
      <w:pPr>
        <w:pStyle w:val="BulletLevel1"/>
        <w:numPr>
          <w:ilvl w:val="1"/>
          <w:numId w:val="34"/>
        </w:numPr>
        <w:ind w:left="720"/>
        <w:rPr>
          <w:rFonts w:asciiTheme="majorHAnsi" w:hAnsiTheme="majorHAnsi" w:cstheme="majorHAnsi"/>
          <w:color w:val="000000" w:themeColor="text1"/>
          <w:szCs w:val="22"/>
        </w:rPr>
      </w:pPr>
      <w:r>
        <w:rPr>
          <w:rFonts w:asciiTheme="majorHAnsi" w:hAnsiTheme="majorHAnsi" w:cstheme="majorHAnsi"/>
          <w:color w:val="000000" w:themeColor="text1"/>
          <w:szCs w:val="22"/>
        </w:rPr>
        <w:t>R</w:t>
      </w:r>
      <w:r w:rsidR="00D107DC" w:rsidRPr="00770014">
        <w:rPr>
          <w:rFonts w:asciiTheme="majorHAnsi" w:hAnsiTheme="majorHAnsi" w:cstheme="majorHAnsi"/>
          <w:color w:val="000000" w:themeColor="text1"/>
          <w:szCs w:val="22"/>
        </w:rPr>
        <w:t xml:space="preserve">eport incremental and cumulative savings with the assumption that savings revert to zero at the end of the applied EUL (after a period of time equal to the EUL has elapsed). This implies that project or program participants do not continue the EE practice beyond “measure life,” and that if a new measure is implemented at the end of the prior measure’s EUL, a reassessment of the appropriate CPB is needed. </w:t>
      </w:r>
    </w:p>
    <w:p w14:paraId="433F5926" w14:textId="6E184348" w:rsidR="00D107DC" w:rsidRDefault="00770014" w:rsidP="00703A52">
      <w:pPr>
        <w:pStyle w:val="BulletLevel2"/>
      </w:pPr>
      <w:r>
        <w:t xml:space="preserve">Consider using </w:t>
      </w:r>
      <w:r w:rsidR="007C0F95">
        <w:t xml:space="preserve">ongoing </w:t>
      </w:r>
      <w:r>
        <w:t xml:space="preserve">field </w:t>
      </w:r>
      <w:r w:rsidRPr="001B6BE3">
        <w:t>verification</w:t>
      </w:r>
      <w:r>
        <w:t>s</w:t>
      </w:r>
      <w:r w:rsidRPr="001B6BE3">
        <w:t xml:space="preserve"> to </w:t>
      </w:r>
      <w:r w:rsidR="00AE1A06">
        <w:t xml:space="preserve">determine the actual (versus deemed) </w:t>
      </w:r>
      <w:r>
        <w:t xml:space="preserve">EUL values for measure </w:t>
      </w:r>
      <w:r w:rsidRPr="001B6BE3">
        <w:t>lifetime and persistence of savings</w:t>
      </w:r>
      <w:r>
        <w:t>.</w:t>
      </w:r>
      <w:r w:rsidR="00513E84">
        <w:t xml:space="preserve"> </w:t>
      </w:r>
      <w:r w:rsidR="00D107DC" w:rsidRPr="00770014">
        <w:t xml:space="preserve">If </w:t>
      </w:r>
      <w:r w:rsidR="00AE1A06">
        <w:t xml:space="preserve">ongoing </w:t>
      </w:r>
      <w:r w:rsidR="00D107DC" w:rsidRPr="00770014">
        <w:t xml:space="preserve">field verification is </w:t>
      </w:r>
      <w:r w:rsidR="007C0F95">
        <w:t>used</w:t>
      </w:r>
      <w:r w:rsidR="00AE1A06">
        <w:t xml:space="preserve">, </w:t>
      </w:r>
      <w:r w:rsidR="007C0F95">
        <w:t xml:space="preserve">EE savings can </w:t>
      </w:r>
      <w:r w:rsidR="00AE1A06">
        <w:t xml:space="preserve">be counted for </w:t>
      </w:r>
      <w:r w:rsidR="00D107DC" w:rsidRPr="00770014">
        <w:t xml:space="preserve">as long as verification indicates that </w:t>
      </w:r>
      <w:r w:rsidR="00AE1A06">
        <w:t xml:space="preserve">the project or measure </w:t>
      </w:r>
      <w:r w:rsidR="00D107DC" w:rsidRPr="00770014">
        <w:t>persist</w:t>
      </w:r>
      <w:r w:rsidR="00AE1A06">
        <w:t>s</w:t>
      </w:r>
      <w:r w:rsidR="00D107DC" w:rsidRPr="00770014">
        <w:t>.</w:t>
      </w:r>
    </w:p>
    <w:p w14:paraId="704BDED8" w14:textId="77777777" w:rsidR="007A6DD8" w:rsidRDefault="00D07AC4" w:rsidP="00703A52">
      <w:pPr>
        <w:pStyle w:val="BulletLevel2"/>
      </w:pPr>
      <w:r>
        <w:t>A</w:t>
      </w:r>
      <w:r w:rsidR="007A6DD8" w:rsidRPr="00770014">
        <w:t xml:space="preserve">pply persistence and/or degradation studies to establish </w:t>
      </w:r>
      <w:r>
        <w:t xml:space="preserve">and adjust deemed </w:t>
      </w:r>
      <w:r w:rsidR="007A6DD8" w:rsidRPr="00187677">
        <w:t xml:space="preserve">values </w:t>
      </w:r>
      <w:r w:rsidR="007A6DD8">
        <w:t xml:space="preserve">(i.e., </w:t>
      </w:r>
      <w:r w:rsidR="007A6DD8" w:rsidRPr="00187677">
        <w:t>in lieu of conducting regular interval inspections to determine if measures are functioning and generating savings</w:t>
      </w:r>
      <w:r w:rsidR="007A6DD8">
        <w:t>)</w:t>
      </w:r>
      <w:r w:rsidR="007A6DD8" w:rsidRPr="00187677">
        <w:t>.</w:t>
      </w:r>
    </w:p>
    <w:p w14:paraId="29B0EEB8" w14:textId="77777777" w:rsidR="00D07AC4" w:rsidRPr="00D07AC4" w:rsidRDefault="00D07AC4" w:rsidP="00703A52">
      <w:pPr>
        <w:pStyle w:val="BulletLevel1"/>
      </w:pPr>
      <w:r>
        <w:t>I</w:t>
      </w:r>
      <w:r w:rsidRPr="00D17FF5">
        <w:t>f project or program persistence studies are conducted to determine the duration of savings, then savings can be counted as long as the verification activities indicate continued measure operation and performance.</w:t>
      </w:r>
    </w:p>
    <w:p w14:paraId="03C2D234" w14:textId="77777777" w:rsidR="00D07AC4" w:rsidRPr="00D07AC4" w:rsidRDefault="00D07AC4" w:rsidP="00703A52">
      <w:pPr>
        <w:pStyle w:val="BulletLevel2"/>
      </w:pPr>
      <w:r>
        <w:t>Such studies should be conducted at least every five years</w:t>
      </w:r>
    </w:p>
    <w:p w14:paraId="6406C1B2" w14:textId="77777777" w:rsidR="008128AA" w:rsidRDefault="007A6DD8" w:rsidP="00703A52">
      <w:pPr>
        <w:pStyle w:val="BulletLevel1"/>
      </w:pPr>
      <w:r w:rsidRPr="001B6BE3">
        <w:t>Participate in collaborative and joint research to improve the breath and quality of EUL values</w:t>
      </w:r>
      <w:r>
        <w:t xml:space="preserve"> (several such research activities are ongoing in states around the country). </w:t>
      </w:r>
    </w:p>
    <w:p w14:paraId="7241BB54" w14:textId="77777777" w:rsidR="008128AA" w:rsidRDefault="008128AA">
      <w:pPr>
        <w:spacing w:after="200"/>
      </w:pPr>
      <w:r>
        <w:br w:type="page"/>
      </w:r>
    </w:p>
    <w:p w14:paraId="5EBC7468" w14:textId="77777777" w:rsidR="007A6DD8" w:rsidRPr="009D76DC" w:rsidRDefault="007A6DD8" w:rsidP="007A6DD8">
      <w:pPr>
        <w:pStyle w:val="Heading2"/>
        <w:numPr>
          <w:ilvl w:val="1"/>
          <w:numId w:val="69"/>
        </w:numPr>
      </w:pPr>
      <w:bookmarkStart w:id="307" w:name="_Toc426044649"/>
      <w:r>
        <w:lastRenderedPageBreak/>
        <w:t xml:space="preserve">Savings Quantification and </w:t>
      </w:r>
      <w:r w:rsidRPr="009D76DC">
        <w:t xml:space="preserve">Verification </w:t>
      </w:r>
      <w:r>
        <w:t>Cycles</w:t>
      </w:r>
      <w:bookmarkEnd w:id="307"/>
    </w:p>
    <w:p w14:paraId="7ECAB363" w14:textId="77777777" w:rsidR="007A6DD8" w:rsidRDefault="007A6DD8" w:rsidP="007A6DD8">
      <w:pPr>
        <w:pStyle w:val="Heading3"/>
        <w:keepNext w:val="0"/>
        <w:numPr>
          <w:ilvl w:val="2"/>
          <w:numId w:val="69"/>
        </w:numPr>
        <w:spacing w:before="240"/>
        <w:ind w:left="0"/>
      </w:pPr>
      <w:bookmarkStart w:id="308" w:name="_Toc426044650"/>
      <w:r>
        <w:t>Discussion</w:t>
      </w:r>
      <w:bookmarkEnd w:id="308"/>
    </w:p>
    <w:p w14:paraId="4150D59A" w14:textId="77777777" w:rsidR="007A6DD8" w:rsidRPr="00FA38CB" w:rsidRDefault="00C65406" w:rsidP="00496ACB">
      <w:pPr>
        <w:pStyle w:val="BodyText"/>
        <w:widowControl/>
        <w:rPr>
          <w:rFonts w:cs="Times"/>
        </w:rPr>
      </w:pPr>
      <w:r w:rsidRPr="00770014">
        <w:rPr>
          <w:b/>
          <w:noProof/>
        </w:rPr>
        <mc:AlternateContent>
          <mc:Choice Requires="wps">
            <w:drawing>
              <wp:anchor distT="0" distB="0" distL="114300" distR="114300" simplePos="0" relativeHeight="251655680" behindDoc="0" locked="0" layoutInCell="1" allowOverlap="1" wp14:anchorId="415D8A29" wp14:editId="3C8A1B6A">
                <wp:simplePos x="0" y="0"/>
                <wp:positionH relativeFrom="margin">
                  <wp:posOffset>2705100</wp:posOffset>
                </wp:positionH>
                <wp:positionV relativeFrom="paragraph">
                  <wp:posOffset>35669</wp:posOffset>
                </wp:positionV>
                <wp:extent cx="3163824" cy="1783080"/>
                <wp:effectExtent l="57150" t="38100" r="74930" b="102870"/>
                <wp:wrapSquare wrapText="bothSides"/>
                <wp:docPr id="45" name="Text Box 45"/>
                <wp:cNvGraphicFramePr/>
                <a:graphic xmlns:a="http://schemas.openxmlformats.org/drawingml/2006/main">
                  <a:graphicData uri="http://schemas.microsoft.com/office/word/2010/wordprocessingShape">
                    <wps:wsp>
                      <wps:cNvSpPr txBox="1"/>
                      <wps:spPr>
                        <a:xfrm>
                          <a:off x="0" y="0"/>
                          <a:ext cx="3163824" cy="178308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496E730D" w14:textId="7FA97AB6" w:rsidR="00133485" w:rsidRPr="00EE05E7" w:rsidRDefault="00133485" w:rsidP="007A6DD8">
                            <w:pPr>
                              <w:spacing w:after="120"/>
                              <w:jc w:val="center"/>
                              <w:rPr>
                                <w:b/>
                                <w:sz w:val="20"/>
                                <w:szCs w:val="20"/>
                              </w:rPr>
                            </w:pPr>
                            <w:r w:rsidRPr="00EE05E7">
                              <w:rPr>
                                <w:b/>
                                <w:sz w:val="20"/>
                                <w:szCs w:val="20"/>
                              </w:rPr>
                              <w:t xml:space="preserve">Key </w:t>
                            </w:r>
                            <w:r>
                              <w:rPr>
                                <w:b/>
                                <w:sz w:val="20"/>
                                <w:szCs w:val="20"/>
                              </w:rPr>
                              <w:t xml:space="preserve">Term </w:t>
                            </w:r>
                          </w:p>
                          <w:p w14:paraId="2D4097AF" w14:textId="77777777" w:rsidR="00133485" w:rsidRPr="00EE05E7" w:rsidRDefault="00133485" w:rsidP="007A6DD8">
                            <w:pPr>
                              <w:pStyle w:val="BulletLevel1"/>
                              <w:numPr>
                                <w:ilvl w:val="0"/>
                                <w:numId w:val="33"/>
                              </w:numPr>
                              <w:ind w:left="180" w:hanging="216"/>
                              <w:rPr>
                                <w:sz w:val="20"/>
                                <w:szCs w:val="20"/>
                              </w:rPr>
                            </w:pPr>
                            <w:r w:rsidRPr="00EE05E7">
                              <w:rPr>
                                <w:b/>
                                <w:i/>
                                <w:sz w:val="20"/>
                                <w:szCs w:val="20"/>
                              </w:rPr>
                              <w:t>Verification</w:t>
                            </w:r>
                            <w:r w:rsidRPr="00EE05E7">
                              <w:rPr>
                                <w:sz w:val="20"/>
                                <w:szCs w:val="20"/>
                              </w:rPr>
                              <w:t xml:space="preserve"> </w:t>
                            </w:r>
                            <w:r w:rsidRPr="00EE05E7">
                              <w:rPr>
                                <w:b/>
                                <w:i/>
                                <w:sz w:val="20"/>
                                <w:szCs w:val="20"/>
                              </w:rPr>
                              <w:t>(project or measure):</w:t>
                            </w:r>
                            <w:r w:rsidRPr="00EE05E7">
                              <w:rPr>
                                <w:sz w:val="20"/>
                                <w:szCs w:val="20"/>
                              </w:rPr>
                              <w:t xml:space="preserve"> an assessment by an independent entity to ensure that the EE measures have been installed correctly and could generate the predicted savings. Verification may include assessing baseline conditions and confirming that the EE measures are operating according to their design intent. Site inspections, phone and mail surveys, and desk review of program documentation are typical verification activities.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D8A29" id="Text Box 45" o:spid="_x0000_s1037" type="#_x0000_t202" style="position:absolute;margin-left:213pt;margin-top:2.8pt;width:249.1pt;height:140.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" fillcolor="#a7bfde [1620]" strokecolor="#4579b8 [3044]">
                <v:fill color2="#e4ecf5 [500]" rotate="t" angle="180" colors="0 #a3c4ff;22938f #bfd5ff;1 #e5eeff" focus="100%" type="gradient"/>
                <v:shadow on="t" color="black" opacity="24903f" origin=",.5" offset="0,.55556mm"/>
                <v:textbox>
                  <w:txbxContent>
                    <w:p w14:paraId="496E730D" w14:textId="7FA97AB6" w:rsidR="00133485" w:rsidRPr="00EE05E7" w:rsidRDefault="00133485" w:rsidP="007A6DD8">
                      <w:pPr>
                        <w:spacing w:after="120"/>
                        <w:jc w:val="center"/>
                        <w:rPr>
                          <w:b/>
                          <w:sz w:val="20"/>
                          <w:szCs w:val="20"/>
                        </w:rPr>
                      </w:pPr>
                      <w:r w:rsidRPr="00EE05E7">
                        <w:rPr>
                          <w:b/>
                          <w:sz w:val="20"/>
                          <w:szCs w:val="20"/>
                        </w:rPr>
                        <w:t xml:space="preserve">Key </w:t>
                      </w:r>
                      <w:r>
                        <w:rPr>
                          <w:b/>
                          <w:sz w:val="20"/>
                          <w:szCs w:val="20"/>
                        </w:rPr>
                        <w:t xml:space="preserve">Term </w:t>
                      </w:r>
                    </w:p>
                    <w:p w14:paraId="2D4097AF" w14:textId="77777777" w:rsidR="00133485" w:rsidRPr="00EE05E7" w:rsidRDefault="00133485" w:rsidP="007A6DD8">
                      <w:pPr>
                        <w:pStyle w:val="BulletLevel1"/>
                        <w:numPr>
                          <w:ilvl w:val="0"/>
                          <w:numId w:val="33"/>
                        </w:numPr>
                        <w:ind w:left="180" w:hanging="216"/>
                        <w:rPr>
                          <w:sz w:val="20"/>
                          <w:szCs w:val="20"/>
                        </w:rPr>
                      </w:pPr>
                      <w:r w:rsidRPr="00EE05E7">
                        <w:rPr>
                          <w:b/>
                          <w:i/>
                          <w:sz w:val="20"/>
                          <w:szCs w:val="20"/>
                        </w:rPr>
                        <w:t>Verification</w:t>
                      </w:r>
                      <w:r w:rsidRPr="00EE05E7">
                        <w:rPr>
                          <w:sz w:val="20"/>
                          <w:szCs w:val="20"/>
                        </w:rPr>
                        <w:t xml:space="preserve"> </w:t>
                      </w:r>
                      <w:r w:rsidRPr="00EE05E7">
                        <w:rPr>
                          <w:b/>
                          <w:i/>
                          <w:sz w:val="20"/>
                          <w:szCs w:val="20"/>
                        </w:rPr>
                        <w:t>(project or measure):</w:t>
                      </w:r>
                      <w:r w:rsidRPr="00EE05E7">
                        <w:rPr>
                          <w:sz w:val="20"/>
                          <w:szCs w:val="20"/>
                        </w:rPr>
                        <w:t xml:space="preserve"> an assessment by an independent entity to ensure that the EE measures have been installed correctly and could generate the predicted savings. Verification may include assessing baseline conditions and confirming that the EE measures are operating according to their design intent. Site inspections, phone and mail surveys, and desk review of program documentation are typical verification activities. </w:t>
                      </w:r>
                    </w:p>
                  </w:txbxContent>
                </v:textbox>
                <w10:wrap type="square" anchorx="margin"/>
              </v:shape>
            </w:pict>
          </mc:Fallback>
        </mc:AlternateContent>
      </w:r>
      <w:r w:rsidR="007A6DD8">
        <w:t xml:space="preserve">Determining </w:t>
      </w:r>
      <w:proofErr w:type="spellStart"/>
      <w:r w:rsidR="007A6DD8">
        <w:t>MWh</w:t>
      </w:r>
      <w:proofErr w:type="spellEnd"/>
      <w:r w:rsidR="007A6DD8">
        <w:t xml:space="preserve"> savings</w:t>
      </w:r>
      <w:r w:rsidR="007A6DD8" w:rsidRPr="00CD2257">
        <w:t xml:space="preserve"> </w:t>
      </w:r>
      <w:r w:rsidR="007A6DD8">
        <w:t>from an EE activity is typically</w:t>
      </w:r>
      <w:r w:rsidR="007A6DD8" w:rsidRPr="00CD2257">
        <w:t xml:space="preserve"> </w:t>
      </w:r>
      <w:r w:rsidR="007A6DD8">
        <w:t xml:space="preserve">a </w:t>
      </w:r>
      <w:r w:rsidR="007A6DD8" w:rsidRPr="00CD2257">
        <w:t>two</w:t>
      </w:r>
      <w:r w:rsidR="007A6DD8">
        <w:t>-step process</w:t>
      </w:r>
      <w:r w:rsidR="007A6DD8" w:rsidRPr="00CD2257">
        <w:t xml:space="preserve">: </w:t>
      </w:r>
      <w:r w:rsidR="007A6DD8">
        <w:t xml:space="preserve">(1) </w:t>
      </w:r>
      <w:r w:rsidR="007A6DD8" w:rsidRPr="00CD2257">
        <w:t>verify</w:t>
      </w:r>
      <w:r w:rsidR="007A6DD8">
        <w:t xml:space="preserve">ing that a measure or project has been installed </w:t>
      </w:r>
      <w:r w:rsidR="007A6DD8" w:rsidRPr="00CD2257">
        <w:t xml:space="preserve">and </w:t>
      </w:r>
      <w:r w:rsidR="007A6DD8">
        <w:t xml:space="preserve">(2) quantifying </w:t>
      </w:r>
      <w:r w:rsidR="007A6DD8" w:rsidRPr="00CD2257">
        <w:t xml:space="preserve">savings. </w:t>
      </w:r>
    </w:p>
    <w:p w14:paraId="551F3981" w14:textId="77777777" w:rsidR="007A6DD8" w:rsidRPr="00CD2257" w:rsidRDefault="007A6DD8" w:rsidP="007A6DD8">
      <w:pPr>
        <w:pStyle w:val="BodyText"/>
        <w:widowControl/>
        <w:rPr>
          <w:rFonts w:cs="Times"/>
        </w:rPr>
      </w:pPr>
      <w:r w:rsidRPr="00CD2257">
        <w:t>To illustrate the difference between the two</w:t>
      </w:r>
      <w:r>
        <w:t xml:space="preserve"> activities</w:t>
      </w:r>
      <w:r w:rsidRPr="00CD2257">
        <w:t>, consider a project involving replacement of 100</w:t>
      </w:r>
      <w:r>
        <w:noBreakHyphen/>
      </w:r>
      <w:r w:rsidRPr="00CD2257">
        <w:t>watt incandescent lamps with 13-watt</w:t>
      </w:r>
      <w:r>
        <w:t xml:space="preserve"> LED lamps.</w:t>
      </w:r>
    </w:p>
    <w:p w14:paraId="29EDEB6C" w14:textId="77777777" w:rsidR="007A6DD8" w:rsidRDefault="007A6DD8" w:rsidP="007A6DD8">
      <w:pPr>
        <w:pStyle w:val="BodyText"/>
        <w:widowControl/>
      </w:pPr>
      <w:r w:rsidRPr="00CD2257">
        <w:t>Verification involve</w:t>
      </w:r>
      <w:r>
        <w:t>s</w:t>
      </w:r>
      <w:r w:rsidRPr="00CD2257">
        <w:t xml:space="preserve"> confirming that the replaced lamps are 100 watts, that the new </w:t>
      </w:r>
      <w:r>
        <w:t xml:space="preserve">ones </w:t>
      </w:r>
      <w:r w:rsidRPr="00CD2257">
        <w:t xml:space="preserve">are 13 watts, and that the </w:t>
      </w:r>
      <w:r>
        <w:t>lamps</w:t>
      </w:r>
      <w:r w:rsidRPr="00CD2257">
        <w:t xml:space="preserve"> </w:t>
      </w:r>
      <w:r>
        <w:t>are</w:t>
      </w:r>
      <w:r w:rsidRPr="00CD2257">
        <w:t xml:space="preserve"> installed and working. </w:t>
      </w:r>
      <w:r>
        <w:t xml:space="preserve">Verification confirms that </w:t>
      </w:r>
      <w:r w:rsidRPr="00CD2257">
        <w:t xml:space="preserve">the </w:t>
      </w:r>
      <w:r>
        <w:t xml:space="preserve">measure has the potential to </w:t>
      </w:r>
      <w:r w:rsidRPr="00CD2257">
        <w:t>save electricity, with the sav</w:t>
      </w:r>
      <w:r>
        <w:t>ings</w:t>
      </w:r>
      <w:r w:rsidRPr="00CD2257">
        <w:t xml:space="preserve"> depend</w:t>
      </w:r>
      <w:r>
        <w:t xml:space="preserve">ing </w:t>
      </w:r>
      <w:r w:rsidRPr="00CD2257">
        <w:t xml:space="preserve">on how many hours the lamps operate. </w:t>
      </w:r>
      <w:r>
        <w:t xml:space="preserve">The number of </w:t>
      </w:r>
      <w:r w:rsidRPr="00CD2257">
        <w:t>hours the lamps operate</w:t>
      </w:r>
      <w:r>
        <w:t xml:space="preserve"> might be determined by using a (1) deemed savings value for 13-watt lamps that replace 100-watt lamps or (2) verified based on metering at a sample of projects, using the IPMVP Option A or B</w:t>
      </w:r>
      <w:r w:rsidR="00EE05E7">
        <w:t>.</w:t>
      </w:r>
      <w:r w:rsidR="00EE05E7">
        <w:rPr>
          <w:rStyle w:val="FootnoteReference"/>
        </w:rPr>
        <w:footnoteReference w:id="39"/>
      </w:r>
      <w:r w:rsidRPr="00CD2257">
        <w:t xml:space="preserve"> </w:t>
      </w:r>
    </w:p>
    <w:p w14:paraId="276D54BE" w14:textId="77777777" w:rsidR="007A6DD8" w:rsidRPr="009B1772" w:rsidRDefault="007A6DD8" w:rsidP="007A6DD8">
      <w:pPr>
        <w:pStyle w:val="Heading3"/>
        <w:numPr>
          <w:ilvl w:val="2"/>
          <w:numId w:val="69"/>
        </w:numPr>
        <w:spacing w:before="240"/>
        <w:ind w:left="0"/>
      </w:pPr>
      <w:bookmarkStart w:id="309" w:name="_Toc422306744"/>
      <w:bookmarkStart w:id="310" w:name="_Toc422306981"/>
      <w:bookmarkStart w:id="311" w:name="_Toc422307122"/>
      <w:bookmarkStart w:id="312" w:name="_Toc422307254"/>
      <w:bookmarkStart w:id="313" w:name="_Toc422311359"/>
      <w:bookmarkStart w:id="314" w:name="_Toc422311493"/>
      <w:bookmarkStart w:id="315" w:name="_Toc422316717"/>
      <w:bookmarkStart w:id="316" w:name="_Toc422316856"/>
      <w:bookmarkStart w:id="317" w:name="_Toc422316996"/>
      <w:bookmarkStart w:id="318" w:name="_Toc426044651"/>
      <w:bookmarkEnd w:id="309"/>
      <w:bookmarkEnd w:id="310"/>
      <w:bookmarkEnd w:id="311"/>
      <w:bookmarkEnd w:id="312"/>
      <w:bookmarkEnd w:id="313"/>
      <w:bookmarkEnd w:id="314"/>
      <w:bookmarkEnd w:id="315"/>
      <w:bookmarkEnd w:id="316"/>
      <w:bookmarkEnd w:id="317"/>
      <w:r>
        <w:t>Applicable Guidance</w:t>
      </w:r>
      <w:bookmarkEnd w:id="318"/>
    </w:p>
    <w:p w14:paraId="72C792FF" w14:textId="25E38FE1" w:rsidR="007A6DD8" w:rsidRPr="009B1772" w:rsidRDefault="007A6DD8" w:rsidP="007A6DD8">
      <w:pPr>
        <w:pStyle w:val="BulletLevel1"/>
      </w:pPr>
      <w:r>
        <w:t xml:space="preserve">Verify a </w:t>
      </w:r>
      <w:r w:rsidRPr="009B1772">
        <w:t xml:space="preserve">sample </w:t>
      </w:r>
      <w:r>
        <w:t xml:space="preserve">of projects </w:t>
      </w:r>
      <w:r w:rsidRPr="009B1772">
        <w:t xml:space="preserve">to represent the full </w:t>
      </w:r>
      <w:r>
        <w:t xml:space="preserve">program </w:t>
      </w:r>
      <w:r w:rsidRPr="009B1772">
        <w:t>population</w:t>
      </w:r>
      <w:r>
        <w:t xml:space="preserve"> in cases where many </w:t>
      </w:r>
      <w:r w:rsidRPr="009B1772">
        <w:t xml:space="preserve">projects </w:t>
      </w:r>
      <w:r>
        <w:t xml:space="preserve">are </w:t>
      </w:r>
      <w:r w:rsidRPr="009B1772">
        <w:t xml:space="preserve">implemented </w:t>
      </w:r>
      <w:r>
        <w:t xml:space="preserve">in </w:t>
      </w:r>
      <w:r w:rsidRPr="009B1772">
        <w:t xml:space="preserve">a program </w:t>
      </w:r>
      <w:r>
        <w:t>(in cases where verifying every project is not feasible or practical).</w:t>
      </w:r>
      <w:r w:rsidR="001A5A18">
        <w:t xml:space="preserve"> </w:t>
      </w:r>
      <w:r>
        <w:t xml:space="preserve">Determine </w:t>
      </w:r>
      <w:r w:rsidRPr="009B1772">
        <w:t xml:space="preserve">sample sizes </w:t>
      </w:r>
      <w:r>
        <w:t xml:space="preserve">as </w:t>
      </w:r>
      <w:r w:rsidRPr="009B1772">
        <w:t>defined</w:t>
      </w:r>
      <w:r>
        <w:t xml:space="preserve"> in </w:t>
      </w:r>
      <w:r w:rsidR="00BE1BB1">
        <w:t xml:space="preserve">Section 2.6 on </w:t>
      </w:r>
      <w:r w:rsidR="009C3D40">
        <w:rPr>
          <w:i/>
        </w:rPr>
        <w:t>Accuracy and Reliability of Quantified Savings</w:t>
      </w:r>
      <w:r w:rsidR="00BE1BB1">
        <w:t>.</w:t>
      </w:r>
    </w:p>
    <w:p w14:paraId="6D5F47A8" w14:textId="77777777" w:rsidR="007A6DD8" w:rsidRPr="009B1772" w:rsidRDefault="007A6DD8" w:rsidP="007A6DD8">
      <w:pPr>
        <w:pStyle w:val="BulletLevel1"/>
      </w:pPr>
      <w:r>
        <w:t>Use v</w:t>
      </w:r>
      <w:r w:rsidRPr="009B1772">
        <w:t xml:space="preserve">erification </w:t>
      </w:r>
      <w:r>
        <w:t>findings</w:t>
      </w:r>
      <w:r w:rsidRPr="009B1772">
        <w:t xml:space="preserve"> to adjust</w:t>
      </w:r>
      <w:r>
        <w:t xml:space="preserve"> </w:t>
      </w:r>
      <w:r w:rsidRPr="009B1772">
        <w:t>annual electricity savings</w:t>
      </w:r>
      <w:r>
        <w:t xml:space="preserve"> on a going forward basis</w:t>
      </w:r>
      <w:r w:rsidRPr="009B1772">
        <w:t>.</w:t>
      </w:r>
    </w:p>
    <w:p w14:paraId="7B4CDE28" w14:textId="77777777" w:rsidR="007A6DD8" w:rsidRPr="009B1772" w:rsidRDefault="007A6DD8" w:rsidP="007A6DD8">
      <w:pPr>
        <w:pStyle w:val="BulletLevel1"/>
      </w:pPr>
      <w:r>
        <w:t xml:space="preserve">Apply the following </w:t>
      </w:r>
      <w:r w:rsidRPr="009B1772">
        <w:t xml:space="preserve">verification </w:t>
      </w:r>
      <w:r>
        <w:t xml:space="preserve">strategies for these common </w:t>
      </w:r>
      <w:r w:rsidRPr="009B1772">
        <w:t>EE activities:</w:t>
      </w:r>
    </w:p>
    <w:p w14:paraId="4EF3948C" w14:textId="77777777" w:rsidR="007A6DD8" w:rsidRPr="009D76DC" w:rsidRDefault="007A6DD8" w:rsidP="007A6DD8">
      <w:pPr>
        <w:pStyle w:val="BulletLevel2"/>
      </w:pPr>
      <w:r w:rsidRPr="00951429">
        <w:t xml:space="preserve">For </w:t>
      </w:r>
      <w:r w:rsidRPr="00CB6FBA">
        <w:rPr>
          <w:b/>
        </w:rPr>
        <w:t>EE retrofits</w:t>
      </w:r>
      <w:r w:rsidRPr="009B1772">
        <w:t xml:space="preserve">, verification can include confirming (1) installation rates of the indicated EE measures, (2) </w:t>
      </w:r>
      <w:r w:rsidR="0000190D" w:rsidRPr="009B1772">
        <w:t>that the</w:t>
      </w:r>
      <w:r w:rsidR="0000190D">
        <w:t xml:space="preserve">se </w:t>
      </w:r>
      <w:r w:rsidR="0000190D" w:rsidRPr="009B1772">
        <w:t>installation</w:t>
      </w:r>
      <w:r w:rsidR="0000190D">
        <w:t>s</w:t>
      </w:r>
      <w:r w:rsidR="0000190D" w:rsidRPr="009B1772">
        <w:t xml:space="preserve"> </w:t>
      </w:r>
      <w:r w:rsidR="0000190D">
        <w:t>are above and beyond CPB and</w:t>
      </w:r>
      <w:r w:rsidR="0000190D" w:rsidRPr="009B1772">
        <w:t xml:space="preserve"> meet </w:t>
      </w:r>
      <w:r w:rsidRPr="009B1772">
        <w:t>reasonable quality standards, and (3) that the measures are operating correctly per</w:t>
      </w:r>
      <w:r w:rsidRPr="009D76DC">
        <w:t xml:space="preserve"> design intent and </w:t>
      </w:r>
      <w:r>
        <w:t>can</w:t>
      </w:r>
      <w:r w:rsidRPr="009D76DC">
        <w:t xml:space="preserve"> generate the predicted savings. </w:t>
      </w:r>
    </w:p>
    <w:p w14:paraId="7196ADFA" w14:textId="77777777" w:rsidR="007A6DD8" w:rsidRPr="009D76DC" w:rsidRDefault="007A6DD8" w:rsidP="007A6DD8">
      <w:pPr>
        <w:pStyle w:val="BulletLevel2"/>
      </w:pPr>
      <w:r w:rsidRPr="009D76DC">
        <w:t xml:space="preserve">For </w:t>
      </w:r>
      <w:r w:rsidRPr="00CB6FBA">
        <w:rPr>
          <w:b/>
        </w:rPr>
        <w:t>EE new construction projects</w:t>
      </w:r>
      <w:r w:rsidRPr="009D76DC">
        <w:t>, verification can include reviewing and confirming commissioning documentation</w:t>
      </w:r>
      <w:r>
        <w:t>.</w:t>
      </w:r>
    </w:p>
    <w:p w14:paraId="3C9D37F9" w14:textId="77777777" w:rsidR="007A6DD8" w:rsidRPr="009D76DC" w:rsidRDefault="007A6DD8" w:rsidP="007A6DD8">
      <w:pPr>
        <w:pStyle w:val="BulletLevel2"/>
      </w:pPr>
      <w:r w:rsidRPr="009D76DC">
        <w:t xml:space="preserve">For </w:t>
      </w:r>
      <w:r w:rsidRPr="00CB6FBA">
        <w:rPr>
          <w:b/>
        </w:rPr>
        <w:t xml:space="preserve">EE point-of-sale rebate </w:t>
      </w:r>
      <w:r w:rsidRPr="006D6750">
        <w:t>or</w:t>
      </w:r>
      <w:r w:rsidRPr="00CB6FBA">
        <w:rPr>
          <w:b/>
        </w:rPr>
        <w:t xml:space="preserve"> distribut</w:t>
      </w:r>
      <w:r w:rsidR="0000190D">
        <w:rPr>
          <w:b/>
        </w:rPr>
        <w:t>o</w:t>
      </w:r>
      <w:r w:rsidRPr="00CB6FBA">
        <w:rPr>
          <w:b/>
        </w:rPr>
        <w:t>r incentive programs</w:t>
      </w:r>
      <w:r w:rsidRPr="009D76DC">
        <w:t xml:space="preserve">, verification can include confirming the sales data used for determining electricity savings </w:t>
      </w:r>
      <w:r>
        <w:t>and</w:t>
      </w:r>
      <w:r w:rsidRPr="009D76DC">
        <w:t xml:space="preserve"> verification with a sample of end users. </w:t>
      </w:r>
    </w:p>
    <w:p w14:paraId="76791183" w14:textId="77777777" w:rsidR="007A6DD8" w:rsidRDefault="007A6DD8" w:rsidP="007A6DD8">
      <w:pPr>
        <w:pStyle w:val="BulletLevel1"/>
      </w:pPr>
      <w:r>
        <w:t xml:space="preserve">Use </w:t>
      </w:r>
      <w:r w:rsidRPr="00A45FF4">
        <w:t>EM&amp;V</w:t>
      </w:r>
      <w:r>
        <w:t xml:space="preserve"> and the derived savings </w:t>
      </w:r>
      <w:r w:rsidRPr="00A45FF4">
        <w:t>realization rates</w:t>
      </w:r>
      <w:r>
        <w:t xml:space="preserve"> to </w:t>
      </w:r>
      <w:r w:rsidRPr="00A45FF4">
        <w:t>adjust claimed annual electricity savings.</w:t>
      </w:r>
    </w:p>
    <w:p w14:paraId="1DA1C86D" w14:textId="6CA18087" w:rsidR="007A6DD8" w:rsidRPr="00706DF9" w:rsidRDefault="007A6DD8" w:rsidP="007A6DD8">
      <w:pPr>
        <w:pStyle w:val="BulletLevel2"/>
        <w:rPr>
          <w:rFonts w:asciiTheme="majorHAnsi" w:hAnsiTheme="majorHAnsi" w:cstheme="majorHAnsi"/>
          <w:bCs/>
          <w:szCs w:val="22"/>
        </w:rPr>
      </w:pPr>
      <w:r w:rsidRPr="00706DF9">
        <w:t>If savings quantification is conducted separately from savings verification</w:t>
      </w:r>
      <w:r>
        <w:t xml:space="preserve"> (e.g., </w:t>
      </w:r>
      <w:r w:rsidRPr="00706DF9">
        <w:t xml:space="preserve">deemed savings </w:t>
      </w:r>
      <w:r>
        <w:t xml:space="preserve">and </w:t>
      </w:r>
      <w:r w:rsidR="006F4D93">
        <w:t>PB-MV</w:t>
      </w:r>
      <w:r w:rsidRPr="00706DF9">
        <w:t xml:space="preserve"> methods</w:t>
      </w:r>
      <w:r>
        <w:t>)</w:t>
      </w:r>
      <w:r w:rsidRPr="00706DF9">
        <w:t>, the savings quantification may determine savings per verified unit</w:t>
      </w:r>
      <w:r>
        <w:t>.</w:t>
      </w:r>
      <w:r w:rsidR="001A5A18">
        <w:t xml:space="preserve"> </w:t>
      </w:r>
      <w:r>
        <w:t xml:space="preserve">This value can then be applied to the </w:t>
      </w:r>
      <w:r w:rsidRPr="00706DF9">
        <w:t>verified units.</w:t>
      </w:r>
    </w:p>
    <w:p w14:paraId="6292BE8F" w14:textId="77777777" w:rsidR="007A6DD8" w:rsidRDefault="007A6DD8" w:rsidP="007A6DD8">
      <w:pPr>
        <w:pStyle w:val="BulletLevel2"/>
      </w:pPr>
      <w:r w:rsidRPr="00706DF9">
        <w:t>When comparison</w:t>
      </w:r>
      <w:r>
        <w:t>-</w:t>
      </w:r>
      <w:r w:rsidRPr="00706DF9">
        <w:t>group methods are used, the analysis may be considered to provide a combination of savings quantification</w:t>
      </w:r>
      <w:r>
        <w:t xml:space="preserve"> and verification</w:t>
      </w:r>
      <w:r w:rsidRPr="00706DF9">
        <w:t xml:space="preserve">. That is, the analysis </w:t>
      </w:r>
      <w:r>
        <w:t>yields</w:t>
      </w:r>
      <w:r w:rsidRPr="00706DF9">
        <w:t xml:space="preserve"> both what was </w:t>
      </w:r>
      <w:r w:rsidRPr="00706DF9">
        <w:lastRenderedPageBreak/>
        <w:t xml:space="preserve">actually installed and operating, </w:t>
      </w:r>
      <w:r>
        <w:t xml:space="preserve">as well as </w:t>
      </w:r>
      <w:r w:rsidRPr="00706DF9">
        <w:t>the operational practices that affect savings.</w:t>
      </w:r>
      <w:r>
        <w:t xml:space="preserve"> </w:t>
      </w:r>
      <w:r w:rsidRPr="00706DF9">
        <w:t xml:space="preserve">Separate verification </w:t>
      </w:r>
      <w:r>
        <w:t xml:space="preserve">activities are </w:t>
      </w:r>
      <w:r w:rsidRPr="00706DF9">
        <w:t>therefore not necessary.</w:t>
      </w:r>
      <w:r>
        <w:t xml:space="preserve"> </w:t>
      </w:r>
    </w:p>
    <w:p w14:paraId="32A5604C" w14:textId="77777777" w:rsidR="007A6DD8" w:rsidRDefault="007A6DD8" w:rsidP="007A6DD8">
      <w:pPr>
        <w:pStyle w:val="BulletLevel3"/>
      </w:pPr>
      <w:r w:rsidRPr="00706DF9">
        <w:t xml:space="preserve">To continue to count savings after the first year with comparison group methods, </w:t>
      </w:r>
      <w:r>
        <w:t xml:space="preserve">establish </w:t>
      </w:r>
      <w:proofErr w:type="gramStart"/>
      <w:r w:rsidRPr="00706DF9">
        <w:t>a</w:t>
      </w:r>
      <w:r>
        <w:t>n</w:t>
      </w:r>
      <w:proofErr w:type="gramEnd"/>
      <w:r w:rsidRPr="00706DF9">
        <w:t xml:space="preserve"> EUL </w:t>
      </w:r>
      <w:r w:rsidRPr="00CF3A87">
        <w:t xml:space="preserve">as described in Section </w:t>
      </w:r>
      <w:r w:rsidR="0007665B">
        <w:t>2</w:t>
      </w:r>
      <w:r w:rsidRPr="00CF3A87">
        <w:t>.8.</w:t>
      </w:r>
      <w:r w:rsidR="0007665B">
        <w:t>2</w:t>
      </w:r>
      <w:r w:rsidRPr="00CF3A87">
        <w:t xml:space="preserve"> or continue</w:t>
      </w:r>
      <w:r>
        <w:t xml:space="preserve"> the </w:t>
      </w:r>
      <w:r w:rsidRPr="00CF3A87">
        <w:t>comparison group analysis in each year for which savings continue to be counted.</w:t>
      </w:r>
      <w:r>
        <w:t xml:space="preserve"> </w:t>
      </w:r>
    </w:p>
    <w:p w14:paraId="0D6C101D" w14:textId="77777777" w:rsidR="007A6DD8" w:rsidRPr="005500E4" w:rsidRDefault="007A6DD8" w:rsidP="007A6DD8">
      <w:pPr>
        <w:pStyle w:val="BulletLevel3"/>
      </w:pPr>
      <w:r w:rsidRPr="00CF3A87">
        <w:t xml:space="preserve">If the comparison group analysis is continued in successive years, </w:t>
      </w:r>
      <w:r>
        <w:t xml:space="preserve">include </w:t>
      </w:r>
      <w:r w:rsidRPr="00CF3A87">
        <w:t xml:space="preserve">a discussion of the basis on which the comparison group </w:t>
      </w:r>
      <w:r>
        <w:t>remains</w:t>
      </w:r>
      <w:r w:rsidRPr="00CF3A87">
        <w:t xml:space="preserve"> </w:t>
      </w:r>
      <w:r>
        <w:t xml:space="preserve">appropriate and </w:t>
      </w:r>
      <w:r w:rsidRPr="00CF3A87">
        <w:t>valid</w:t>
      </w:r>
      <w:r w:rsidRPr="00706DF9">
        <w:t xml:space="preserve">. </w:t>
      </w:r>
    </w:p>
    <w:p w14:paraId="05B2ED79" w14:textId="77777777" w:rsidR="007A6DD8" w:rsidRPr="009D76DC" w:rsidRDefault="007A6DD8" w:rsidP="007A6DD8">
      <w:pPr>
        <w:pStyle w:val="Heading2"/>
        <w:numPr>
          <w:ilvl w:val="1"/>
          <w:numId w:val="69"/>
        </w:numPr>
        <w:rPr>
          <w:sz w:val="22"/>
        </w:rPr>
      </w:pPr>
      <w:bookmarkStart w:id="319" w:name="_Toc422316999"/>
      <w:bookmarkStart w:id="320" w:name="_Toc426044652"/>
      <w:r>
        <w:t>T</w:t>
      </w:r>
      <w:r w:rsidRPr="009D76DC">
        <w:t>rans</w:t>
      </w:r>
      <w:r>
        <w:t xml:space="preserve">mission and Distribution </w:t>
      </w:r>
      <w:r w:rsidR="00F0172F">
        <w:t xml:space="preserve">(T&amp;D) </w:t>
      </w:r>
      <w:r>
        <w:t>Savings Adders</w:t>
      </w:r>
      <w:bookmarkEnd w:id="319"/>
      <w:bookmarkEnd w:id="320"/>
    </w:p>
    <w:p w14:paraId="3C4CF2A1" w14:textId="77777777" w:rsidR="007A6DD8" w:rsidRPr="00CD2257" w:rsidRDefault="007A6DD8" w:rsidP="007A6DD8">
      <w:pPr>
        <w:pStyle w:val="Heading3"/>
        <w:numPr>
          <w:ilvl w:val="2"/>
          <w:numId w:val="69"/>
        </w:numPr>
        <w:spacing w:before="240"/>
        <w:ind w:left="0"/>
      </w:pPr>
      <w:bookmarkStart w:id="321" w:name="_Toc422306748"/>
      <w:bookmarkStart w:id="322" w:name="_Toc422306985"/>
      <w:bookmarkStart w:id="323" w:name="_Toc422307126"/>
      <w:bookmarkStart w:id="324" w:name="_Toc422307258"/>
      <w:bookmarkStart w:id="325" w:name="_Toc422311363"/>
      <w:bookmarkStart w:id="326" w:name="_Toc422311497"/>
      <w:bookmarkStart w:id="327" w:name="_Toc422316721"/>
      <w:bookmarkStart w:id="328" w:name="_Toc422316860"/>
      <w:bookmarkStart w:id="329" w:name="_Toc422317000"/>
      <w:bookmarkStart w:id="330" w:name="_Toc422317001"/>
      <w:bookmarkStart w:id="331" w:name="_Toc426044653"/>
      <w:bookmarkEnd w:id="321"/>
      <w:bookmarkEnd w:id="322"/>
      <w:bookmarkEnd w:id="323"/>
      <w:bookmarkEnd w:id="324"/>
      <w:bookmarkEnd w:id="325"/>
      <w:bookmarkEnd w:id="326"/>
      <w:bookmarkEnd w:id="327"/>
      <w:bookmarkEnd w:id="328"/>
      <w:bookmarkEnd w:id="329"/>
      <w:r w:rsidRPr="00CD2257">
        <w:t>Discussion</w:t>
      </w:r>
      <w:bookmarkEnd w:id="330"/>
      <w:bookmarkEnd w:id="331"/>
    </w:p>
    <w:p w14:paraId="6F04E2C0" w14:textId="77777777" w:rsidR="007A6DD8" w:rsidRPr="00BE1BB1" w:rsidRDefault="007A6DD8" w:rsidP="007A6DD8">
      <w:pPr>
        <w:pStyle w:val="BodyText"/>
        <w:widowControl/>
        <w:rPr>
          <w:rFonts w:cstheme="majorHAnsi"/>
          <w:color w:val="000000" w:themeColor="text1"/>
        </w:rPr>
      </w:pPr>
      <w:r w:rsidRPr="00CD2257">
        <w:t xml:space="preserve">The difference between </w:t>
      </w:r>
      <w:r>
        <w:t xml:space="preserve">the </w:t>
      </w:r>
      <w:r w:rsidRPr="00CD2257">
        <w:t xml:space="preserve">electricity generated </w:t>
      </w:r>
      <w:r>
        <w:t>(</w:t>
      </w:r>
      <w:proofErr w:type="spellStart"/>
      <w:r>
        <w:t>busbar</w:t>
      </w:r>
      <w:proofErr w:type="spellEnd"/>
      <w:r>
        <w:t xml:space="preserve"> value) </w:t>
      </w:r>
      <w:r w:rsidRPr="00CD2257">
        <w:t xml:space="preserve">and consumed </w:t>
      </w:r>
      <w:r>
        <w:t xml:space="preserve">(meter value) </w:t>
      </w:r>
      <w:r w:rsidRPr="00CD2257">
        <w:t xml:space="preserve">is </w:t>
      </w:r>
      <w:r>
        <w:t>due to</w:t>
      </w:r>
      <w:r w:rsidRPr="00CD2257">
        <w:t xml:space="preserve"> losses in the transmission and distribution (T&amp;D) system. U.S. Energy Information Agency </w:t>
      </w:r>
      <w:r>
        <w:t xml:space="preserve">(EIA) </w:t>
      </w:r>
      <w:r w:rsidRPr="00CD2257">
        <w:t>data</w:t>
      </w:r>
      <w:r>
        <w:t xml:space="preserve"> indicates that</w:t>
      </w:r>
      <w:r w:rsidRPr="00CD2257">
        <w:t xml:space="preserve"> national, annual T&amp;D electricity losses average about 6</w:t>
      </w:r>
      <w:r>
        <w:t xml:space="preserve"> percent </w:t>
      </w:r>
      <w:r w:rsidRPr="00CD2257">
        <w:t>of the electricity that is transmitted in the U</w:t>
      </w:r>
      <w:r>
        <w:t>.S.</w:t>
      </w:r>
      <w:r w:rsidRPr="009D76DC">
        <w:rPr>
          <w:rFonts w:cstheme="majorHAnsi"/>
          <w:vertAlign w:val="superscript"/>
        </w:rPr>
        <w:footnoteReference w:id="40"/>
      </w:r>
      <w:r>
        <w:t xml:space="preserve"> </w:t>
      </w:r>
      <w:r>
        <w:rPr>
          <w:rFonts w:cstheme="majorHAnsi"/>
        </w:rPr>
        <w:t>E</w:t>
      </w:r>
      <w:r w:rsidRPr="00CD2257">
        <w:rPr>
          <w:rFonts w:cstheme="majorHAnsi"/>
        </w:rPr>
        <w:t>very unit of electricity consumption avoided at an end-use site</w:t>
      </w:r>
      <w:r>
        <w:rPr>
          <w:rFonts w:cstheme="majorHAnsi"/>
        </w:rPr>
        <w:t xml:space="preserve"> also</w:t>
      </w:r>
      <w:r w:rsidRPr="00CD2257">
        <w:rPr>
          <w:rFonts w:cstheme="majorHAnsi"/>
        </w:rPr>
        <w:t xml:space="preserve"> avoid</w:t>
      </w:r>
      <w:r>
        <w:rPr>
          <w:rFonts w:cstheme="majorHAnsi"/>
        </w:rPr>
        <w:t>s</w:t>
      </w:r>
      <w:r w:rsidRPr="00CD2257">
        <w:rPr>
          <w:rFonts w:cstheme="majorHAnsi"/>
        </w:rPr>
        <w:t xml:space="preserve"> </w:t>
      </w:r>
      <w:r w:rsidRPr="00BE1BB1">
        <w:rPr>
          <w:rFonts w:cstheme="majorHAnsi"/>
          <w:color w:val="000000" w:themeColor="text1"/>
        </w:rPr>
        <w:t xml:space="preserve">losses that would have occurred as that electricity was delivered through the T&amp;D system. </w:t>
      </w:r>
      <w:r w:rsidRPr="00BE1BB1">
        <w:rPr>
          <w:rFonts w:cstheme="majorHAnsi"/>
          <w:noProof/>
          <w:color w:val="000000" w:themeColor="text1"/>
        </w:rPr>
        <w:t>Requirements and guidance on how T&amp;D savings can be added to end-use electricty savings values follow.</w:t>
      </w:r>
    </w:p>
    <w:p w14:paraId="297BDEE8" w14:textId="77777777" w:rsidR="007A6DD8" w:rsidRPr="00BE1BB1" w:rsidRDefault="007A6DD8" w:rsidP="007A6DD8">
      <w:pPr>
        <w:pStyle w:val="Heading3"/>
        <w:numPr>
          <w:ilvl w:val="2"/>
          <w:numId w:val="69"/>
        </w:numPr>
        <w:spacing w:before="240"/>
        <w:ind w:left="0"/>
        <w:rPr>
          <w:color w:val="000000" w:themeColor="text1"/>
        </w:rPr>
      </w:pPr>
      <w:bookmarkStart w:id="332" w:name="_Toc422306750"/>
      <w:bookmarkStart w:id="333" w:name="_Toc422306987"/>
      <w:bookmarkStart w:id="334" w:name="_Toc422307128"/>
      <w:bookmarkStart w:id="335" w:name="_Toc422307260"/>
      <w:bookmarkStart w:id="336" w:name="_Toc422311365"/>
      <w:bookmarkStart w:id="337" w:name="_Toc422311499"/>
      <w:bookmarkStart w:id="338" w:name="_Toc422316723"/>
      <w:bookmarkStart w:id="339" w:name="_Toc422316862"/>
      <w:bookmarkStart w:id="340" w:name="_Toc422317002"/>
      <w:bookmarkStart w:id="341" w:name="_Toc426044654"/>
      <w:bookmarkEnd w:id="332"/>
      <w:bookmarkEnd w:id="333"/>
      <w:bookmarkEnd w:id="334"/>
      <w:bookmarkEnd w:id="335"/>
      <w:bookmarkEnd w:id="336"/>
      <w:bookmarkEnd w:id="337"/>
      <w:bookmarkEnd w:id="338"/>
      <w:bookmarkEnd w:id="339"/>
      <w:bookmarkEnd w:id="340"/>
      <w:r w:rsidRPr="00BE1BB1">
        <w:rPr>
          <w:color w:val="000000" w:themeColor="text1"/>
        </w:rPr>
        <w:t>Applicable Guidance</w:t>
      </w:r>
      <w:bookmarkEnd w:id="341"/>
    </w:p>
    <w:p w14:paraId="2FA39CDB" w14:textId="77777777" w:rsidR="00EF1409" w:rsidRDefault="007A6DD8" w:rsidP="00C35F46">
      <w:pPr>
        <w:pStyle w:val="BulletLevel1"/>
        <w:numPr>
          <w:ilvl w:val="0"/>
          <w:numId w:val="213"/>
        </w:numPr>
      </w:pPr>
      <w:r w:rsidRPr="00BE1BB1">
        <w:rPr>
          <w:color w:val="000000" w:themeColor="text1"/>
        </w:rPr>
        <w:t xml:space="preserve">Adjust </w:t>
      </w:r>
      <w:proofErr w:type="spellStart"/>
      <w:r w:rsidRPr="00BE1BB1">
        <w:rPr>
          <w:color w:val="000000" w:themeColor="text1"/>
        </w:rPr>
        <w:t>MWh</w:t>
      </w:r>
      <w:proofErr w:type="spellEnd"/>
      <w:r w:rsidRPr="00BE1BB1">
        <w:rPr>
          <w:color w:val="000000" w:themeColor="text1"/>
        </w:rPr>
        <w:t xml:space="preserve"> savings results from EE programs, projects, and measures by using a T&amp;D line-loss adjustment factor (adder) based on the lesser of 6 percent of the site-level savings or the calculated statewide annual average T&amp;D loss rate total electric supply minus direct electricity use divided by direct electricity use)</w:t>
      </w:r>
      <w:r w:rsidRPr="00BE1BB1">
        <w:rPr>
          <w:color w:val="000000" w:themeColor="text1"/>
          <w:vertAlign w:val="superscript"/>
        </w:rPr>
        <w:footnoteReference w:id="41"/>
      </w:r>
      <w:r w:rsidRPr="00BE1BB1">
        <w:rPr>
          <w:color w:val="000000" w:themeColor="text1"/>
        </w:rPr>
        <w:t xml:space="preserve"> expressed as a percentage and based on values in the most recent year and published in the U.S. EIA State Electricity Profile.</w:t>
      </w:r>
      <w:r w:rsidR="001A5A18">
        <w:rPr>
          <w:color w:val="000000" w:themeColor="text1"/>
        </w:rPr>
        <w:t xml:space="preserve"> </w:t>
      </w:r>
    </w:p>
    <w:p w14:paraId="32C5426B" w14:textId="3C099F19" w:rsidR="00AC7F0D" w:rsidRPr="009D76DC" w:rsidRDefault="00AC7F0D" w:rsidP="00C35F46">
      <w:pPr>
        <w:pStyle w:val="BulletLevel1"/>
        <w:numPr>
          <w:ilvl w:val="0"/>
          <w:numId w:val="213"/>
        </w:numPr>
      </w:pPr>
      <w:r w:rsidRPr="00AC7F0D">
        <w:t>For Volt</w:t>
      </w:r>
      <w:r w:rsidR="0000190D">
        <w:t>age</w:t>
      </w:r>
      <w:r w:rsidRPr="00AC7F0D">
        <w:t>/</w:t>
      </w:r>
      <w:r w:rsidR="0000190D">
        <w:t>VAR</w:t>
      </w:r>
      <w:r w:rsidRPr="00AC7F0D">
        <w:t xml:space="preserve"> optimization and conservation voltage re</w:t>
      </w:r>
      <w:r w:rsidR="0000190D">
        <w:t>gulation</w:t>
      </w:r>
      <w:r w:rsidRPr="00AC7F0D">
        <w:t xml:space="preserve"> (CVR) - that </w:t>
      </w:r>
      <w:r w:rsidR="0000190D">
        <w:t>lower</w:t>
      </w:r>
      <w:r w:rsidRPr="00AC7F0D">
        <w:t xml:space="preserve"> both line losses and facility-level </w:t>
      </w:r>
      <w:proofErr w:type="spellStart"/>
      <w:r w:rsidRPr="00AC7F0D">
        <w:t>MWh</w:t>
      </w:r>
      <w:proofErr w:type="spellEnd"/>
      <w:r w:rsidRPr="00AC7F0D">
        <w:t xml:space="preserve"> consumption </w:t>
      </w:r>
      <w:r w:rsidR="005E10A9">
        <w:t>–</w:t>
      </w:r>
      <w:r w:rsidRPr="00AC7F0D">
        <w:t xml:space="preserve"> </w:t>
      </w:r>
      <w:r w:rsidR="005E10A9">
        <w:t xml:space="preserve">identify and document </w:t>
      </w:r>
      <w:r w:rsidRPr="00AC7F0D">
        <w:t xml:space="preserve">the procedures that will be used to </w:t>
      </w:r>
      <w:r w:rsidR="005E10A9">
        <w:t xml:space="preserve">quantify the </w:t>
      </w:r>
      <w:r w:rsidRPr="00AC7F0D">
        <w:t xml:space="preserve">portion of overall savings </w:t>
      </w:r>
      <w:r w:rsidR="005E10A9">
        <w:t xml:space="preserve">that occur on the customer-side of the utility. </w:t>
      </w:r>
    </w:p>
    <w:p w14:paraId="5491D9F0" w14:textId="77777777" w:rsidR="007A6DD8" w:rsidRPr="009D76DC" w:rsidRDefault="007A6DD8" w:rsidP="007A6DD8">
      <w:pPr>
        <w:pStyle w:val="Heading2"/>
        <w:numPr>
          <w:ilvl w:val="1"/>
          <w:numId w:val="69"/>
        </w:numPr>
      </w:pPr>
      <w:bookmarkStart w:id="342" w:name="_Toc422306758"/>
      <w:bookmarkStart w:id="343" w:name="_Toc422306995"/>
      <w:bookmarkStart w:id="344" w:name="_Toc422307136"/>
      <w:bookmarkStart w:id="345" w:name="_Toc422307268"/>
      <w:bookmarkStart w:id="346" w:name="_Toc422311373"/>
      <w:bookmarkStart w:id="347" w:name="_Toc422311507"/>
      <w:bookmarkStart w:id="348" w:name="_Toc422316731"/>
      <w:bookmarkStart w:id="349" w:name="_Toc422316870"/>
      <w:bookmarkStart w:id="350" w:name="_Toc422317010"/>
      <w:bookmarkStart w:id="351" w:name="_Toc423437653"/>
      <w:bookmarkStart w:id="352" w:name="_Toc422317005"/>
      <w:bookmarkStart w:id="353" w:name="_Toc426044655"/>
      <w:bookmarkEnd w:id="342"/>
      <w:bookmarkEnd w:id="343"/>
      <w:bookmarkEnd w:id="344"/>
      <w:bookmarkEnd w:id="345"/>
      <w:bookmarkEnd w:id="346"/>
      <w:bookmarkEnd w:id="347"/>
      <w:bookmarkEnd w:id="348"/>
      <w:bookmarkEnd w:id="349"/>
      <w:bookmarkEnd w:id="350"/>
      <w:bookmarkEnd w:id="351"/>
      <w:r w:rsidRPr="009D76DC">
        <w:lastRenderedPageBreak/>
        <w:t>Interactive Effects</w:t>
      </w:r>
      <w:bookmarkEnd w:id="352"/>
      <w:bookmarkEnd w:id="353"/>
    </w:p>
    <w:p w14:paraId="7A62A892" w14:textId="77777777" w:rsidR="007A6DD8" w:rsidRDefault="007A6DD8" w:rsidP="007A6DD8">
      <w:pPr>
        <w:pStyle w:val="Heading3"/>
        <w:numPr>
          <w:ilvl w:val="2"/>
          <w:numId w:val="69"/>
        </w:numPr>
        <w:spacing w:before="240"/>
        <w:ind w:left="0"/>
      </w:pPr>
      <w:bookmarkStart w:id="354" w:name="_Toc422306754"/>
      <w:bookmarkStart w:id="355" w:name="_Toc422306991"/>
      <w:bookmarkStart w:id="356" w:name="_Toc422307132"/>
      <w:bookmarkStart w:id="357" w:name="_Toc422307264"/>
      <w:bookmarkStart w:id="358" w:name="_Toc422311369"/>
      <w:bookmarkStart w:id="359" w:name="_Toc422311503"/>
      <w:bookmarkStart w:id="360" w:name="_Toc422316727"/>
      <w:bookmarkStart w:id="361" w:name="_Toc422316866"/>
      <w:bookmarkStart w:id="362" w:name="_Toc422317006"/>
      <w:bookmarkStart w:id="363" w:name="_Toc422317007"/>
      <w:bookmarkStart w:id="364" w:name="_Toc426044656"/>
      <w:bookmarkEnd w:id="354"/>
      <w:bookmarkEnd w:id="355"/>
      <w:bookmarkEnd w:id="356"/>
      <w:bookmarkEnd w:id="357"/>
      <w:bookmarkEnd w:id="358"/>
      <w:bookmarkEnd w:id="359"/>
      <w:bookmarkEnd w:id="360"/>
      <w:bookmarkEnd w:id="361"/>
      <w:bookmarkEnd w:id="362"/>
      <w:r>
        <w:t>Discussion</w:t>
      </w:r>
      <w:bookmarkEnd w:id="363"/>
      <w:bookmarkEnd w:id="364"/>
    </w:p>
    <w:p w14:paraId="35E9E7D2" w14:textId="77777777" w:rsidR="007A6DD8" w:rsidRDefault="007A6DD8" w:rsidP="007A6DD8">
      <w:pPr>
        <w:pStyle w:val="BodyText"/>
        <w:widowControl/>
      </w:pPr>
      <w:r w:rsidRPr="006D78FC">
        <w:rPr>
          <w:noProof/>
        </w:rPr>
        <mc:AlternateContent>
          <mc:Choice Requires="wps">
            <w:drawing>
              <wp:anchor distT="0" distB="0" distL="114300" distR="114300" simplePos="0" relativeHeight="251657728" behindDoc="0" locked="0" layoutInCell="1" allowOverlap="1" wp14:anchorId="194A8727" wp14:editId="5B2FAE3F">
                <wp:simplePos x="0" y="0"/>
                <wp:positionH relativeFrom="margin">
                  <wp:posOffset>2705100</wp:posOffset>
                </wp:positionH>
                <wp:positionV relativeFrom="paragraph">
                  <wp:posOffset>66784</wp:posOffset>
                </wp:positionV>
                <wp:extent cx="3163824" cy="1837944"/>
                <wp:effectExtent l="57150" t="38100" r="74930" b="86360"/>
                <wp:wrapSquare wrapText="bothSides"/>
                <wp:docPr id="46" name="Text Box 46"/>
                <wp:cNvGraphicFramePr/>
                <a:graphic xmlns:a="http://schemas.openxmlformats.org/drawingml/2006/main">
                  <a:graphicData uri="http://schemas.microsoft.com/office/word/2010/wordprocessingShape">
                    <wps:wsp>
                      <wps:cNvSpPr txBox="1"/>
                      <wps:spPr>
                        <a:xfrm>
                          <a:off x="0" y="0"/>
                          <a:ext cx="3163824" cy="1837944"/>
                        </a:xfrm>
                        <a:prstGeom prst="rect">
                          <a:avLst/>
                        </a:prstGeom>
                        <a:gradFill>
                          <a:gsLst>
                            <a:gs pos="0">
                              <a:srgbClr val="A3C4FF"/>
                            </a:gs>
                            <a:gs pos="35000">
                              <a:schemeClr val="accent1">
                                <a:tint val="37000"/>
                                <a:satMod val="300000"/>
                              </a:schemeClr>
                            </a:gs>
                            <a:gs pos="100000">
                              <a:schemeClr val="accent1">
                                <a:tint val="15000"/>
                                <a:satMod val="350000"/>
                              </a:schemeClr>
                            </a:gs>
                          </a:gsLst>
                        </a:gra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240A78ED" w14:textId="3158362D" w:rsidR="00133485" w:rsidRPr="00FE1BBC" w:rsidRDefault="00133485" w:rsidP="007A6DD8">
                            <w:pPr>
                              <w:spacing w:after="120"/>
                              <w:jc w:val="center"/>
                              <w:rPr>
                                <w:rFonts w:asciiTheme="majorHAnsi" w:hAnsiTheme="majorHAnsi"/>
                                <w:b/>
                                <w:sz w:val="20"/>
                                <w:szCs w:val="20"/>
                              </w:rPr>
                            </w:pPr>
                            <w:r>
                              <w:rPr>
                                <w:rFonts w:asciiTheme="majorHAnsi" w:hAnsiTheme="majorHAnsi"/>
                                <w:b/>
                                <w:sz w:val="20"/>
                                <w:szCs w:val="20"/>
                              </w:rPr>
                              <w:t>Key Term</w:t>
                            </w:r>
                          </w:p>
                          <w:p w14:paraId="40CDD891" w14:textId="77777777" w:rsidR="00133485" w:rsidRPr="00ED0090" w:rsidRDefault="00133485" w:rsidP="007A6DD8">
                            <w:pPr>
                              <w:pStyle w:val="BulletLevel1"/>
                              <w:numPr>
                                <w:ilvl w:val="0"/>
                                <w:numId w:val="33"/>
                              </w:numPr>
                              <w:ind w:left="180" w:hanging="216"/>
                              <w:rPr>
                                <w:sz w:val="20"/>
                                <w:szCs w:val="20"/>
                              </w:rPr>
                            </w:pPr>
                            <w:r w:rsidRPr="00ED0090">
                              <w:rPr>
                                <w:b/>
                                <w:i/>
                                <w:sz w:val="20"/>
                                <w:szCs w:val="20"/>
                              </w:rPr>
                              <w:t>Interactive effects:</w:t>
                            </w:r>
                            <w:r w:rsidRPr="00ED0090">
                              <w:rPr>
                                <w:sz w:val="20"/>
                                <w:szCs w:val="20"/>
                              </w:rPr>
                              <w:t xml:space="preserve"> increases or decreases in the use of electricity or fossil fuels that occur outside of the end uses targeted by a specific EE measure, project, or program. For example, reduction in lighting loads through an energy-efficient lighting retrofit can reduce buildings’ air conditioning and increase heating requirements because less heat is generated by energy-efficient lighting systems compared with less efficient lighting systems.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8727" id="Text Box 46" o:spid="_x0000_s1038" type="#_x0000_t202" style="position:absolute;margin-left:213pt;margin-top:5.25pt;width:249.1pt;height:144.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" fillcolor="#a3c4ff" strokecolor="#4579b8 [3044]">
                <v:fill color2="#e4ecf5 [500]" rotate="t" angle="180" colors="0 #a3c4ff;22938f #bfd5ff;1 #e5eeff" focus="100%" type="gradient"/>
                <v:shadow on="t" color="black" opacity="24903f" origin=",.5" offset="0,.55556mm"/>
                <v:textbox>
                  <w:txbxContent>
                    <w:p w14:paraId="240A78ED" w14:textId="3158362D" w:rsidR="00133485" w:rsidRPr="00FE1BBC" w:rsidRDefault="00133485" w:rsidP="007A6DD8">
                      <w:pPr>
                        <w:spacing w:after="120"/>
                        <w:jc w:val="center"/>
                        <w:rPr>
                          <w:rFonts w:asciiTheme="majorHAnsi" w:hAnsiTheme="majorHAnsi"/>
                          <w:b/>
                          <w:sz w:val="20"/>
                          <w:szCs w:val="20"/>
                        </w:rPr>
                      </w:pPr>
                      <w:r>
                        <w:rPr>
                          <w:rFonts w:asciiTheme="majorHAnsi" w:hAnsiTheme="majorHAnsi"/>
                          <w:b/>
                          <w:sz w:val="20"/>
                          <w:szCs w:val="20"/>
                        </w:rPr>
                        <w:t>Key Term</w:t>
                      </w:r>
                    </w:p>
                    <w:p w14:paraId="40CDD891" w14:textId="77777777" w:rsidR="00133485" w:rsidRPr="00ED0090" w:rsidRDefault="00133485" w:rsidP="007A6DD8">
                      <w:pPr>
                        <w:pStyle w:val="BulletLevel1"/>
                        <w:numPr>
                          <w:ilvl w:val="0"/>
                          <w:numId w:val="33"/>
                        </w:numPr>
                        <w:ind w:left="180" w:hanging="216"/>
                        <w:rPr>
                          <w:sz w:val="20"/>
                          <w:szCs w:val="20"/>
                        </w:rPr>
                      </w:pPr>
                      <w:r w:rsidRPr="00ED0090">
                        <w:rPr>
                          <w:b/>
                          <w:i/>
                          <w:sz w:val="20"/>
                          <w:szCs w:val="20"/>
                        </w:rPr>
                        <w:t>Interactive effects:</w:t>
                      </w:r>
                      <w:r w:rsidRPr="00ED0090">
                        <w:rPr>
                          <w:sz w:val="20"/>
                          <w:szCs w:val="20"/>
                        </w:rPr>
                        <w:t xml:space="preserve"> increases or decreases in the use of electricity or fossil fuels that occur outside of the end uses targeted by a specific EE measure, project, or program. For example, reduction in lighting loads through an energy-efficient lighting retrofit can reduce buildings’ air conditioning and increase heating requirements because less heat is generated by energy-efficient lighting systems compared with less efficient lighting systems. </w:t>
                      </w:r>
                    </w:p>
                  </w:txbxContent>
                </v:textbox>
                <w10:wrap type="square" anchorx="margin"/>
              </v:shape>
            </w:pict>
          </mc:Fallback>
        </mc:AlternateContent>
      </w:r>
      <w:r>
        <w:t xml:space="preserve">EE </w:t>
      </w:r>
      <w:r w:rsidRPr="00CD2257">
        <w:t xml:space="preserve">measures often have indirect impacts on electricity </w:t>
      </w:r>
      <w:r>
        <w:t xml:space="preserve">and fossil-fuel use </w:t>
      </w:r>
      <w:r w:rsidRPr="00CD2257">
        <w:t>in systems</w:t>
      </w:r>
      <w:r>
        <w:t xml:space="preserve"> not directly affected by the subject measures</w:t>
      </w:r>
      <w:r w:rsidRPr="00CD2257">
        <w:t>. For example</w:t>
      </w:r>
      <w:r>
        <w:t xml:space="preserve">: </w:t>
      </w:r>
    </w:p>
    <w:p w14:paraId="696F23A6" w14:textId="77777777" w:rsidR="007A6DD8" w:rsidRDefault="007A6DD8" w:rsidP="00E10E70">
      <w:pPr>
        <w:pStyle w:val="BulletLevel1"/>
        <w:numPr>
          <w:ilvl w:val="0"/>
          <w:numId w:val="34"/>
        </w:numPr>
        <w:ind w:left="360"/>
      </w:pPr>
      <w:r>
        <w:t>I</w:t>
      </w:r>
      <w:r w:rsidRPr="00CD2257">
        <w:t>nstall</w:t>
      </w:r>
      <w:r>
        <w:t>ing</w:t>
      </w:r>
      <w:r w:rsidRPr="00CD2257">
        <w:t xml:space="preserve"> </w:t>
      </w:r>
      <w:r>
        <w:t xml:space="preserve">efficient </w:t>
      </w:r>
      <w:r w:rsidRPr="00CD2257">
        <w:t xml:space="preserve">lighting </w:t>
      </w:r>
      <w:r>
        <w:t xml:space="preserve">in a building’s cooled and heated space </w:t>
      </w:r>
      <w:r w:rsidRPr="00CD2257">
        <w:t xml:space="preserve">can decrease the electricity use of cooling systems </w:t>
      </w:r>
      <w:r>
        <w:t>and/or increase natural gas consumption in heating systems</w:t>
      </w:r>
      <w:r w:rsidRPr="00CD2257">
        <w:t>.</w:t>
      </w:r>
    </w:p>
    <w:p w14:paraId="67B798A1" w14:textId="77777777" w:rsidR="007A6DD8" w:rsidRPr="00CD2257" w:rsidRDefault="007A6DD8" w:rsidP="007A6DD8">
      <w:pPr>
        <w:pStyle w:val="BodyText"/>
        <w:widowControl/>
      </w:pPr>
      <w:r>
        <w:t xml:space="preserve">This section provides </w:t>
      </w:r>
      <w:r w:rsidRPr="00CD2257">
        <w:t xml:space="preserve">guidance on how indirect </w:t>
      </w:r>
      <w:r>
        <w:t xml:space="preserve">electricity </w:t>
      </w:r>
      <w:r w:rsidRPr="00CD2257">
        <w:t>impacts, called interactive effects, should be addressed.</w:t>
      </w:r>
    </w:p>
    <w:p w14:paraId="096745F6" w14:textId="77777777" w:rsidR="007A6DD8" w:rsidRPr="00CD2257" w:rsidRDefault="007A6DD8" w:rsidP="007A6DD8">
      <w:pPr>
        <w:pStyle w:val="Heading3"/>
        <w:numPr>
          <w:ilvl w:val="2"/>
          <w:numId w:val="69"/>
        </w:numPr>
        <w:spacing w:before="240"/>
        <w:ind w:left="0"/>
      </w:pPr>
      <w:bookmarkStart w:id="365" w:name="_Toc422306756"/>
      <w:bookmarkStart w:id="366" w:name="_Toc422306993"/>
      <w:bookmarkStart w:id="367" w:name="_Toc422307134"/>
      <w:bookmarkStart w:id="368" w:name="_Toc422307266"/>
      <w:bookmarkStart w:id="369" w:name="_Toc422311371"/>
      <w:bookmarkStart w:id="370" w:name="_Toc422311505"/>
      <w:bookmarkStart w:id="371" w:name="_Toc422316729"/>
      <w:bookmarkStart w:id="372" w:name="_Toc422316868"/>
      <w:bookmarkStart w:id="373" w:name="_Toc422317008"/>
      <w:bookmarkStart w:id="374" w:name="_Toc426044657"/>
      <w:bookmarkEnd w:id="365"/>
      <w:bookmarkEnd w:id="366"/>
      <w:bookmarkEnd w:id="367"/>
      <w:bookmarkEnd w:id="368"/>
      <w:bookmarkEnd w:id="369"/>
      <w:bookmarkEnd w:id="370"/>
      <w:bookmarkEnd w:id="371"/>
      <w:bookmarkEnd w:id="372"/>
      <w:bookmarkEnd w:id="373"/>
      <w:r>
        <w:t>Applicable Guidance</w:t>
      </w:r>
      <w:bookmarkEnd w:id="374"/>
    </w:p>
    <w:p w14:paraId="74BF742E" w14:textId="77777777" w:rsidR="007A6DD8" w:rsidRPr="00CD2257" w:rsidRDefault="007A6DD8" w:rsidP="007A6DD8">
      <w:pPr>
        <w:pStyle w:val="BulletLevel1"/>
      </w:pPr>
      <w:r>
        <w:t>Address quantification</w:t>
      </w:r>
      <w:r w:rsidRPr="009D76DC">
        <w:t xml:space="preserve"> of </w:t>
      </w:r>
      <w:r w:rsidRPr="002A2C22">
        <w:t>interactive effects of</w:t>
      </w:r>
      <w:r>
        <w:rPr>
          <w:i/>
        </w:rPr>
        <w:t xml:space="preserve"> </w:t>
      </w:r>
      <w:r w:rsidRPr="009D76DC">
        <w:rPr>
          <w:i/>
        </w:rPr>
        <w:t>electricity</w:t>
      </w:r>
      <w:r w:rsidRPr="00CB6FBA">
        <w:rPr>
          <w:i/>
        </w:rPr>
        <w:t xml:space="preserve"> consumption </w:t>
      </w:r>
      <w:r w:rsidRPr="00CD2257">
        <w:t xml:space="preserve">in EM&amp;V plans and referenced in </w:t>
      </w:r>
      <w:r>
        <w:t>monitoring and verification</w:t>
      </w:r>
      <w:r w:rsidRPr="00CD2257">
        <w:t xml:space="preserve"> reports</w:t>
      </w:r>
      <w:r>
        <w:t>.</w:t>
      </w:r>
    </w:p>
    <w:p w14:paraId="6FD8EC5D" w14:textId="77777777" w:rsidR="007A6DD8" w:rsidRDefault="007A6DD8" w:rsidP="007A6DD8">
      <w:pPr>
        <w:pStyle w:val="BulletLevel1"/>
      </w:pPr>
      <w:r>
        <w:t>Use t</w:t>
      </w:r>
      <w:r w:rsidRPr="009D76DC">
        <w:t xml:space="preserve">he </w:t>
      </w:r>
      <w:r w:rsidRPr="00D94B96">
        <w:t>U.S. DOE’s Uniform Methods Project</w:t>
      </w:r>
      <w:r>
        <w:t xml:space="preserve"> (UMP)</w:t>
      </w:r>
      <w:r>
        <w:rPr>
          <w:rStyle w:val="FootnoteReference"/>
        </w:rPr>
        <w:footnoteReference w:id="42"/>
      </w:r>
      <w:r>
        <w:t xml:space="preserve"> or other applicable protocols and methods to e</w:t>
      </w:r>
      <w:r w:rsidRPr="009D76DC">
        <w:t>stimat</w:t>
      </w:r>
      <w:r>
        <w:t>e</w:t>
      </w:r>
      <w:r w:rsidRPr="009D76DC">
        <w:t xml:space="preserve"> interactive electricity </w:t>
      </w:r>
      <w:r>
        <w:t>effects</w:t>
      </w:r>
      <w:r w:rsidRPr="009D76DC">
        <w:t>.</w:t>
      </w:r>
    </w:p>
    <w:p w14:paraId="6FF09C1A" w14:textId="77777777" w:rsidR="007A6DD8" w:rsidRDefault="007A6DD8" w:rsidP="007A6DD8">
      <w:pPr>
        <w:pStyle w:val="BulletLevel1"/>
      </w:pPr>
      <w:r>
        <w:t>It is not necessary to quantify the</w:t>
      </w:r>
      <w:r w:rsidRPr="00CD2257">
        <w:t xml:space="preserve"> </w:t>
      </w:r>
      <w:r w:rsidRPr="00C2150C">
        <w:rPr>
          <w:i/>
        </w:rPr>
        <w:t>interactive effects</w:t>
      </w:r>
      <w:r w:rsidRPr="00CD2257">
        <w:t xml:space="preserve"> </w:t>
      </w:r>
      <w:r>
        <w:t xml:space="preserve">of </w:t>
      </w:r>
      <w:r w:rsidRPr="00C2150C">
        <w:rPr>
          <w:i/>
        </w:rPr>
        <w:t>end-use fossil fuel use</w:t>
      </w:r>
      <w:r w:rsidRPr="00CD2257">
        <w:t xml:space="preserve"> (i.e.</w:t>
      </w:r>
      <w:r>
        <w:t>,</w:t>
      </w:r>
      <w:r w:rsidRPr="00CD2257">
        <w:t xml:space="preserve"> non-electricity fuels</w:t>
      </w:r>
      <w:r>
        <w:t xml:space="preserve"> such as</w:t>
      </w:r>
      <w:r w:rsidRPr="00CD2257">
        <w:t xml:space="preserve"> natural gas) </w:t>
      </w:r>
      <w:r>
        <w:t>for the purpose of the EPA’s emissions guidelines for affected electric utility generating units</w:t>
      </w:r>
      <w:r w:rsidRPr="00CD2257">
        <w:t>.</w:t>
      </w:r>
      <w:r>
        <w:t xml:space="preserve"> </w:t>
      </w:r>
    </w:p>
    <w:p w14:paraId="7CA17612" w14:textId="77777777" w:rsidR="007A6DD8" w:rsidRPr="00CD2257" w:rsidRDefault="007A6DD8" w:rsidP="007A6DD8">
      <w:pPr>
        <w:pStyle w:val="BulletLevel2"/>
      </w:pPr>
      <w:r>
        <w:t>However, it should be noted that t</w:t>
      </w:r>
      <w:r w:rsidRPr="00CD2257">
        <w:t xml:space="preserve">hat these cross-fuel effects have </w:t>
      </w:r>
      <w:r>
        <w:t xml:space="preserve">implications for </w:t>
      </w:r>
      <w:r w:rsidRPr="00CD2257">
        <w:t xml:space="preserve">overall greenhouse gas </w:t>
      </w:r>
      <w:r>
        <w:t xml:space="preserve">(GHG) </w:t>
      </w:r>
      <w:r w:rsidRPr="00CD2257">
        <w:t>emissions.</w:t>
      </w:r>
      <w:r>
        <w:t xml:space="preserve"> </w:t>
      </w:r>
      <w:r w:rsidRPr="00CD2257">
        <w:t>Evaluatin</w:t>
      </w:r>
      <w:r>
        <w:t>g</w:t>
      </w:r>
      <w:r w:rsidRPr="00CD2257">
        <w:t xml:space="preserve"> </w:t>
      </w:r>
      <w:r>
        <w:t xml:space="preserve">such </w:t>
      </w:r>
      <w:r w:rsidRPr="00CD2257">
        <w:t xml:space="preserve">effects is a </w:t>
      </w:r>
      <w:r>
        <w:t>best practice</w:t>
      </w:r>
      <w:r w:rsidRPr="00CD2257">
        <w:t xml:space="preserve"> in </w:t>
      </w:r>
      <w:r>
        <w:t>many state</w:t>
      </w:r>
      <w:r w:rsidRPr="00CD2257">
        <w:t xml:space="preserve">s. </w:t>
      </w:r>
    </w:p>
    <w:p w14:paraId="593B8EA4" w14:textId="77777777" w:rsidR="007A6DD8" w:rsidRPr="009D76DC" w:rsidRDefault="007A6DD8" w:rsidP="007A6DD8">
      <w:pPr>
        <w:pStyle w:val="Heading2"/>
        <w:numPr>
          <w:ilvl w:val="1"/>
          <w:numId w:val="69"/>
        </w:numPr>
      </w:pPr>
      <w:bookmarkStart w:id="375" w:name="_Toc422306768"/>
      <w:bookmarkStart w:id="376" w:name="_Toc422307005"/>
      <w:bookmarkStart w:id="377" w:name="_Toc422307146"/>
      <w:bookmarkStart w:id="378" w:name="_Toc422307278"/>
      <w:bookmarkStart w:id="379" w:name="_Toc422311383"/>
      <w:bookmarkStart w:id="380" w:name="_Toc422311517"/>
      <w:bookmarkStart w:id="381" w:name="_Toc422316741"/>
      <w:bookmarkStart w:id="382" w:name="_Toc422316880"/>
      <w:bookmarkStart w:id="383" w:name="_Toc422317020"/>
      <w:bookmarkStart w:id="384" w:name="_Toc422317021"/>
      <w:bookmarkStart w:id="385" w:name="_Toc426044658"/>
      <w:bookmarkEnd w:id="375"/>
      <w:bookmarkEnd w:id="376"/>
      <w:bookmarkEnd w:id="377"/>
      <w:bookmarkEnd w:id="378"/>
      <w:bookmarkEnd w:id="379"/>
      <w:bookmarkEnd w:id="380"/>
      <w:bookmarkEnd w:id="381"/>
      <w:bookmarkEnd w:id="382"/>
      <w:bookmarkEnd w:id="383"/>
      <w:r w:rsidRPr="009D76DC">
        <w:t>Use of EE EM&amp;V Protocols and Guidelines</w:t>
      </w:r>
      <w:bookmarkEnd w:id="384"/>
      <w:bookmarkEnd w:id="385"/>
    </w:p>
    <w:p w14:paraId="5CDC1E64" w14:textId="77777777" w:rsidR="007A6DD8" w:rsidRPr="00CD2257" w:rsidRDefault="007A6DD8" w:rsidP="007A6DD8">
      <w:pPr>
        <w:pStyle w:val="Heading3"/>
        <w:numPr>
          <w:ilvl w:val="2"/>
          <w:numId w:val="69"/>
        </w:numPr>
        <w:spacing w:before="240"/>
        <w:ind w:left="0"/>
      </w:pPr>
      <w:bookmarkStart w:id="386" w:name="_Toc422306770"/>
      <w:bookmarkStart w:id="387" w:name="_Toc422307007"/>
      <w:bookmarkStart w:id="388" w:name="_Toc422307148"/>
      <w:bookmarkStart w:id="389" w:name="_Toc422307280"/>
      <w:bookmarkStart w:id="390" w:name="_Toc422311385"/>
      <w:bookmarkStart w:id="391" w:name="_Toc422311519"/>
      <w:bookmarkStart w:id="392" w:name="_Toc422316743"/>
      <w:bookmarkStart w:id="393" w:name="_Toc422316882"/>
      <w:bookmarkStart w:id="394" w:name="_Toc422317022"/>
      <w:bookmarkStart w:id="395" w:name="_Toc422317023"/>
      <w:bookmarkStart w:id="396" w:name="_Toc426044659"/>
      <w:bookmarkEnd w:id="386"/>
      <w:bookmarkEnd w:id="387"/>
      <w:bookmarkEnd w:id="388"/>
      <w:bookmarkEnd w:id="389"/>
      <w:bookmarkEnd w:id="390"/>
      <w:bookmarkEnd w:id="391"/>
      <w:bookmarkEnd w:id="392"/>
      <w:bookmarkEnd w:id="393"/>
      <w:bookmarkEnd w:id="394"/>
      <w:r w:rsidRPr="00CD2257">
        <w:t>Discussion</w:t>
      </w:r>
      <w:bookmarkEnd w:id="395"/>
      <w:bookmarkEnd w:id="396"/>
    </w:p>
    <w:p w14:paraId="0386C2FD" w14:textId="77777777" w:rsidR="007A6DD8" w:rsidRPr="00487B15" w:rsidRDefault="007A6DD8" w:rsidP="000E3CEB">
      <w:pPr>
        <w:pStyle w:val="BodyText"/>
        <w:widowControl/>
      </w:pPr>
      <w:r>
        <w:t>A</w:t>
      </w:r>
      <w:r w:rsidRPr="00487B15">
        <w:t xml:space="preserve"> </w:t>
      </w:r>
      <w:r>
        <w:t xml:space="preserve">key </w:t>
      </w:r>
      <w:r w:rsidRPr="00487B15">
        <w:t>aspect of industry</w:t>
      </w:r>
      <w:r>
        <w:t xml:space="preserve"> best-practices with EE savings quantification is </w:t>
      </w:r>
      <w:r w:rsidRPr="00487B15">
        <w:t>the use of one or more EM&amp;V protocols</w:t>
      </w:r>
      <w:r>
        <w:t xml:space="preserve"> and </w:t>
      </w:r>
      <w:r w:rsidRPr="00487B15">
        <w:t xml:space="preserve">guidelines. </w:t>
      </w:r>
      <w:r>
        <w:t xml:space="preserve">Several such documents define, provide instructions for use, and generally govern the application of the three EM&amp;V methods outlined in Section </w:t>
      </w:r>
      <w:r w:rsidR="000E3CEB">
        <w:t>2</w:t>
      </w:r>
      <w:r>
        <w:t>.1 above.</w:t>
      </w:r>
      <w:r w:rsidRPr="00487B15">
        <w:t xml:space="preserve"> </w:t>
      </w:r>
      <w:r w:rsidRPr="00345FB9">
        <w:t xml:space="preserve">Examples of </w:t>
      </w:r>
      <w:r>
        <w:t xml:space="preserve">these protocols and guidelines are </w:t>
      </w:r>
      <w:r w:rsidRPr="00345FB9">
        <w:t>provided in</w:t>
      </w:r>
      <w:r>
        <w:t xml:space="preserve"> </w:t>
      </w:r>
      <w:r w:rsidRPr="00C2150C">
        <w:rPr>
          <w:b/>
        </w:rPr>
        <w:fldChar w:fldCharType="begin"/>
      </w:r>
      <w:r w:rsidRPr="00C2150C">
        <w:rPr>
          <w:b/>
        </w:rPr>
        <w:instrText xml:space="preserve"> REF _Ref422229204 \h </w:instrText>
      </w:r>
      <w:r>
        <w:rPr>
          <w:b/>
        </w:rPr>
        <w:instrText xml:space="preserve"> \* MERGEFORMAT </w:instrText>
      </w:r>
      <w:r w:rsidRPr="00C2150C">
        <w:rPr>
          <w:b/>
        </w:rPr>
      </w:r>
      <w:r w:rsidRPr="00C2150C">
        <w:rPr>
          <w:b/>
        </w:rPr>
        <w:fldChar w:fldCharType="separate"/>
      </w:r>
      <w:r w:rsidR="00F84B09" w:rsidRPr="0030437E">
        <w:rPr>
          <w:b/>
        </w:rPr>
        <w:t xml:space="preserve">Table </w:t>
      </w:r>
      <w:r w:rsidR="00F84B09">
        <w:rPr>
          <w:b/>
          <w:noProof/>
        </w:rPr>
        <w:t>2</w:t>
      </w:r>
      <w:r w:rsidR="00F84B09" w:rsidRPr="0030437E">
        <w:rPr>
          <w:b/>
          <w:noProof/>
        </w:rPr>
        <w:noBreakHyphen/>
      </w:r>
      <w:r w:rsidR="00F84B09">
        <w:rPr>
          <w:b/>
          <w:noProof/>
        </w:rPr>
        <w:t>1</w:t>
      </w:r>
      <w:r w:rsidRPr="00C2150C">
        <w:rPr>
          <w:b/>
        </w:rPr>
        <w:fldChar w:fldCharType="end"/>
      </w:r>
      <w:r w:rsidRPr="00C2150C">
        <w:rPr>
          <w:b/>
        </w:rPr>
        <w:t>.</w:t>
      </w:r>
      <w:r>
        <w:t xml:space="preserve"> </w:t>
      </w:r>
      <w:r w:rsidRPr="00487B15">
        <w:t xml:space="preserve">EPA supports </w:t>
      </w:r>
      <w:r>
        <w:t xml:space="preserve">the use of these resources in state plans, and encourages </w:t>
      </w:r>
      <w:r w:rsidRPr="00487B15">
        <w:t xml:space="preserve">their further development </w:t>
      </w:r>
      <w:r>
        <w:t>for</w:t>
      </w:r>
      <w:r w:rsidRPr="00487B15">
        <w:t xml:space="preserve"> demand-side EE savings</w:t>
      </w:r>
      <w:r>
        <w:t xml:space="preserve"> as they relate to the requirements of the CPP.</w:t>
      </w:r>
      <w:r w:rsidRPr="00487B15">
        <w:t xml:space="preserve"> </w:t>
      </w:r>
    </w:p>
    <w:p w14:paraId="63F32386" w14:textId="37F45D49" w:rsidR="007A6DD8" w:rsidRPr="002A195D" w:rsidRDefault="007A6DD8" w:rsidP="000E3CEB">
      <w:pPr>
        <w:pStyle w:val="BodyText"/>
        <w:widowControl/>
      </w:pPr>
      <w:r>
        <w:t xml:space="preserve">As </w:t>
      </w:r>
      <w:r w:rsidRPr="002A195D">
        <w:t xml:space="preserve">noted </w:t>
      </w:r>
      <w:r w:rsidRPr="00D94765">
        <w:t xml:space="preserve">in Section </w:t>
      </w:r>
      <w:r w:rsidR="000E3CEB" w:rsidRPr="00D94765">
        <w:t xml:space="preserve">1 </w:t>
      </w:r>
      <w:r w:rsidRPr="00D94765">
        <w:t>above, the</w:t>
      </w:r>
      <w:r w:rsidRPr="002A195D">
        <w:t xml:space="preserve"> development of these national, regional, and state-by-state protocols and guidelines is primarily an outgrowth of the utility-administered EE programs, as well as public- and private-sector ESCO projects, in place in most states throughout the country.</w:t>
      </w:r>
    </w:p>
    <w:p w14:paraId="01A6ADB1" w14:textId="77777777" w:rsidR="007A6DD8" w:rsidRPr="008D6F4E" w:rsidRDefault="007A6DD8" w:rsidP="007A6DD8">
      <w:pPr>
        <w:pStyle w:val="Caption"/>
        <w:spacing w:after="120" w:line="240" w:lineRule="auto"/>
      </w:pPr>
      <w:bookmarkStart w:id="397" w:name="_Ref422229204"/>
      <w:bookmarkStart w:id="398" w:name="_Toc426022027"/>
      <w:bookmarkStart w:id="399" w:name="_Toc415668659"/>
      <w:r>
        <w:lastRenderedPageBreak/>
        <w:t xml:space="preserve">Table </w:t>
      </w:r>
      <w:r w:rsidR="003D6E4F">
        <w:fldChar w:fldCharType="begin"/>
      </w:r>
      <w:r w:rsidR="003D6E4F">
        <w:instrText xml:space="preserve"> STYLEREF 1 \s </w:instrText>
      </w:r>
      <w:r w:rsidR="003D6E4F">
        <w:fldChar w:fldCharType="separate"/>
      </w:r>
      <w:r w:rsidR="00FC5CE3">
        <w:rPr>
          <w:noProof/>
        </w:rPr>
        <w:t>2</w:t>
      </w:r>
      <w:r w:rsidR="003D6E4F">
        <w:rPr>
          <w:noProof/>
        </w:rPr>
        <w:fldChar w:fldCharType="end"/>
      </w:r>
      <w:r w:rsidR="00FC5CE3">
        <w:noBreakHyphen/>
      </w:r>
      <w:r w:rsidR="003D6E4F">
        <w:fldChar w:fldCharType="begin"/>
      </w:r>
      <w:r w:rsidR="003D6E4F">
        <w:instrText xml:space="preserve"> SEQ Table \* ARABIC \s 1 </w:instrText>
      </w:r>
      <w:r w:rsidR="003D6E4F">
        <w:fldChar w:fldCharType="separate"/>
      </w:r>
      <w:r w:rsidR="00FC5CE3">
        <w:rPr>
          <w:noProof/>
        </w:rPr>
        <w:t>2</w:t>
      </w:r>
      <w:r w:rsidR="003D6E4F">
        <w:rPr>
          <w:noProof/>
        </w:rPr>
        <w:fldChar w:fldCharType="end"/>
      </w:r>
      <w:bookmarkEnd w:id="397"/>
      <w:r w:rsidRPr="008D6F4E">
        <w:t xml:space="preserve">: </w:t>
      </w:r>
      <w:r>
        <w:t xml:space="preserve">Examples of Industry-Standard </w:t>
      </w:r>
      <w:r w:rsidRPr="008D6F4E">
        <w:t>EE EM&amp;V Protocols</w:t>
      </w:r>
      <w:r>
        <w:t xml:space="preserve"> and Guidelines</w:t>
      </w:r>
      <w:r>
        <w:rPr>
          <w:rStyle w:val="FootnoteReference"/>
        </w:rPr>
        <w:footnoteReference w:id="43"/>
      </w:r>
      <w:bookmarkEnd w:id="398"/>
      <w:r w:rsidRPr="008D6F4E">
        <w:t xml:space="preserve"> </w:t>
      </w:r>
    </w:p>
    <w:tbl>
      <w:tblPr>
        <w:tblStyle w:val="LightShading-Accent3"/>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3028"/>
        <w:gridCol w:w="3240"/>
        <w:gridCol w:w="3267"/>
        <w:gridCol w:w="41"/>
      </w:tblGrid>
      <w:tr w:rsidR="007A6DD8" w:rsidRPr="00A956F5" w14:paraId="357D0D19" w14:textId="77777777" w:rsidTr="00A94C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28" w:type="dxa"/>
            <w:tcBorders>
              <w:top w:val="none" w:sz="0" w:space="0" w:color="auto"/>
              <w:left w:val="none" w:sz="0" w:space="0" w:color="auto"/>
              <w:bottom w:val="none" w:sz="0" w:space="0" w:color="auto"/>
              <w:right w:val="none" w:sz="0" w:space="0" w:color="auto"/>
            </w:tcBorders>
            <w:shd w:val="clear" w:color="auto" w:fill="5D97FF"/>
            <w:vAlign w:val="center"/>
          </w:tcPr>
          <w:p w14:paraId="726202E4" w14:textId="77777777" w:rsidR="007A6DD8" w:rsidRPr="009F278D" w:rsidRDefault="007A6DD8" w:rsidP="00065F33">
            <w:pPr>
              <w:spacing w:before="40" w:after="40"/>
              <w:jc w:val="center"/>
              <w:rPr>
                <w:rFonts w:asciiTheme="majorHAnsi" w:hAnsiTheme="majorHAnsi"/>
                <w:color w:val="FFFFFF" w:themeColor="background1"/>
                <w:sz w:val="20"/>
                <w:szCs w:val="20"/>
              </w:rPr>
            </w:pPr>
            <w:r w:rsidRPr="009F278D">
              <w:rPr>
                <w:rFonts w:asciiTheme="majorHAnsi" w:hAnsiTheme="majorHAnsi"/>
                <w:color w:val="FFFFFF" w:themeColor="background1"/>
                <w:sz w:val="20"/>
                <w:szCs w:val="20"/>
              </w:rPr>
              <w:t>Protocol/Guideline</w:t>
            </w:r>
          </w:p>
          <w:p w14:paraId="3515C962" w14:textId="77777777" w:rsidR="007A6DD8" w:rsidRPr="009F278D" w:rsidRDefault="007A6DD8" w:rsidP="00065F33">
            <w:pPr>
              <w:spacing w:before="40" w:after="40"/>
              <w:jc w:val="center"/>
              <w:rPr>
                <w:rFonts w:asciiTheme="majorHAnsi" w:hAnsiTheme="majorHAnsi"/>
                <w:color w:val="FFFFFF" w:themeColor="background1"/>
                <w:sz w:val="20"/>
                <w:szCs w:val="20"/>
              </w:rPr>
            </w:pPr>
            <w:r w:rsidRPr="009F278D">
              <w:rPr>
                <w:rFonts w:asciiTheme="majorHAnsi" w:hAnsiTheme="majorHAnsi"/>
                <w:i/>
                <w:color w:val="FFFFFF" w:themeColor="background1"/>
                <w:sz w:val="20"/>
                <w:szCs w:val="20"/>
              </w:rPr>
              <w:t>Sponsor</w:t>
            </w:r>
          </w:p>
        </w:tc>
        <w:tc>
          <w:tcPr>
            <w:tcW w:w="3240" w:type="dxa"/>
            <w:tcBorders>
              <w:top w:val="none" w:sz="0" w:space="0" w:color="auto"/>
              <w:left w:val="none" w:sz="0" w:space="0" w:color="auto"/>
              <w:bottom w:val="none" w:sz="0" w:space="0" w:color="auto"/>
              <w:right w:val="none" w:sz="0" w:space="0" w:color="auto"/>
            </w:tcBorders>
            <w:shd w:val="clear" w:color="auto" w:fill="5D97FF"/>
            <w:vAlign w:val="center"/>
          </w:tcPr>
          <w:p w14:paraId="1FDB90D7" w14:textId="77777777" w:rsidR="007A6DD8" w:rsidRPr="009F278D" w:rsidRDefault="007A6DD8" w:rsidP="00065F3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0"/>
                <w:szCs w:val="20"/>
              </w:rPr>
            </w:pPr>
            <w:r w:rsidRPr="009F278D">
              <w:rPr>
                <w:rFonts w:asciiTheme="majorHAnsi" w:hAnsiTheme="majorHAnsi"/>
                <w:color w:val="FFFFFF" w:themeColor="background1"/>
                <w:sz w:val="20"/>
                <w:szCs w:val="20"/>
              </w:rPr>
              <w:t>Website</w:t>
            </w:r>
          </w:p>
        </w:tc>
        <w:tc>
          <w:tcPr>
            <w:tcW w:w="3308" w:type="dxa"/>
            <w:gridSpan w:val="2"/>
            <w:tcBorders>
              <w:top w:val="none" w:sz="0" w:space="0" w:color="auto"/>
              <w:left w:val="none" w:sz="0" w:space="0" w:color="auto"/>
              <w:bottom w:val="none" w:sz="0" w:space="0" w:color="auto"/>
              <w:right w:val="none" w:sz="0" w:space="0" w:color="auto"/>
            </w:tcBorders>
            <w:shd w:val="clear" w:color="auto" w:fill="5D97FF"/>
            <w:vAlign w:val="center"/>
          </w:tcPr>
          <w:p w14:paraId="45505296" w14:textId="77777777" w:rsidR="007A6DD8" w:rsidRPr="009F278D" w:rsidRDefault="007A6DD8" w:rsidP="00065F33">
            <w:pPr>
              <w:spacing w:before="40" w:after="4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0"/>
                <w:szCs w:val="20"/>
              </w:rPr>
            </w:pPr>
            <w:r w:rsidRPr="009F278D">
              <w:rPr>
                <w:rFonts w:asciiTheme="majorHAnsi" w:hAnsiTheme="majorHAnsi"/>
                <w:color w:val="FFFFFF" w:themeColor="background1"/>
                <w:sz w:val="20"/>
                <w:szCs w:val="20"/>
              </w:rPr>
              <w:t>Summary</w:t>
            </w:r>
          </w:p>
        </w:tc>
      </w:tr>
      <w:tr w:rsidR="007A6DD8" w:rsidRPr="00A956F5" w14:paraId="6B6318F4" w14:textId="77777777" w:rsidTr="00A94CDE">
        <w:trPr>
          <w:gridAfter w:val="1"/>
          <w:cnfStyle w:val="000000100000" w:firstRow="0" w:lastRow="0" w:firstColumn="0" w:lastColumn="0" w:oddVBand="0" w:evenVBand="0" w:oddHBand="1" w:evenHBand="0" w:firstRowFirstColumn="0" w:firstRowLastColumn="0" w:lastRowFirstColumn="0" w:lastRowLastColumn="0"/>
          <w:wAfter w:w="41" w:type="dxa"/>
          <w:cantSplit/>
        </w:trPr>
        <w:tc>
          <w:tcPr>
            <w:cnfStyle w:val="001000000000" w:firstRow="0" w:lastRow="0" w:firstColumn="1" w:lastColumn="0" w:oddVBand="0" w:evenVBand="0" w:oddHBand="0" w:evenHBand="0" w:firstRowFirstColumn="0" w:firstRowLastColumn="0" w:lastRowFirstColumn="0" w:lastRowLastColumn="0"/>
            <w:tcW w:w="3028" w:type="dxa"/>
            <w:tcBorders>
              <w:left w:val="none" w:sz="0" w:space="0" w:color="auto"/>
              <w:right w:val="none" w:sz="0" w:space="0" w:color="auto"/>
            </w:tcBorders>
            <w:shd w:val="clear" w:color="auto" w:fill="D1E1FF"/>
          </w:tcPr>
          <w:p w14:paraId="196C524C" w14:textId="77777777" w:rsidR="007A6DD8" w:rsidRPr="00CB6FBA" w:rsidRDefault="007A6DD8" w:rsidP="00E76D88">
            <w:pPr>
              <w:rPr>
                <w:rFonts w:asciiTheme="majorHAnsi" w:hAnsiTheme="majorHAnsi"/>
                <w:b w:val="0"/>
                <w:color w:val="000000" w:themeColor="text1"/>
                <w:sz w:val="20"/>
                <w:szCs w:val="20"/>
              </w:rPr>
            </w:pPr>
            <w:r w:rsidRPr="000E7C86">
              <w:rPr>
                <w:rFonts w:asciiTheme="majorHAnsi" w:hAnsiTheme="majorHAnsi"/>
                <w:color w:val="000000" w:themeColor="text1"/>
                <w:sz w:val="20"/>
                <w:szCs w:val="20"/>
              </w:rPr>
              <w:t xml:space="preserve">Uniform Methods Project (UMP) </w:t>
            </w:r>
          </w:p>
          <w:p w14:paraId="6B9DFBC2" w14:textId="77777777" w:rsidR="007A6DD8" w:rsidRPr="00CB6FBA" w:rsidRDefault="007A6DD8" w:rsidP="00E76D88">
            <w:pPr>
              <w:rPr>
                <w:rFonts w:asciiTheme="majorHAnsi" w:hAnsiTheme="majorHAnsi"/>
                <w:color w:val="000000" w:themeColor="text1"/>
                <w:sz w:val="20"/>
                <w:szCs w:val="20"/>
              </w:rPr>
            </w:pPr>
            <w:r w:rsidRPr="00CB6FBA">
              <w:rPr>
                <w:rFonts w:asciiTheme="majorHAnsi" w:hAnsiTheme="majorHAnsi"/>
                <w:i/>
                <w:color w:val="000000" w:themeColor="text1"/>
                <w:sz w:val="20"/>
                <w:szCs w:val="20"/>
              </w:rPr>
              <w:t>U.S. Department of Energy (DOE</w:t>
            </w:r>
            <w:r w:rsidRPr="00CB6FBA">
              <w:rPr>
                <w:rFonts w:asciiTheme="majorHAnsi" w:hAnsiTheme="majorHAnsi"/>
                <w:color w:val="000000" w:themeColor="text1"/>
                <w:sz w:val="20"/>
                <w:szCs w:val="20"/>
              </w:rPr>
              <w:t>)</w:t>
            </w:r>
          </w:p>
        </w:tc>
        <w:tc>
          <w:tcPr>
            <w:tcW w:w="3240" w:type="dxa"/>
            <w:tcBorders>
              <w:left w:val="none" w:sz="0" w:space="0" w:color="auto"/>
              <w:right w:val="none" w:sz="0" w:space="0" w:color="auto"/>
            </w:tcBorders>
            <w:shd w:val="clear" w:color="auto" w:fill="D1E1FF"/>
          </w:tcPr>
          <w:p w14:paraId="26D02CA0" w14:textId="77777777" w:rsidR="007A6DD8" w:rsidRPr="00CB6FBA" w:rsidRDefault="00133485" w:rsidP="00E76D8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hyperlink r:id="rId15" w:history="1">
              <w:r w:rsidR="007A6DD8" w:rsidRPr="000F31D0">
                <w:rPr>
                  <w:rStyle w:val="Hyperlink"/>
                  <w:rFonts w:asciiTheme="majorHAnsi" w:hAnsiTheme="majorHAnsi"/>
                  <w:sz w:val="20"/>
                  <w:szCs w:val="20"/>
                </w:rPr>
                <w:t>http://www.energy.gov/eere/about-us/ump-protocols</w:t>
              </w:r>
            </w:hyperlink>
            <w:r w:rsidR="007A6DD8" w:rsidRPr="00CB6FBA">
              <w:rPr>
                <w:rFonts w:asciiTheme="majorHAnsi" w:hAnsiTheme="majorHAnsi"/>
                <w:sz w:val="20"/>
                <w:szCs w:val="20"/>
              </w:rPr>
              <w:t xml:space="preserve"> </w:t>
            </w:r>
          </w:p>
        </w:tc>
        <w:tc>
          <w:tcPr>
            <w:tcW w:w="3267" w:type="dxa"/>
            <w:tcBorders>
              <w:left w:val="none" w:sz="0" w:space="0" w:color="auto"/>
              <w:right w:val="none" w:sz="0" w:space="0" w:color="auto"/>
            </w:tcBorders>
            <w:shd w:val="clear" w:color="auto" w:fill="D1E1FF"/>
          </w:tcPr>
          <w:p w14:paraId="1B4CC660" w14:textId="40F3788A" w:rsidR="007A6DD8" w:rsidRPr="00703A52" w:rsidRDefault="007A6DD8" w:rsidP="006F4D93">
            <w:pPr>
              <w:cnfStyle w:val="000000100000" w:firstRow="0" w:lastRow="0" w:firstColumn="0" w:lastColumn="0" w:oddVBand="0" w:evenVBand="0" w:oddHBand="1" w:evenHBand="0" w:firstRowFirstColumn="0" w:firstRowLastColumn="0" w:lastRowFirstColumn="0" w:lastRowLastColumn="0"/>
              <w:rPr>
                <w:color w:val="auto"/>
                <w:sz w:val="20"/>
                <w:szCs w:val="20"/>
              </w:rPr>
            </w:pPr>
            <w:r w:rsidRPr="00703A52">
              <w:rPr>
                <w:color w:val="auto"/>
                <w:sz w:val="20"/>
                <w:szCs w:val="20"/>
              </w:rPr>
              <w:t>Provides protocols for</w:t>
            </w:r>
            <w:r w:rsidR="006F4D93">
              <w:rPr>
                <w:color w:val="auto"/>
                <w:sz w:val="20"/>
                <w:szCs w:val="20"/>
              </w:rPr>
              <w:t xml:space="preserve"> PB-MV</w:t>
            </w:r>
            <w:r w:rsidRPr="00703A52">
              <w:rPr>
                <w:color w:val="auto"/>
                <w:sz w:val="20"/>
                <w:szCs w:val="20"/>
              </w:rPr>
              <w:t xml:space="preserve"> for many common EE measures and technologies based on accepted methods for a core set of widely deployed EE measures (version as of August 2015). </w:t>
            </w:r>
          </w:p>
        </w:tc>
      </w:tr>
      <w:tr w:rsidR="007A6DD8" w:rsidRPr="00A956F5" w14:paraId="178B43CD" w14:textId="77777777" w:rsidTr="00A94CDE">
        <w:trPr>
          <w:gridAfter w:val="1"/>
          <w:wAfter w:w="41" w:type="dxa"/>
          <w:cantSplit/>
        </w:trPr>
        <w:tc>
          <w:tcPr>
            <w:cnfStyle w:val="001000000000" w:firstRow="0" w:lastRow="0" w:firstColumn="1" w:lastColumn="0" w:oddVBand="0" w:evenVBand="0" w:oddHBand="0" w:evenHBand="0" w:firstRowFirstColumn="0" w:firstRowLastColumn="0" w:lastRowFirstColumn="0" w:lastRowLastColumn="0"/>
            <w:tcW w:w="3028" w:type="dxa"/>
          </w:tcPr>
          <w:p w14:paraId="53C13ECD" w14:textId="77777777" w:rsidR="007A6DD8" w:rsidRPr="00CB6FBA" w:rsidRDefault="007A6DD8" w:rsidP="00E76D88">
            <w:pPr>
              <w:rPr>
                <w:rFonts w:asciiTheme="majorHAnsi" w:hAnsiTheme="majorHAnsi"/>
                <w:b w:val="0"/>
                <w:color w:val="000000" w:themeColor="text1"/>
                <w:sz w:val="20"/>
                <w:szCs w:val="20"/>
              </w:rPr>
            </w:pPr>
            <w:r w:rsidRPr="00CB6FBA">
              <w:rPr>
                <w:rFonts w:asciiTheme="majorHAnsi" w:hAnsiTheme="majorHAnsi"/>
                <w:iCs/>
                <w:color w:val="000000" w:themeColor="text1"/>
                <w:sz w:val="20"/>
                <w:szCs w:val="20"/>
              </w:rPr>
              <w:t>Energy Efficiency Program Impact Evaluation Guide</w:t>
            </w:r>
            <w:r w:rsidRPr="00CB6FBA">
              <w:rPr>
                <w:rFonts w:asciiTheme="majorHAnsi" w:hAnsiTheme="majorHAnsi"/>
                <w:color w:val="000000" w:themeColor="text1"/>
                <w:sz w:val="20"/>
                <w:szCs w:val="20"/>
              </w:rPr>
              <w:t xml:space="preserve"> </w:t>
            </w:r>
          </w:p>
          <w:p w14:paraId="3793298C" w14:textId="77777777" w:rsidR="007A6DD8" w:rsidRPr="00CB6FBA" w:rsidRDefault="007A6DD8" w:rsidP="00E76D88">
            <w:pPr>
              <w:rPr>
                <w:rFonts w:asciiTheme="majorHAnsi" w:hAnsiTheme="majorHAnsi"/>
                <w:i/>
                <w:color w:val="000000" w:themeColor="text1"/>
                <w:sz w:val="20"/>
                <w:szCs w:val="20"/>
              </w:rPr>
            </w:pPr>
            <w:r w:rsidRPr="00CB6FBA">
              <w:rPr>
                <w:rFonts w:asciiTheme="majorHAnsi" w:hAnsiTheme="majorHAnsi"/>
                <w:i/>
                <w:color w:val="000000" w:themeColor="text1"/>
                <w:sz w:val="20"/>
                <w:szCs w:val="20"/>
              </w:rPr>
              <w:t>SEE Action - U.S.DOE and U.S. Environmental Protection Agency (EPA)</w:t>
            </w:r>
          </w:p>
        </w:tc>
        <w:tc>
          <w:tcPr>
            <w:tcW w:w="3240" w:type="dxa"/>
          </w:tcPr>
          <w:p w14:paraId="23ADA8FE" w14:textId="77777777" w:rsidR="007A6DD8" w:rsidRPr="00922093" w:rsidRDefault="007A6DD8" w:rsidP="00E76D88">
            <w:pPr>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Hyperlink"/>
                <w:sz w:val="20"/>
                <w:szCs w:val="20"/>
              </w:rPr>
            </w:pPr>
            <w:r w:rsidRPr="00922093">
              <w:rPr>
                <w:rStyle w:val="Hyperlink"/>
                <w:sz w:val="20"/>
                <w:szCs w:val="20"/>
              </w:rPr>
              <w:t>http://</w:t>
            </w:r>
            <w:hyperlink r:id="rId16" w:history="1">
              <w:r w:rsidRPr="00922093">
                <w:rPr>
                  <w:rStyle w:val="Hyperlink"/>
                  <w:sz w:val="20"/>
                  <w:szCs w:val="20"/>
                </w:rPr>
                <w:t>www.epa.gov/eeactionplan</w:t>
              </w:r>
            </w:hyperlink>
            <w:r w:rsidRPr="00922093">
              <w:rPr>
                <w:rStyle w:val="Hyperlink"/>
                <w:sz w:val="20"/>
                <w:szCs w:val="20"/>
              </w:rPr>
              <w:t xml:space="preserve"> </w:t>
            </w:r>
          </w:p>
        </w:tc>
        <w:tc>
          <w:tcPr>
            <w:tcW w:w="3267" w:type="dxa"/>
          </w:tcPr>
          <w:p w14:paraId="5838D68A" w14:textId="77777777" w:rsidR="007A6DD8" w:rsidRPr="00703A52" w:rsidRDefault="007A6DD8" w:rsidP="00E76D8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703A52">
              <w:rPr>
                <w:color w:val="auto"/>
                <w:sz w:val="20"/>
                <w:szCs w:val="20"/>
              </w:rPr>
              <w:t>Describes common terminology, structures, and approaches used</w:t>
            </w:r>
            <w:r w:rsidRPr="00703A52">
              <w:rPr>
                <w:rFonts w:hint="eastAsia"/>
                <w:color w:val="auto"/>
                <w:sz w:val="20"/>
                <w:szCs w:val="20"/>
              </w:rPr>
              <w:t> </w:t>
            </w:r>
            <w:r w:rsidRPr="00703A52">
              <w:rPr>
                <w:color w:val="auto"/>
                <w:sz w:val="20"/>
                <w:szCs w:val="20"/>
              </w:rPr>
              <w:t>for determining energy savings and avoided emissions and other non-energy benefits resulting from facility (non-transportation) EE programs. It provides context, planning guidance, and discussion of issues that determine the most appropriate evaluation objectives and best practices approaches for different efficiency portfolios.</w:t>
            </w:r>
          </w:p>
        </w:tc>
      </w:tr>
      <w:tr w:rsidR="007A6DD8" w:rsidRPr="00A956F5" w14:paraId="764A6914" w14:textId="77777777" w:rsidTr="00A94CDE">
        <w:trPr>
          <w:gridAfter w:val="1"/>
          <w:cnfStyle w:val="000000100000" w:firstRow="0" w:lastRow="0" w:firstColumn="0" w:lastColumn="0" w:oddVBand="0" w:evenVBand="0" w:oddHBand="1" w:evenHBand="0" w:firstRowFirstColumn="0" w:firstRowLastColumn="0" w:lastRowFirstColumn="0" w:lastRowLastColumn="0"/>
          <w:wAfter w:w="41" w:type="dxa"/>
          <w:cantSplit/>
        </w:trPr>
        <w:tc>
          <w:tcPr>
            <w:cnfStyle w:val="001000000000" w:firstRow="0" w:lastRow="0" w:firstColumn="1" w:lastColumn="0" w:oddVBand="0" w:evenVBand="0" w:oddHBand="0" w:evenHBand="0" w:firstRowFirstColumn="0" w:firstRowLastColumn="0" w:lastRowFirstColumn="0" w:lastRowLastColumn="0"/>
            <w:tcW w:w="3028" w:type="dxa"/>
            <w:tcBorders>
              <w:left w:val="none" w:sz="0" w:space="0" w:color="auto"/>
              <w:right w:val="none" w:sz="0" w:space="0" w:color="auto"/>
            </w:tcBorders>
            <w:shd w:val="clear" w:color="auto" w:fill="D1E1FF"/>
          </w:tcPr>
          <w:p w14:paraId="54B4D6E1" w14:textId="77777777" w:rsidR="007A6DD8" w:rsidRPr="00703A52" w:rsidRDefault="007A6DD8" w:rsidP="00E76D88">
            <w:pPr>
              <w:rPr>
                <w:b w:val="0"/>
                <w:color w:val="auto"/>
                <w:sz w:val="20"/>
                <w:szCs w:val="20"/>
              </w:rPr>
            </w:pPr>
            <w:r w:rsidRPr="00703A52">
              <w:rPr>
                <w:color w:val="auto"/>
                <w:sz w:val="20"/>
                <w:szCs w:val="20"/>
              </w:rPr>
              <w:t xml:space="preserve">Roadmap for Incorporating Energy Efficiency/Renewable Energy Policies and Programs into State and Tribal Implementation Plans </w:t>
            </w:r>
          </w:p>
          <w:p w14:paraId="38A4538D" w14:textId="77777777" w:rsidR="007A6DD8" w:rsidRPr="00703A52" w:rsidRDefault="007A6DD8" w:rsidP="00E76D88">
            <w:pPr>
              <w:rPr>
                <w:i/>
                <w:sz w:val="20"/>
                <w:szCs w:val="20"/>
              </w:rPr>
            </w:pPr>
            <w:r w:rsidRPr="00703A52">
              <w:rPr>
                <w:i/>
                <w:color w:val="auto"/>
                <w:sz w:val="20"/>
                <w:szCs w:val="20"/>
              </w:rPr>
              <w:t>U.S. EPA</w:t>
            </w:r>
          </w:p>
        </w:tc>
        <w:tc>
          <w:tcPr>
            <w:tcW w:w="3240" w:type="dxa"/>
            <w:tcBorders>
              <w:left w:val="none" w:sz="0" w:space="0" w:color="auto"/>
              <w:right w:val="none" w:sz="0" w:space="0" w:color="auto"/>
            </w:tcBorders>
            <w:shd w:val="clear" w:color="auto" w:fill="D1E1FF"/>
          </w:tcPr>
          <w:p w14:paraId="13260B96" w14:textId="77777777" w:rsidR="007A6DD8" w:rsidRPr="00CB6FBA" w:rsidRDefault="00133485" w:rsidP="00E76D88">
            <w:pPr>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hyperlink r:id="rId17" w:history="1">
              <w:r w:rsidR="007A6DD8" w:rsidRPr="00CB6FBA">
                <w:rPr>
                  <w:rStyle w:val="Hyperlink"/>
                  <w:rFonts w:asciiTheme="majorHAnsi" w:hAnsiTheme="majorHAnsi" w:cs="Calibri"/>
                  <w:sz w:val="20"/>
                  <w:szCs w:val="20"/>
                </w:rPr>
                <w:t>http://www.epa.gov/airquality/eere/pdfs/EEREmanual.pdf</w:t>
              </w:r>
            </w:hyperlink>
          </w:p>
          <w:p w14:paraId="35973848" w14:textId="77777777" w:rsidR="007A6DD8" w:rsidRPr="00CB6FBA" w:rsidRDefault="007A6DD8" w:rsidP="00E76D88">
            <w:pPr>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sz w:val="20"/>
                <w:szCs w:val="20"/>
              </w:rPr>
            </w:pPr>
          </w:p>
        </w:tc>
        <w:tc>
          <w:tcPr>
            <w:tcW w:w="3267" w:type="dxa"/>
            <w:tcBorders>
              <w:left w:val="none" w:sz="0" w:space="0" w:color="auto"/>
              <w:right w:val="none" w:sz="0" w:space="0" w:color="auto"/>
            </w:tcBorders>
            <w:shd w:val="clear" w:color="auto" w:fill="D1E1FF"/>
          </w:tcPr>
          <w:p w14:paraId="0557043E" w14:textId="77777777" w:rsidR="007A6DD8" w:rsidRPr="00703A52" w:rsidRDefault="007A6DD8" w:rsidP="00E76D8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703A52">
              <w:rPr>
                <w:color w:val="auto"/>
                <w:sz w:val="20"/>
                <w:szCs w:val="20"/>
              </w:rPr>
              <w:t>Provides guidance for incorporating EE and renewable energy policies and programs into State and tribal implementation plans.</w:t>
            </w:r>
          </w:p>
        </w:tc>
      </w:tr>
      <w:tr w:rsidR="007A6DD8" w:rsidRPr="00A956F5" w14:paraId="1C408305" w14:textId="77777777" w:rsidTr="00A94CDE">
        <w:trPr>
          <w:gridAfter w:val="1"/>
          <w:wAfter w:w="41" w:type="dxa"/>
          <w:cantSplit/>
        </w:trPr>
        <w:tc>
          <w:tcPr>
            <w:cnfStyle w:val="001000000000" w:firstRow="0" w:lastRow="0" w:firstColumn="1" w:lastColumn="0" w:oddVBand="0" w:evenVBand="0" w:oddHBand="0" w:evenHBand="0" w:firstRowFirstColumn="0" w:firstRowLastColumn="0" w:lastRowFirstColumn="0" w:lastRowLastColumn="0"/>
            <w:tcW w:w="3028" w:type="dxa"/>
          </w:tcPr>
          <w:p w14:paraId="1FAE2B10" w14:textId="77777777" w:rsidR="007A6DD8" w:rsidRPr="00CB6FBA" w:rsidRDefault="007A6DD8" w:rsidP="00E76D88">
            <w:pPr>
              <w:rPr>
                <w:rFonts w:asciiTheme="majorHAnsi" w:hAnsiTheme="majorHAnsi"/>
                <w:b w:val="0"/>
                <w:color w:val="000000" w:themeColor="text1"/>
                <w:sz w:val="20"/>
                <w:szCs w:val="20"/>
              </w:rPr>
            </w:pPr>
            <w:r w:rsidRPr="00CB6FBA">
              <w:rPr>
                <w:rFonts w:asciiTheme="majorHAnsi" w:hAnsiTheme="majorHAnsi"/>
                <w:color w:val="000000" w:themeColor="text1"/>
                <w:sz w:val="20"/>
                <w:szCs w:val="20"/>
              </w:rPr>
              <w:t xml:space="preserve">NEEP Regional-Common EM&amp;V Methods and Savings Assumptions Guidelines </w:t>
            </w:r>
          </w:p>
          <w:p w14:paraId="77B6D5F5" w14:textId="77777777" w:rsidR="007A6DD8" w:rsidRPr="00CB6FBA" w:rsidRDefault="007A6DD8" w:rsidP="00E76D88">
            <w:pPr>
              <w:rPr>
                <w:rFonts w:asciiTheme="majorHAnsi" w:hAnsiTheme="majorHAnsi"/>
                <w:i/>
                <w:color w:val="000000" w:themeColor="text1"/>
                <w:sz w:val="20"/>
                <w:szCs w:val="20"/>
              </w:rPr>
            </w:pPr>
            <w:r w:rsidRPr="00CB6FBA">
              <w:rPr>
                <w:rFonts w:asciiTheme="majorHAnsi" w:hAnsiTheme="majorHAnsi"/>
                <w:i/>
                <w:color w:val="000000" w:themeColor="text1"/>
                <w:sz w:val="20"/>
                <w:szCs w:val="20"/>
              </w:rPr>
              <w:t>Northeast Energy Efficiency Partnership</w:t>
            </w:r>
          </w:p>
        </w:tc>
        <w:tc>
          <w:tcPr>
            <w:tcW w:w="3240" w:type="dxa"/>
          </w:tcPr>
          <w:p w14:paraId="3C3B0D58" w14:textId="77777777" w:rsidR="007A6DD8" w:rsidRPr="00CB6FBA" w:rsidRDefault="00133485" w:rsidP="00E76D8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hyperlink r:id="rId18" w:history="1">
              <w:r w:rsidR="007A6DD8" w:rsidRPr="00CB6FBA">
                <w:rPr>
                  <w:rStyle w:val="Hyperlink"/>
                  <w:rFonts w:asciiTheme="majorHAnsi" w:hAnsiTheme="majorHAnsi"/>
                  <w:sz w:val="20"/>
                  <w:szCs w:val="20"/>
                </w:rPr>
                <w:t>http://www.neep.org/regional-emv-methods-and-savings-assumptions-guidelines-2010</w:t>
              </w:r>
            </w:hyperlink>
          </w:p>
          <w:p w14:paraId="407BADD4" w14:textId="77777777" w:rsidR="007A6DD8" w:rsidRPr="00CB6FBA" w:rsidRDefault="007A6DD8" w:rsidP="00E76D8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3267" w:type="dxa"/>
          </w:tcPr>
          <w:p w14:paraId="63C87515" w14:textId="77777777" w:rsidR="007A6DD8" w:rsidRPr="00703A52" w:rsidRDefault="007A6DD8" w:rsidP="00E76D8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703A52">
              <w:rPr>
                <w:color w:val="auto"/>
                <w:sz w:val="20"/>
                <w:szCs w:val="20"/>
              </w:rPr>
              <w:t>Provides methods for determining gross energy and demand savings and savings assumptions for a priority set of EE program/project types or measures.</w:t>
            </w:r>
          </w:p>
        </w:tc>
      </w:tr>
      <w:tr w:rsidR="007A6DD8" w:rsidRPr="00A956F5" w14:paraId="7F2D534E" w14:textId="77777777" w:rsidTr="00A94CDE">
        <w:trPr>
          <w:gridAfter w:val="1"/>
          <w:cnfStyle w:val="000000100000" w:firstRow="0" w:lastRow="0" w:firstColumn="0" w:lastColumn="0" w:oddVBand="0" w:evenVBand="0" w:oddHBand="1" w:evenHBand="0" w:firstRowFirstColumn="0" w:firstRowLastColumn="0" w:lastRowFirstColumn="0" w:lastRowLastColumn="0"/>
          <w:wAfter w:w="41" w:type="dxa"/>
          <w:cantSplit/>
        </w:trPr>
        <w:tc>
          <w:tcPr>
            <w:cnfStyle w:val="001000000000" w:firstRow="0" w:lastRow="0" w:firstColumn="1" w:lastColumn="0" w:oddVBand="0" w:evenVBand="0" w:oddHBand="0" w:evenHBand="0" w:firstRowFirstColumn="0" w:firstRowLastColumn="0" w:lastRowFirstColumn="0" w:lastRowLastColumn="0"/>
            <w:tcW w:w="3028" w:type="dxa"/>
            <w:tcBorders>
              <w:left w:val="none" w:sz="0" w:space="0" w:color="auto"/>
              <w:right w:val="none" w:sz="0" w:space="0" w:color="auto"/>
            </w:tcBorders>
            <w:shd w:val="clear" w:color="auto" w:fill="D1E1FF"/>
          </w:tcPr>
          <w:p w14:paraId="71EF08DE" w14:textId="77777777" w:rsidR="007A6DD8" w:rsidRPr="00CB6FBA" w:rsidRDefault="007A6DD8" w:rsidP="00E76D88">
            <w:pPr>
              <w:rPr>
                <w:rFonts w:asciiTheme="majorHAnsi" w:hAnsiTheme="majorHAnsi" w:cs="Calibri"/>
                <w:b w:val="0"/>
                <w:i/>
                <w:iCs/>
                <w:color w:val="000000" w:themeColor="text1"/>
                <w:sz w:val="20"/>
                <w:szCs w:val="20"/>
              </w:rPr>
            </w:pPr>
            <w:r w:rsidRPr="00CB6FBA">
              <w:rPr>
                <w:rFonts w:asciiTheme="majorHAnsi" w:hAnsiTheme="majorHAnsi" w:cs="Calibri"/>
                <w:i/>
                <w:iCs/>
                <w:color w:val="000000" w:themeColor="text1"/>
                <w:sz w:val="20"/>
                <w:szCs w:val="20"/>
              </w:rPr>
              <w:t>California Energy Efficiency Evaluation Protocols: Technical, Methodological, and Reporting Requirements for Evaluation Professionals</w:t>
            </w:r>
          </w:p>
          <w:p w14:paraId="7A34135F" w14:textId="77777777" w:rsidR="007A6DD8" w:rsidRPr="00CB6FBA" w:rsidRDefault="007A6DD8" w:rsidP="00E76D88">
            <w:pPr>
              <w:rPr>
                <w:rFonts w:asciiTheme="majorHAnsi" w:hAnsiTheme="majorHAnsi" w:cs="Calibri"/>
                <w:i/>
                <w:iCs/>
                <w:color w:val="000000" w:themeColor="text1"/>
                <w:sz w:val="20"/>
                <w:szCs w:val="20"/>
              </w:rPr>
            </w:pPr>
            <w:r w:rsidRPr="00CB6FBA">
              <w:rPr>
                <w:rFonts w:asciiTheme="majorHAnsi" w:hAnsiTheme="majorHAnsi"/>
                <w:i/>
                <w:color w:val="000000" w:themeColor="text1"/>
                <w:sz w:val="20"/>
                <w:szCs w:val="20"/>
              </w:rPr>
              <w:t>California Public Utility Commission</w:t>
            </w:r>
          </w:p>
        </w:tc>
        <w:tc>
          <w:tcPr>
            <w:tcW w:w="3240" w:type="dxa"/>
            <w:tcBorders>
              <w:left w:val="none" w:sz="0" w:space="0" w:color="auto"/>
              <w:right w:val="none" w:sz="0" w:space="0" w:color="auto"/>
            </w:tcBorders>
            <w:shd w:val="clear" w:color="auto" w:fill="D1E1FF"/>
          </w:tcPr>
          <w:p w14:paraId="3AD824EA" w14:textId="77777777" w:rsidR="007A6DD8" w:rsidRPr="00922093" w:rsidRDefault="00133485" w:rsidP="00E76D88">
            <w:pPr>
              <w:cnfStyle w:val="000000100000" w:firstRow="0" w:lastRow="0" w:firstColumn="0" w:lastColumn="0" w:oddVBand="0" w:evenVBand="0" w:oddHBand="1" w:evenHBand="0" w:firstRowFirstColumn="0" w:firstRowLastColumn="0" w:lastRowFirstColumn="0" w:lastRowLastColumn="0"/>
              <w:rPr>
                <w:rFonts w:asciiTheme="majorHAnsi" w:hAnsiTheme="majorHAnsi" w:cs="Calibri"/>
                <w:iCs/>
                <w:sz w:val="20"/>
                <w:szCs w:val="20"/>
              </w:rPr>
            </w:pPr>
            <w:hyperlink r:id="rId19" w:history="1">
              <w:r w:rsidR="007A6DD8" w:rsidRPr="00922093">
                <w:rPr>
                  <w:rStyle w:val="Hyperlink"/>
                  <w:rFonts w:asciiTheme="majorHAnsi" w:hAnsiTheme="majorHAnsi" w:cs="Calibri"/>
                  <w:iCs/>
                  <w:sz w:val="20"/>
                  <w:szCs w:val="20"/>
                </w:rPr>
                <w:t>http://www.calmac.org/publications/EvaluatorsProtocols%5FFinal%5FAdoptedviaRuling%5F06%2D19%2D2006%2Epdf</w:t>
              </w:r>
            </w:hyperlink>
            <w:r w:rsidR="007A6DD8" w:rsidRPr="00922093">
              <w:rPr>
                <w:rFonts w:asciiTheme="majorHAnsi" w:hAnsiTheme="majorHAnsi" w:cs="Calibri"/>
                <w:iCs/>
                <w:sz w:val="20"/>
                <w:szCs w:val="20"/>
              </w:rPr>
              <w:t xml:space="preserve"> </w:t>
            </w:r>
          </w:p>
          <w:p w14:paraId="110CF329" w14:textId="77777777" w:rsidR="007A6DD8" w:rsidRPr="00CB6FBA" w:rsidRDefault="007A6DD8" w:rsidP="00E76D8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267" w:type="dxa"/>
            <w:tcBorders>
              <w:left w:val="none" w:sz="0" w:space="0" w:color="auto"/>
              <w:right w:val="none" w:sz="0" w:space="0" w:color="auto"/>
            </w:tcBorders>
            <w:shd w:val="clear" w:color="auto" w:fill="D1E1FF"/>
          </w:tcPr>
          <w:p w14:paraId="38D930AE" w14:textId="77777777" w:rsidR="007A6DD8" w:rsidRPr="00703A52" w:rsidRDefault="007A6DD8" w:rsidP="00E76D8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703A52">
              <w:rPr>
                <w:color w:val="auto"/>
                <w:sz w:val="20"/>
                <w:szCs w:val="20"/>
              </w:rPr>
              <w:t>Guides the efforts associated with evaluating California’s EE programs and program portfolios.</w:t>
            </w:r>
          </w:p>
        </w:tc>
      </w:tr>
      <w:tr w:rsidR="007A6DD8" w:rsidRPr="00A956F5" w14:paraId="3298AC34" w14:textId="77777777" w:rsidTr="00A94CDE">
        <w:trPr>
          <w:gridAfter w:val="1"/>
          <w:wAfter w:w="41" w:type="dxa"/>
          <w:cantSplit/>
        </w:trPr>
        <w:tc>
          <w:tcPr>
            <w:cnfStyle w:val="001000000000" w:firstRow="0" w:lastRow="0" w:firstColumn="1" w:lastColumn="0" w:oddVBand="0" w:evenVBand="0" w:oddHBand="0" w:evenHBand="0" w:firstRowFirstColumn="0" w:firstRowLastColumn="0" w:lastRowFirstColumn="0" w:lastRowLastColumn="0"/>
            <w:tcW w:w="3028" w:type="dxa"/>
          </w:tcPr>
          <w:p w14:paraId="08E1DE36" w14:textId="77777777" w:rsidR="007A6DD8" w:rsidRPr="00CB6FBA" w:rsidRDefault="007A6DD8" w:rsidP="00E76D88">
            <w:pPr>
              <w:rPr>
                <w:rFonts w:asciiTheme="majorHAnsi" w:hAnsiTheme="majorHAnsi"/>
                <w:b w:val="0"/>
                <w:color w:val="000000" w:themeColor="text1"/>
                <w:sz w:val="20"/>
                <w:szCs w:val="20"/>
              </w:rPr>
            </w:pPr>
            <w:r w:rsidRPr="00CB6FBA">
              <w:rPr>
                <w:rFonts w:asciiTheme="majorHAnsi" w:hAnsiTheme="majorHAnsi"/>
                <w:color w:val="000000" w:themeColor="text1"/>
                <w:sz w:val="20"/>
                <w:szCs w:val="20"/>
              </w:rPr>
              <w:t>California Evaluation Framework (2004)</w:t>
            </w:r>
          </w:p>
          <w:p w14:paraId="5C166F4B" w14:textId="77777777" w:rsidR="007A6DD8" w:rsidRPr="00CB6FBA" w:rsidRDefault="007A6DD8" w:rsidP="00E76D88">
            <w:pPr>
              <w:rPr>
                <w:rFonts w:asciiTheme="majorHAnsi" w:hAnsiTheme="majorHAnsi"/>
                <w:i/>
                <w:color w:val="000000" w:themeColor="text1"/>
                <w:sz w:val="20"/>
                <w:szCs w:val="20"/>
              </w:rPr>
            </w:pPr>
            <w:r w:rsidRPr="00CB6FBA">
              <w:rPr>
                <w:rFonts w:asciiTheme="majorHAnsi" w:hAnsiTheme="majorHAnsi"/>
                <w:i/>
                <w:color w:val="000000" w:themeColor="text1"/>
                <w:sz w:val="20"/>
                <w:szCs w:val="20"/>
              </w:rPr>
              <w:t>California Public Utility Commission</w:t>
            </w:r>
          </w:p>
        </w:tc>
        <w:tc>
          <w:tcPr>
            <w:tcW w:w="3240" w:type="dxa"/>
          </w:tcPr>
          <w:p w14:paraId="63B87A7E" w14:textId="77777777" w:rsidR="007A6DD8" w:rsidRPr="00CB6FBA" w:rsidRDefault="00133485" w:rsidP="00E76D8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hyperlink r:id="rId20" w:history="1">
              <w:r w:rsidR="007A6DD8" w:rsidRPr="00CB6FBA">
                <w:rPr>
                  <w:rStyle w:val="Hyperlink"/>
                  <w:rFonts w:asciiTheme="majorHAnsi" w:hAnsiTheme="majorHAnsi" w:cs="Calibri"/>
                  <w:sz w:val="20"/>
                  <w:szCs w:val="20"/>
                </w:rPr>
                <w:t>http://www.calmac.org/publications/California%5FEvaluation%5FFramework%5FJune%5F2004%2Epdf</w:t>
              </w:r>
            </w:hyperlink>
            <w:r w:rsidR="007A6DD8" w:rsidRPr="00CB6FBA">
              <w:rPr>
                <w:rFonts w:asciiTheme="majorHAnsi" w:hAnsiTheme="majorHAnsi" w:cs="Calibri"/>
                <w:sz w:val="20"/>
                <w:szCs w:val="20"/>
              </w:rPr>
              <w:t xml:space="preserve"> </w:t>
            </w:r>
          </w:p>
        </w:tc>
        <w:tc>
          <w:tcPr>
            <w:tcW w:w="3267" w:type="dxa"/>
          </w:tcPr>
          <w:p w14:paraId="37402358" w14:textId="77777777" w:rsidR="007A6DD8" w:rsidRPr="00703A52" w:rsidRDefault="007A6DD8" w:rsidP="00E76D8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703A52">
              <w:rPr>
                <w:color w:val="auto"/>
                <w:sz w:val="20"/>
                <w:szCs w:val="20"/>
              </w:rPr>
              <w:t>Provides a consistent, system</w:t>
            </w:r>
            <w:r w:rsidR="0000190D" w:rsidRPr="00703A52">
              <w:rPr>
                <w:color w:val="auto"/>
                <w:sz w:val="20"/>
                <w:szCs w:val="20"/>
              </w:rPr>
              <w:t>at</w:t>
            </w:r>
            <w:r w:rsidRPr="00703A52">
              <w:rPr>
                <w:color w:val="auto"/>
                <w:sz w:val="20"/>
                <w:szCs w:val="20"/>
              </w:rPr>
              <w:t>ized, cyclic approach for planning and conducting evaluations of California’s EE programs.</w:t>
            </w:r>
          </w:p>
        </w:tc>
      </w:tr>
      <w:tr w:rsidR="007A6DD8" w:rsidRPr="00A956F5" w14:paraId="3836995F" w14:textId="77777777" w:rsidTr="00A94CDE">
        <w:trPr>
          <w:gridAfter w:val="1"/>
          <w:cnfStyle w:val="000000100000" w:firstRow="0" w:lastRow="0" w:firstColumn="0" w:lastColumn="0" w:oddVBand="0" w:evenVBand="0" w:oddHBand="1" w:evenHBand="0" w:firstRowFirstColumn="0" w:firstRowLastColumn="0" w:lastRowFirstColumn="0" w:lastRowLastColumn="0"/>
          <w:wAfter w:w="41" w:type="dxa"/>
          <w:cantSplit/>
        </w:trPr>
        <w:tc>
          <w:tcPr>
            <w:cnfStyle w:val="001000000000" w:firstRow="0" w:lastRow="0" w:firstColumn="1" w:lastColumn="0" w:oddVBand="0" w:evenVBand="0" w:oddHBand="0" w:evenHBand="0" w:firstRowFirstColumn="0" w:firstRowLastColumn="0" w:lastRowFirstColumn="0" w:lastRowLastColumn="0"/>
            <w:tcW w:w="3028" w:type="dxa"/>
            <w:tcBorders>
              <w:left w:val="none" w:sz="0" w:space="0" w:color="auto"/>
              <w:right w:val="none" w:sz="0" w:space="0" w:color="auto"/>
            </w:tcBorders>
            <w:shd w:val="clear" w:color="auto" w:fill="D1E1FF"/>
          </w:tcPr>
          <w:p w14:paraId="26131A70" w14:textId="77777777" w:rsidR="007A6DD8" w:rsidRPr="00CB6FBA" w:rsidRDefault="007A6DD8" w:rsidP="00E76D88">
            <w:pPr>
              <w:rPr>
                <w:rFonts w:asciiTheme="majorHAnsi" w:hAnsiTheme="majorHAnsi"/>
                <w:b w:val="0"/>
                <w:color w:val="000000" w:themeColor="text1"/>
                <w:sz w:val="20"/>
                <w:szCs w:val="20"/>
              </w:rPr>
            </w:pPr>
            <w:r w:rsidRPr="00CB6FBA">
              <w:rPr>
                <w:rFonts w:asciiTheme="majorHAnsi" w:hAnsiTheme="majorHAnsi"/>
                <w:color w:val="000000" w:themeColor="text1"/>
                <w:sz w:val="20"/>
                <w:szCs w:val="20"/>
              </w:rPr>
              <w:lastRenderedPageBreak/>
              <w:t xml:space="preserve">International Performance Measurement and Verification Protocol (IPMVP) </w:t>
            </w:r>
          </w:p>
          <w:p w14:paraId="45EA0278" w14:textId="77777777" w:rsidR="007A6DD8" w:rsidRPr="00CB6FBA" w:rsidRDefault="007A6DD8" w:rsidP="00E76D88">
            <w:pPr>
              <w:rPr>
                <w:rFonts w:asciiTheme="majorHAnsi" w:hAnsiTheme="majorHAnsi"/>
                <w:color w:val="000000" w:themeColor="text1"/>
                <w:sz w:val="20"/>
                <w:szCs w:val="20"/>
              </w:rPr>
            </w:pPr>
            <w:r w:rsidRPr="00CB6FBA">
              <w:rPr>
                <w:rFonts w:asciiTheme="majorHAnsi" w:hAnsiTheme="majorHAnsi"/>
                <w:color w:val="000000" w:themeColor="text1"/>
                <w:sz w:val="20"/>
                <w:szCs w:val="20"/>
              </w:rPr>
              <w:t>Efficiency Evaluation Organization</w:t>
            </w:r>
          </w:p>
        </w:tc>
        <w:tc>
          <w:tcPr>
            <w:tcW w:w="3240" w:type="dxa"/>
            <w:tcBorders>
              <w:left w:val="none" w:sz="0" w:space="0" w:color="auto"/>
              <w:right w:val="none" w:sz="0" w:space="0" w:color="auto"/>
            </w:tcBorders>
            <w:shd w:val="clear" w:color="auto" w:fill="D1E1FF"/>
          </w:tcPr>
          <w:p w14:paraId="3D6D8FE2" w14:textId="77777777" w:rsidR="007A6DD8" w:rsidRPr="00922093" w:rsidRDefault="007A6DD8" w:rsidP="00E76D88">
            <w:pPr>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sz w:val="20"/>
                <w:szCs w:val="20"/>
              </w:rPr>
            </w:pPr>
            <w:r w:rsidRPr="00922093">
              <w:rPr>
                <w:rStyle w:val="Hyperlink"/>
                <w:sz w:val="20"/>
                <w:szCs w:val="20"/>
              </w:rPr>
              <w:t>http://</w:t>
            </w:r>
            <w:hyperlink r:id="rId21" w:history="1">
              <w:r w:rsidRPr="00922093">
                <w:rPr>
                  <w:rStyle w:val="Hyperlink"/>
                  <w:sz w:val="20"/>
                  <w:szCs w:val="20"/>
                </w:rPr>
                <w:t>www.evo-world.org</w:t>
              </w:r>
            </w:hyperlink>
            <w:r w:rsidRPr="00922093">
              <w:rPr>
                <w:rStyle w:val="Hyperlink"/>
                <w:sz w:val="20"/>
                <w:szCs w:val="20"/>
              </w:rPr>
              <w:t xml:space="preserve"> </w:t>
            </w:r>
          </w:p>
        </w:tc>
        <w:tc>
          <w:tcPr>
            <w:tcW w:w="3267" w:type="dxa"/>
            <w:tcBorders>
              <w:left w:val="none" w:sz="0" w:space="0" w:color="auto"/>
              <w:right w:val="none" w:sz="0" w:space="0" w:color="auto"/>
            </w:tcBorders>
            <w:shd w:val="clear" w:color="auto" w:fill="D1E1FF"/>
          </w:tcPr>
          <w:p w14:paraId="2F35A639" w14:textId="77777777" w:rsidR="007A6DD8" w:rsidRPr="00703A52" w:rsidRDefault="007A6DD8" w:rsidP="00E76D8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703A52">
              <w:rPr>
                <w:color w:val="auto"/>
                <w:sz w:val="20"/>
                <w:szCs w:val="20"/>
              </w:rPr>
              <w:t>Provides an overview of current best practices for determining savings from EE projects and measures; provides a framework and definitions that can</w:t>
            </w:r>
            <w:r w:rsidRPr="00703A52">
              <w:rPr>
                <w:rFonts w:hint="eastAsia"/>
                <w:color w:val="auto"/>
                <w:sz w:val="20"/>
                <w:szCs w:val="20"/>
              </w:rPr>
              <w:t> </w:t>
            </w:r>
            <w:r w:rsidRPr="00703A52">
              <w:rPr>
                <w:color w:val="auto"/>
                <w:sz w:val="20"/>
                <w:szCs w:val="20"/>
              </w:rPr>
              <w:t>help practitioners develop M&amp;V plans for their projects.</w:t>
            </w:r>
          </w:p>
        </w:tc>
      </w:tr>
      <w:tr w:rsidR="007A6DD8" w:rsidRPr="00A956F5" w14:paraId="740E400C" w14:textId="77777777" w:rsidTr="00A94CDE">
        <w:trPr>
          <w:gridAfter w:val="1"/>
          <w:wAfter w:w="41" w:type="dxa"/>
          <w:cantSplit/>
        </w:trPr>
        <w:tc>
          <w:tcPr>
            <w:cnfStyle w:val="001000000000" w:firstRow="0" w:lastRow="0" w:firstColumn="1" w:lastColumn="0" w:oddVBand="0" w:evenVBand="0" w:oddHBand="0" w:evenHBand="0" w:firstRowFirstColumn="0" w:firstRowLastColumn="0" w:lastRowFirstColumn="0" w:lastRowLastColumn="0"/>
            <w:tcW w:w="3028" w:type="dxa"/>
          </w:tcPr>
          <w:p w14:paraId="21A6A1FD" w14:textId="77777777" w:rsidR="007A6DD8" w:rsidRPr="00CB6FBA" w:rsidRDefault="007A6DD8" w:rsidP="00E76D88">
            <w:pPr>
              <w:rPr>
                <w:rFonts w:asciiTheme="majorHAnsi" w:hAnsiTheme="majorHAnsi"/>
                <w:b w:val="0"/>
                <w:color w:val="000000" w:themeColor="text1"/>
                <w:sz w:val="20"/>
                <w:szCs w:val="20"/>
              </w:rPr>
            </w:pPr>
            <w:r w:rsidRPr="00CB6FBA">
              <w:rPr>
                <w:rFonts w:asciiTheme="majorHAnsi" w:hAnsiTheme="majorHAnsi"/>
                <w:color w:val="000000" w:themeColor="text1"/>
                <w:sz w:val="20"/>
                <w:szCs w:val="20"/>
              </w:rPr>
              <w:t xml:space="preserve">FEMP M&amp;V Guidelines </w:t>
            </w:r>
          </w:p>
          <w:p w14:paraId="10A11D89" w14:textId="77777777" w:rsidR="007A6DD8" w:rsidRPr="00CB6FBA" w:rsidRDefault="007A6DD8" w:rsidP="00E76D88">
            <w:pPr>
              <w:rPr>
                <w:rFonts w:asciiTheme="majorHAnsi" w:hAnsiTheme="majorHAnsi"/>
                <w:color w:val="000000" w:themeColor="text1"/>
                <w:sz w:val="20"/>
                <w:szCs w:val="20"/>
              </w:rPr>
            </w:pPr>
            <w:r w:rsidRPr="00CB6FBA">
              <w:rPr>
                <w:rFonts w:asciiTheme="majorHAnsi" w:hAnsiTheme="majorHAnsi"/>
                <w:color w:val="000000" w:themeColor="text1"/>
                <w:sz w:val="20"/>
                <w:szCs w:val="20"/>
              </w:rPr>
              <w:t>U.S. DOE Federal Energy Management Program</w:t>
            </w:r>
          </w:p>
        </w:tc>
        <w:tc>
          <w:tcPr>
            <w:tcW w:w="3240" w:type="dxa"/>
          </w:tcPr>
          <w:p w14:paraId="0FF6D435" w14:textId="77777777" w:rsidR="007A6DD8" w:rsidRPr="00437870" w:rsidRDefault="00133485" w:rsidP="00E76D88">
            <w:pPr>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0"/>
                <w:szCs w:val="20"/>
              </w:rPr>
            </w:pPr>
            <w:hyperlink r:id="rId22" w:history="1">
              <w:r w:rsidR="007A6DD8" w:rsidRPr="000F31D0">
                <w:rPr>
                  <w:rStyle w:val="Hyperlink"/>
                  <w:rFonts w:asciiTheme="majorHAnsi" w:hAnsiTheme="majorHAnsi" w:cs="Calibri"/>
                  <w:sz w:val="20"/>
                  <w:szCs w:val="20"/>
                </w:rPr>
                <w:t>http://www.mnv.lbl.gov/keyMnVDocs</w:t>
              </w:r>
            </w:hyperlink>
            <w:r w:rsidR="007A6DD8" w:rsidRPr="00CB6FBA">
              <w:rPr>
                <w:rFonts w:asciiTheme="majorHAnsi" w:hAnsiTheme="majorHAnsi" w:cs="Calibri"/>
                <w:sz w:val="20"/>
                <w:szCs w:val="20"/>
              </w:rPr>
              <w:t xml:space="preserve"> </w:t>
            </w:r>
          </w:p>
        </w:tc>
        <w:tc>
          <w:tcPr>
            <w:tcW w:w="3267" w:type="dxa"/>
          </w:tcPr>
          <w:p w14:paraId="0B37BB04" w14:textId="77777777" w:rsidR="007A6DD8" w:rsidRPr="00703A52" w:rsidRDefault="007A6DD8" w:rsidP="00E76D8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703A52">
              <w:rPr>
                <w:color w:val="auto"/>
                <w:sz w:val="20"/>
                <w:szCs w:val="20"/>
              </w:rPr>
              <w:t>Provides guidelines and methods for documenting and verifying the savings associated with federal agency performance contracts; contains procedures and guidelines for quantifying the savings resulting from energy efficiency.</w:t>
            </w:r>
          </w:p>
        </w:tc>
      </w:tr>
      <w:tr w:rsidR="007A6DD8" w:rsidRPr="00A956F5" w14:paraId="54A74239" w14:textId="77777777" w:rsidTr="00A94CDE">
        <w:trPr>
          <w:gridAfter w:val="1"/>
          <w:cnfStyle w:val="000000100000" w:firstRow="0" w:lastRow="0" w:firstColumn="0" w:lastColumn="0" w:oddVBand="0" w:evenVBand="0" w:oddHBand="1" w:evenHBand="0" w:firstRowFirstColumn="0" w:firstRowLastColumn="0" w:lastRowFirstColumn="0" w:lastRowLastColumn="0"/>
          <w:wAfter w:w="41" w:type="dxa"/>
          <w:cantSplit/>
        </w:trPr>
        <w:tc>
          <w:tcPr>
            <w:cnfStyle w:val="001000000000" w:firstRow="0" w:lastRow="0" w:firstColumn="1" w:lastColumn="0" w:oddVBand="0" w:evenVBand="0" w:oddHBand="0" w:evenHBand="0" w:firstRowFirstColumn="0" w:firstRowLastColumn="0" w:lastRowFirstColumn="0" w:lastRowLastColumn="0"/>
            <w:tcW w:w="3028" w:type="dxa"/>
            <w:tcBorders>
              <w:left w:val="none" w:sz="0" w:space="0" w:color="auto"/>
              <w:right w:val="none" w:sz="0" w:space="0" w:color="auto"/>
            </w:tcBorders>
            <w:shd w:val="clear" w:color="auto" w:fill="D1E1FF"/>
          </w:tcPr>
          <w:p w14:paraId="61BC0405" w14:textId="77777777" w:rsidR="007A6DD8" w:rsidRPr="00CB6FBA" w:rsidRDefault="007A6DD8" w:rsidP="00E76D88">
            <w:pPr>
              <w:tabs>
                <w:tab w:val="left" w:pos="220"/>
                <w:tab w:val="left" w:pos="720"/>
              </w:tabs>
              <w:autoSpaceDE w:val="0"/>
              <w:autoSpaceDN w:val="0"/>
              <w:adjustRightInd w:val="0"/>
              <w:rPr>
                <w:rFonts w:asciiTheme="majorHAnsi" w:hAnsiTheme="majorHAnsi" w:cs="Calibri"/>
                <w:b w:val="0"/>
                <w:color w:val="000000" w:themeColor="text1"/>
                <w:sz w:val="20"/>
                <w:szCs w:val="20"/>
              </w:rPr>
            </w:pPr>
            <w:r w:rsidRPr="00CB6FBA">
              <w:rPr>
                <w:rFonts w:asciiTheme="majorHAnsi" w:hAnsiTheme="majorHAnsi"/>
                <w:color w:val="000000" w:themeColor="text1"/>
                <w:sz w:val="20"/>
                <w:szCs w:val="20"/>
              </w:rPr>
              <w:t>ASHRAE Guideline 14, Measurement of Energy and Demand Savings</w:t>
            </w:r>
            <w:r w:rsidRPr="00CB6FBA">
              <w:rPr>
                <w:rFonts w:asciiTheme="majorHAnsi" w:hAnsiTheme="majorHAnsi" w:cs="Calibri"/>
                <w:color w:val="000000" w:themeColor="text1"/>
                <w:sz w:val="20"/>
                <w:szCs w:val="20"/>
              </w:rPr>
              <w:t xml:space="preserve"> </w:t>
            </w:r>
          </w:p>
          <w:p w14:paraId="04F310CE" w14:textId="77777777" w:rsidR="007A6DD8" w:rsidRPr="00CB6FBA" w:rsidRDefault="007A6DD8" w:rsidP="00E76D88">
            <w:pPr>
              <w:tabs>
                <w:tab w:val="left" w:pos="220"/>
                <w:tab w:val="left" w:pos="720"/>
              </w:tabs>
              <w:autoSpaceDE w:val="0"/>
              <w:autoSpaceDN w:val="0"/>
              <w:adjustRightInd w:val="0"/>
              <w:rPr>
                <w:rFonts w:asciiTheme="majorHAnsi" w:hAnsiTheme="majorHAnsi" w:cs="Calibri"/>
                <w:i/>
                <w:color w:val="000000" w:themeColor="text1"/>
                <w:sz w:val="20"/>
                <w:szCs w:val="20"/>
              </w:rPr>
            </w:pPr>
            <w:r w:rsidRPr="00CB6FBA">
              <w:rPr>
                <w:rFonts w:asciiTheme="majorHAnsi" w:hAnsiTheme="majorHAnsi" w:cs="Calibri"/>
                <w:i/>
                <w:color w:val="000000" w:themeColor="text1"/>
                <w:sz w:val="20"/>
                <w:szCs w:val="20"/>
              </w:rPr>
              <w:t xml:space="preserve">American Society of Heating, Refrigerating, and Air-Conditioning Engineers </w:t>
            </w:r>
          </w:p>
          <w:p w14:paraId="7BD87245" w14:textId="77777777" w:rsidR="007A6DD8" w:rsidRPr="00CB6FBA" w:rsidRDefault="007A6DD8" w:rsidP="00E76D88">
            <w:pPr>
              <w:rPr>
                <w:rFonts w:asciiTheme="majorHAnsi" w:hAnsiTheme="majorHAnsi"/>
                <w:color w:val="000000" w:themeColor="text1"/>
                <w:sz w:val="20"/>
                <w:szCs w:val="20"/>
              </w:rPr>
            </w:pPr>
          </w:p>
        </w:tc>
        <w:tc>
          <w:tcPr>
            <w:tcW w:w="3240" w:type="dxa"/>
            <w:tcBorders>
              <w:left w:val="none" w:sz="0" w:space="0" w:color="auto"/>
              <w:right w:val="none" w:sz="0" w:space="0" w:color="auto"/>
            </w:tcBorders>
            <w:shd w:val="clear" w:color="auto" w:fill="D1E1FF"/>
          </w:tcPr>
          <w:p w14:paraId="39A4AD30" w14:textId="77777777" w:rsidR="007A6DD8" w:rsidRPr="00CB6FBA" w:rsidRDefault="00133485" w:rsidP="00E76D88">
            <w:pPr>
              <w:tabs>
                <w:tab w:val="left" w:pos="220"/>
                <w:tab w:val="left" w:pos="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hyperlink r:id="rId23" w:history="1">
              <w:r w:rsidR="007A6DD8" w:rsidRPr="007B00A1">
                <w:rPr>
                  <w:rStyle w:val="Hyperlink"/>
                  <w:rFonts w:cs="Calibri"/>
                </w:rPr>
                <w:t>http://www.ashrae.org</w:t>
              </w:r>
            </w:hyperlink>
          </w:p>
        </w:tc>
        <w:tc>
          <w:tcPr>
            <w:tcW w:w="3267" w:type="dxa"/>
            <w:tcBorders>
              <w:left w:val="none" w:sz="0" w:space="0" w:color="auto"/>
              <w:right w:val="none" w:sz="0" w:space="0" w:color="auto"/>
            </w:tcBorders>
            <w:shd w:val="clear" w:color="auto" w:fill="D1E1FF"/>
          </w:tcPr>
          <w:p w14:paraId="7D94E878" w14:textId="77777777" w:rsidR="007A6DD8" w:rsidRPr="00703A52" w:rsidRDefault="007A6DD8" w:rsidP="00E76D88">
            <w:pPr>
              <w:cnfStyle w:val="000000100000" w:firstRow="0" w:lastRow="0" w:firstColumn="0" w:lastColumn="0" w:oddVBand="0" w:evenVBand="0" w:oddHBand="1" w:evenHBand="0" w:firstRowFirstColumn="0" w:firstRowLastColumn="0" w:lastRowFirstColumn="0" w:lastRowLastColumn="0"/>
              <w:rPr>
                <w:color w:val="auto"/>
                <w:sz w:val="20"/>
                <w:szCs w:val="20"/>
              </w:rPr>
            </w:pPr>
            <w:r w:rsidRPr="00703A52">
              <w:rPr>
                <w:color w:val="auto"/>
                <w:sz w:val="20"/>
                <w:szCs w:val="20"/>
              </w:rPr>
              <w:t xml:space="preserve">ASHRAE is the professional engineering society that has been most involved in writing guidelines and standards associated with EE; compared with the FEMP M&amp;V Guidelines and the IPMVP, Guideline 14 is technically more detailed and addresses the analyses, statistics, and physical measurement of energy use for determining energy savings. </w:t>
            </w:r>
          </w:p>
        </w:tc>
      </w:tr>
      <w:tr w:rsidR="007A6DD8" w:rsidRPr="00A956F5" w14:paraId="0F85BA92" w14:textId="77777777" w:rsidTr="00A94CDE">
        <w:trPr>
          <w:gridAfter w:val="1"/>
          <w:wAfter w:w="41" w:type="dxa"/>
          <w:cantSplit/>
        </w:trPr>
        <w:tc>
          <w:tcPr>
            <w:cnfStyle w:val="001000000000" w:firstRow="0" w:lastRow="0" w:firstColumn="1" w:lastColumn="0" w:oddVBand="0" w:evenVBand="0" w:oddHBand="0" w:evenHBand="0" w:firstRowFirstColumn="0" w:firstRowLastColumn="0" w:lastRowFirstColumn="0" w:lastRowLastColumn="0"/>
            <w:tcW w:w="3028" w:type="dxa"/>
          </w:tcPr>
          <w:p w14:paraId="2FA45DA6" w14:textId="77777777" w:rsidR="007A6DD8" w:rsidRPr="00CB6FBA" w:rsidRDefault="007A6DD8" w:rsidP="00E76D88">
            <w:pPr>
              <w:autoSpaceDE w:val="0"/>
              <w:autoSpaceDN w:val="0"/>
              <w:adjustRightInd w:val="0"/>
              <w:rPr>
                <w:rFonts w:asciiTheme="majorHAnsi" w:hAnsiTheme="majorHAnsi"/>
                <w:b w:val="0"/>
                <w:color w:val="000000" w:themeColor="text1"/>
                <w:sz w:val="20"/>
                <w:szCs w:val="20"/>
              </w:rPr>
            </w:pPr>
            <w:r w:rsidRPr="000E7C86">
              <w:rPr>
                <w:rFonts w:asciiTheme="majorHAnsi" w:hAnsiTheme="majorHAnsi"/>
                <w:color w:val="000000" w:themeColor="text1"/>
                <w:sz w:val="20"/>
                <w:szCs w:val="20"/>
              </w:rPr>
              <w:t xml:space="preserve">Regional Technical Forum (RTF) </w:t>
            </w:r>
          </w:p>
          <w:p w14:paraId="4FA97415" w14:textId="77777777" w:rsidR="007A6DD8" w:rsidRPr="00CB6FBA" w:rsidRDefault="007A6DD8" w:rsidP="00E76D88">
            <w:pPr>
              <w:autoSpaceDE w:val="0"/>
              <w:autoSpaceDN w:val="0"/>
              <w:adjustRightInd w:val="0"/>
              <w:rPr>
                <w:rFonts w:asciiTheme="majorHAnsi" w:hAnsiTheme="majorHAnsi" w:cs="Arial"/>
                <w:bCs w:val="0"/>
                <w:i/>
                <w:color w:val="000000" w:themeColor="text1"/>
                <w:sz w:val="20"/>
                <w:szCs w:val="20"/>
              </w:rPr>
            </w:pPr>
            <w:r w:rsidRPr="00CB6FBA">
              <w:rPr>
                <w:rFonts w:asciiTheme="majorHAnsi" w:hAnsiTheme="majorHAnsi"/>
                <w:i/>
                <w:color w:val="000000" w:themeColor="text1"/>
                <w:sz w:val="20"/>
                <w:szCs w:val="20"/>
              </w:rPr>
              <w:t>Northwest Power and Conservation Council</w:t>
            </w:r>
          </w:p>
        </w:tc>
        <w:tc>
          <w:tcPr>
            <w:tcW w:w="3240" w:type="dxa"/>
          </w:tcPr>
          <w:p w14:paraId="32D72E1C" w14:textId="77777777" w:rsidR="007A6DD8" w:rsidRPr="00CB6FBA" w:rsidRDefault="00133485" w:rsidP="00E76D88">
            <w:pPr>
              <w:tabs>
                <w:tab w:val="left" w:pos="220"/>
                <w:tab w:val="left" w:pos="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hyperlink r:id="rId24" w:history="1">
              <w:r w:rsidR="007A6DD8" w:rsidRPr="000F31D0">
                <w:rPr>
                  <w:rStyle w:val="Hyperlink"/>
                </w:rPr>
                <w:t>http://www.rtf.nwcouncil.org</w:t>
              </w:r>
            </w:hyperlink>
          </w:p>
        </w:tc>
        <w:tc>
          <w:tcPr>
            <w:tcW w:w="3267" w:type="dxa"/>
          </w:tcPr>
          <w:p w14:paraId="0410B1E8" w14:textId="77777777" w:rsidR="007A6DD8" w:rsidRPr="00703A52" w:rsidRDefault="007A6DD8" w:rsidP="00E76D88">
            <w:pPr>
              <w:cnfStyle w:val="000000000000" w:firstRow="0" w:lastRow="0" w:firstColumn="0" w:lastColumn="0" w:oddVBand="0" w:evenVBand="0" w:oddHBand="0" w:evenHBand="0" w:firstRowFirstColumn="0" w:firstRowLastColumn="0" w:lastRowFirstColumn="0" w:lastRowLastColumn="0"/>
              <w:rPr>
                <w:color w:val="auto"/>
                <w:sz w:val="20"/>
                <w:szCs w:val="20"/>
              </w:rPr>
            </w:pPr>
            <w:r w:rsidRPr="00703A52">
              <w:rPr>
                <w:color w:val="auto"/>
                <w:sz w:val="20"/>
                <w:szCs w:val="20"/>
              </w:rPr>
              <w:t>An advisory committee established to develop standards to verify and evaluate the savings from a wide range of EE and conservation measures; maintains an extensive and well documented database of deemed savings values.</w:t>
            </w:r>
          </w:p>
        </w:tc>
      </w:tr>
      <w:tr w:rsidR="007A6DD8" w:rsidRPr="00A956F5" w14:paraId="4D84CA2F" w14:textId="77777777" w:rsidTr="00A94CDE">
        <w:trPr>
          <w:gridAfter w:val="1"/>
          <w:cnfStyle w:val="000000100000" w:firstRow="0" w:lastRow="0" w:firstColumn="0" w:lastColumn="0" w:oddVBand="0" w:evenVBand="0" w:oddHBand="1" w:evenHBand="0" w:firstRowFirstColumn="0" w:firstRowLastColumn="0" w:lastRowFirstColumn="0" w:lastRowLastColumn="0"/>
          <w:wAfter w:w="41" w:type="dxa"/>
          <w:cantSplit/>
        </w:trPr>
        <w:tc>
          <w:tcPr>
            <w:cnfStyle w:val="001000000000" w:firstRow="0" w:lastRow="0" w:firstColumn="1" w:lastColumn="0" w:oddVBand="0" w:evenVBand="0" w:oddHBand="0" w:evenHBand="0" w:firstRowFirstColumn="0" w:firstRowLastColumn="0" w:lastRowFirstColumn="0" w:lastRowLastColumn="0"/>
            <w:tcW w:w="3028" w:type="dxa"/>
            <w:tcBorders>
              <w:left w:val="none" w:sz="0" w:space="0" w:color="auto"/>
              <w:right w:val="none" w:sz="0" w:space="0" w:color="auto"/>
            </w:tcBorders>
            <w:shd w:val="clear" w:color="auto" w:fill="D1E1FF"/>
          </w:tcPr>
          <w:p w14:paraId="185329BD" w14:textId="77777777" w:rsidR="007A6DD8" w:rsidRPr="00CB6FBA" w:rsidRDefault="007A6DD8" w:rsidP="00E76D88">
            <w:pPr>
              <w:rPr>
                <w:rFonts w:asciiTheme="majorHAnsi" w:hAnsiTheme="majorHAnsi"/>
                <w:b w:val="0"/>
                <w:color w:val="000000" w:themeColor="text1"/>
                <w:sz w:val="20"/>
                <w:szCs w:val="20"/>
              </w:rPr>
            </w:pPr>
            <w:r w:rsidRPr="000E7C86">
              <w:rPr>
                <w:rFonts w:asciiTheme="majorHAnsi" w:hAnsiTheme="majorHAnsi"/>
                <w:color w:val="000000" w:themeColor="text1"/>
                <w:sz w:val="20"/>
                <w:szCs w:val="20"/>
              </w:rPr>
              <w:t xml:space="preserve">ISO-NE Measurement and Verification of Demand Reduction Value from Demand Resources </w:t>
            </w:r>
            <w:r w:rsidRPr="00CB6FBA">
              <w:rPr>
                <w:rFonts w:asciiTheme="majorHAnsi" w:hAnsiTheme="majorHAnsi"/>
                <w:color w:val="000000" w:themeColor="text1"/>
                <w:sz w:val="20"/>
                <w:szCs w:val="20"/>
              </w:rPr>
              <w:t>– Manual M-MVDR</w:t>
            </w:r>
          </w:p>
          <w:p w14:paraId="49750210" w14:textId="77777777" w:rsidR="007A6DD8" w:rsidRPr="002A195D" w:rsidRDefault="007A6DD8" w:rsidP="00E76D88">
            <w:pPr>
              <w:rPr>
                <w:rFonts w:asciiTheme="majorHAnsi" w:hAnsiTheme="majorHAnsi"/>
                <w:i/>
                <w:color w:val="FF0000"/>
                <w:sz w:val="20"/>
                <w:szCs w:val="20"/>
              </w:rPr>
            </w:pPr>
            <w:r w:rsidRPr="00CB6FBA">
              <w:rPr>
                <w:rFonts w:asciiTheme="majorHAnsi" w:hAnsiTheme="majorHAnsi"/>
                <w:i/>
                <w:color w:val="000000" w:themeColor="text1"/>
                <w:sz w:val="20"/>
                <w:szCs w:val="20"/>
              </w:rPr>
              <w:t xml:space="preserve">Independent System Operator – New England </w:t>
            </w:r>
          </w:p>
        </w:tc>
        <w:tc>
          <w:tcPr>
            <w:tcW w:w="3240" w:type="dxa"/>
            <w:tcBorders>
              <w:left w:val="none" w:sz="0" w:space="0" w:color="auto"/>
              <w:right w:val="none" w:sz="0" w:space="0" w:color="auto"/>
            </w:tcBorders>
            <w:shd w:val="clear" w:color="auto" w:fill="D1E1FF"/>
          </w:tcPr>
          <w:p w14:paraId="28DD07D1" w14:textId="77777777" w:rsidR="007A6DD8" w:rsidRPr="00CB6FBA" w:rsidRDefault="00133485" w:rsidP="00E76D88">
            <w:pPr>
              <w:keepLines/>
              <w:shd w:val="clear" w:color="auto" w:fill="D1E1FF"/>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hyperlink r:id="rId25" w:history="1">
              <w:r w:rsidR="007A6DD8" w:rsidRPr="00CB6FBA">
                <w:rPr>
                  <w:rStyle w:val="Hyperlink"/>
                  <w:rFonts w:asciiTheme="majorHAnsi" w:hAnsiTheme="majorHAnsi"/>
                  <w:sz w:val="20"/>
                  <w:szCs w:val="20"/>
                </w:rPr>
                <w:t>http://www.iso-ne.com/participate/rules-procedures/manuals</w:t>
              </w:r>
            </w:hyperlink>
          </w:p>
          <w:p w14:paraId="428194E6" w14:textId="77777777" w:rsidR="007A6DD8" w:rsidRPr="002A195D" w:rsidRDefault="007A6DD8" w:rsidP="00E76D8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w:color w:val="FF0000"/>
                <w:sz w:val="20"/>
                <w:szCs w:val="20"/>
              </w:rPr>
            </w:pPr>
          </w:p>
        </w:tc>
        <w:tc>
          <w:tcPr>
            <w:tcW w:w="3267" w:type="dxa"/>
            <w:tcBorders>
              <w:left w:val="none" w:sz="0" w:space="0" w:color="auto"/>
              <w:right w:val="none" w:sz="0" w:space="0" w:color="auto"/>
            </w:tcBorders>
            <w:shd w:val="clear" w:color="auto" w:fill="D1E1FF"/>
          </w:tcPr>
          <w:p w14:paraId="003A0956" w14:textId="77777777" w:rsidR="007A6DD8" w:rsidRPr="00703A52" w:rsidRDefault="007A6DD8" w:rsidP="00E76D88">
            <w:pPr>
              <w:cnfStyle w:val="000000100000" w:firstRow="0" w:lastRow="0" w:firstColumn="0" w:lastColumn="0" w:oddVBand="0" w:evenVBand="0" w:oddHBand="1" w:evenHBand="0" w:firstRowFirstColumn="0" w:firstRowLastColumn="0" w:lastRowFirstColumn="0" w:lastRowLastColumn="0"/>
              <w:rPr>
                <w:sz w:val="20"/>
                <w:szCs w:val="20"/>
              </w:rPr>
            </w:pPr>
            <w:r w:rsidRPr="00703A52">
              <w:rPr>
                <w:color w:val="auto"/>
                <w:sz w:val="20"/>
                <w:szCs w:val="20"/>
              </w:rPr>
              <w:t>Provides guidance and required criteria for measuring and verifying performance of demand resources participating in the wholesale electric markets administered by ISO.</w:t>
            </w:r>
          </w:p>
        </w:tc>
      </w:tr>
      <w:tr w:rsidR="007A6DD8" w:rsidRPr="00A956F5" w14:paraId="7BCFFE10" w14:textId="77777777" w:rsidTr="00A94CDE">
        <w:trPr>
          <w:gridAfter w:val="1"/>
          <w:wAfter w:w="41" w:type="dxa"/>
          <w:cantSplit/>
          <w:trHeight w:val="2290"/>
        </w:trPr>
        <w:tc>
          <w:tcPr>
            <w:cnfStyle w:val="001000000000" w:firstRow="0" w:lastRow="0" w:firstColumn="1" w:lastColumn="0" w:oddVBand="0" w:evenVBand="0" w:oddHBand="0" w:evenHBand="0" w:firstRowFirstColumn="0" w:firstRowLastColumn="0" w:lastRowFirstColumn="0" w:lastRowLastColumn="0"/>
            <w:tcW w:w="3028" w:type="dxa"/>
          </w:tcPr>
          <w:p w14:paraId="7A4D51C7" w14:textId="77777777" w:rsidR="007A6DD8" w:rsidRPr="00CB6FBA" w:rsidRDefault="007A6DD8" w:rsidP="00E76D88">
            <w:pPr>
              <w:autoSpaceDE w:val="0"/>
              <w:autoSpaceDN w:val="0"/>
              <w:adjustRightInd w:val="0"/>
              <w:rPr>
                <w:rFonts w:asciiTheme="majorHAnsi" w:hAnsiTheme="majorHAnsi"/>
                <w:b w:val="0"/>
                <w:color w:val="000000" w:themeColor="text1"/>
                <w:sz w:val="20"/>
                <w:szCs w:val="20"/>
              </w:rPr>
            </w:pPr>
            <w:r w:rsidRPr="00CB6FBA">
              <w:rPr>
                <w:rFonts w:asciiTheme="majorHAnsi" w:hAnsiTheme="majorHAnsi"/>
                <w:color w:val="000000" w:themeColor="text1"/>
                <w:sz w:val="20"/>
                <w:szCs w:val="20"/>
              </w:rPr>
              <w:t xml:space="preserve">PJM Manual 18B: Energy Efficiency Measurement &amp; Verification </w:t>
            </w:r>
          </w:p>
          <w:p w14:paraId="03472C51" w14:textId="77777777" w:rsidR="007A6DD8" w:rsidRPr="00CB6FBA" w:rsidRDefault="007A6DD8" w:rsidP="00E76D88">
            <w:pPr>
              <w:rPr>
                <w:rFonts w:asciiTheme="majorHAnsi" w:hAnsiTheme="majorHAnsi"/>
                <w:i/>
                <w:color w:val="000000" w:themeColor="text1"/>
                <w:sz w:val="20"/>
                <w:szCs w:val="20"/>
              </w:rPr>
            </w:pPr>
            <w:r w:rsidRPr="00CB6FBA">
              <w:rPr>
                <w:rFonts w:asciiTheme="majorHAnsi" w:hAnsiTheme="majorHAnsi" w:cs="Trebuchet MS"/>
                <w:i/>
                <w:color w:val="000000" w:themeColor="text1"/>
                <w:sz w:val="20"/>
                <w:szCs w:val="20"/>
              </w:rPr>
              <w:t>PJM Interconnection</w:t>
            </w:r>
          </w:p>
        </w:tc>
        <w:tc>
          <w:tcPr>
            <w:tcW w:w="3240" w:type="dxa"/>
          </w:tcPr>
          <w:p w14:paraId="5C7BDDFD" w14:textId="77777777" w:rsidR="007A6DD8" w:rsidRPr="00CB6FBA" w:rsidRDefault="00133485" w:rsidP="00E76D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hyperlink r:id="rId26" w:history="1">
              <w:r w:rsidR="007A6DD8" w:rsidRPr="00CB6FBA">
                <w:rPr>
                  <w:rStyle w:val="Hyperlink"/>
                  <w:rFonts w:asciiTheme="majorHAnsi" w:hAnsiTheme="majorHAnsi"/>
                  <w:sz w:val="20"/>
                  <w:szCs w:val="20"/>
                </w:rPr>
                <w:t>https://www.google.com/url?sa=t&amp;rct=j&amp;q=&amp;esrc=s&amp;source=web&amp;cd=1&amp;ved=0CB8QFjAA&amp;url=https%3A%2F%2Fwww.pjm.com%2F~%2Fmedia%2Fdocuments%2Fmanuals%2Fm18b.ashx&amp;ei=m9xHVceiEMvJtQXviYDoDw&amp;usg=AFQjCNEQb0Z65Y_2ESjjdAP10sPjZb94Mw&amp;sig2=Ydqecugs2PPnuJTwxmtPIw&amp;bvm=bv.92291466,d.b2w</w:t>
              </w:r>
            </w:hyperlink>
          </w:p>
        </w:tc>
        <w:tc>
          <w:tcPr>
            <w:tcW w:w="3267" w:type="dxa"/>
          </w:tcPr>
          <w:p w14:paraId="17002674" w14:textId="77777777" w:rsidR="007A6DD8" w:rsidRPr="00CB6FBA" w:rsidRDefault="007A6DD8" w:rsidP="00E76D88">
            <w:pPr>
              <w:cnfStyle w:val="000000000000" w:firstRow="0" w:lastRow="0" w:firstColumn="0" w:lastColumn="0" w:oddVBand="0" w:evenVBand="0" w:oddHBand="0" w:evenHBand="0" w:firstRowFirstColumn="0" w:firstRowLastColumn="0" w:lastRowFirstColumn="0" w:lastRowLastColumn="0"/>
              <w:rPr>
                <w:rFonts w:cs="Arial"/>
              </w:rPr>
            </w:pPr>
            <w:r w:rsidRPr="00703A52">
              <w:rPr>
                <w:color w:val="auto"/>
                <w:sz w:val="20"/>
                <w:szCs w:val="20"/>
              </w:rPr>
              <w:t>Provides guidance on measuring and verifying the demand reduction value of EE resources.</w:t>
            </w:r>
          </w:p>
        </w:tc>
      </w:tr>
      <w:bookmarkEnd w:id="399"/>
    </w:tbl>
    <w:p w14:paraId="7552A86A" w14:textId="77777777" w:rsidR="007A6DD8" w:rsidRDefault="007A6DD8" w:rsidP="007A6DD8"/>
    <w:p w14:paraId="7F13ED67" w14:textId="77777777" w:rsidR="007A6DD8" w:rsidRPr="00487B15" w:rsidRDefault="007A6DD8" w:rsidP="007A6DD8">
      <w:pPr>
        <w:pStyle w:val="BodyText"/>
        <w:widowControl/>
      </w:pPr>
      <w:r w:rsidRPr="00487B15">
        <w:lastRenderedPageBreak/>
        <w:t xml:space="preserve">EE EM&amp;V activities </w:t>
      </w:r>
      <w:r>
        <w:t xml:space="preserve">related to EPA’s emissions guidelines </w:t>
      </w:r>
      <w:r w:rsidRPr="00487B15">
        <w:t>can benefit from applying established guidelines and protocols.</w:t>
      </w:r>
      <w:r>
        <w:t xml:space="preserve"> It should be noted, that while EPA encourages the use of well-established EM&amp;V </w:t>
      </w:r>
      <w:r w:rsidRPr="00487B15">
        <w:t>guidelines and protocols</w:t>
      </w:r>
      <w:r>
        <w:t>, the agency recognizes that these resources</w:t>
      </w:r>
      <w:r w:rsidRPr="00487B15">
        <w:t xml:space="preserve"> do </w:t>
      </w:r>
      <w:r>
        <w:t xml:space="preserve">not </w:t>
      </w:r>
      <w:r w:rsidRPr="00487B15">
        <w:t xml:space="preserve">provide </w:t>
      </w:r>
      <w:r>
        <w:t xml:space="preserve">a </w:t>
      </w:r>
      <w:r w:rsidRPr="00487B15">
        <w:t xml:space="preserve">step-by-step </w:t>
      </w:r>
      <w:r>
        <w:t>“recipe” for quantifying savings. This is largely because:</w:t>
      </w:r>
    </w:p>
    <w:p w14:paraId="3A879535" w14:textId="77777777" w:rsidR="007A6DD8" w:rsidRPr="009D76DC" w:rsidRDefault="007A6DD8" w:rsidP="007A6DD8">
      <w:pPr>
        <w:pStyle w:val="BulletLevel1"/>
      </w:pPr>
      <w:r w:rsidRPr="00487B15">
        <w:t xml:space="preserve">Approaches vary from </w:t>
      </w:r>
      <w:r>
        <w:t>state</w:t>
      </w:r>
      <w:r w:rsidRPr="00487B15">
        <w:t xml:space="preserve"> to </w:t>
      </w:r>
      <w:r>
        <w:t>state</w:t>
      </w:r>
      <w:r w:rsidRPr="00487B15">
        <w:t xml:space="preserve"> due to a variety of factors. These factors include the program, project</w:t>
      </w:r>
      <w:r>
        <w:t>,</w:t>
      </w:r>
      <w:r w:rsidRPr="00487B15">
        <w:t xml:space="preserve"> or measure being evaluated, whether savings values have been established in the past for the subject EE activity, and the overall magnitude of program impacts. </w:t>
      </w:r>
    </w:p>
    <w:p w14:paraId="7E73F7C7" w14:textId="77777777" w:rsidR="007A6DD8" w:rsidRPr="009D76DC" w:rsidRDefault="007A6DD8" w:rsidP="007A6DD8">
      <w:pPr>
        <w:pStyle w:val="BulletLevel1"/>
      </w:pPr>
      <w:r w:rsidRPr="00487B15">
        <w:rPr>
          <w:color w:val="1A1718"/>
        </w:rPr>
        <w:t>G</w:t>
      </w:r>
      <w:r w:rsidRPr="00487B15">
        <w:t xml:space="preserve">uidelines and protocols </w:t>
      </w:r>
      <w:r>
        <w:t>per se</w:t>
      </w:r>
      <w:r w:rsidRPr="00487B15">
        <w:t xml:space="preserve"> provide flexibility with respect to key EM&amp;V </w:t>
      </w:r>
      <w:r>
        <w:t xml:space="preserve">issues, </w:t>
      </w:r>
      <w:r w:rsidRPr="00487B15">
        <w:t>such as selection of methodologies and key parameters, the timeframe addressed by EM&amp;V (short</w:t>
      </w:r>
      <w:r>
        <w:t>-</w:t>
      </w:r>
      <w:r w:rsidRPr="00487B15">
        <w:t>term, first</w:t>
      </w:r>
      <w:r>
        <w:t>-</w:t>
      </w:r>
      <w:r w:rsidRPr="00487B15">
        <w:t xml:space="preserve">year, or lifetime data collection and analyses of savings), and the desired accuracy of savings. </w:t>
      </w:r>
    </w:p>
    <w:p w14:paraId="41F59237" w14:textId="77777777" w:rsidR="007A6DD8" w:rsidRPr="009D76DC" w:rsidRDefault="007A6DD8" w:rsidP="00D834BF">
      <w:pPr>
        <w:pStyle w:val="BodyText"/>
        <w:widowControl/>
      </w:pPr>
      <w:r>
        <w:t xml:space="preserve">In this way, EPA </w:t>
      </w:r>
      <w:r w:rsidR="00D834BF">
        <w:t xml:space="preserve">recognizes </w:t>
      </w:r>
      <w:r>
        <w:t>that the application of EM&amp;V guidelines and protocols requires professional judgment and assessment of the EE activities to determine the appropriate EM&amp;V method, assumptions, other factors to apply, and applicability within the context of EPA emissions guidelines, calculations and other elements.</w:t>
      </w:r>
    </w:p>
    <w:p w14:paraId="04F72AD1" w14:textId="77777777" w:rsidR="007A6DD8" w:rsidRPr="00CD2257" w:rsidRDefault="007A6DD8" w:rsidP="007A6DD8">
      <w:pPr>
        <w:pStyle w:val="Heading3"/>
        <w:numPr>
          <w:ilvl w:val="2"/>
          <w:numId w:val="69"/>
        </w:numPr>
        <w:spacing w:before="240"/>
        <w:ind w:left="0"/>
      </w:pPr>
      <w:bookmarkStart w:id="400" w:name="_Toc422306772"/>
      <w:bookmarkStart w:id="401" w:name="_Toc422307009"/>
      <w:bookmarkStart w:id="402" w:name="_Toc422307150"/>
      <w:bookmarkStart w:id="403" w:name="_Toc422307282"/>
      <w:bookmarkStart w:id="404" w:name="_Toc422311387"/>
      <w:bookmarkStart w:id="405" w:name="_Toc422311521"/>
      <w:bookmarkStart w:id="406" w:name="_Toc422316745"/>
      <w:bookmarkStart w:id="407" w:name="_Toc422316884"/>
      <w:bookmarkStart w:id="408" w:name="_Toc422317024"/>
      <w:bookmarkStart w:id="409" w:name="_Toc426044660"/>
      <w:bookmarkEnd w:id="400"/>
      <w:bookmarkEnd w:id="401"/>
      <w:bookmarkEnd w:id="402"/>
      <w:bookmarkEnd w:id="403"/>
      <w:bookmarkEnd w:id="404"/>
      <w:bookmarkEnd w:id="405"/>
      <w:bookmarkEnd w:id="406"/>
      <w:bookmarkEnd w:id="407"/>
      <w:bookmarkEnd w:id="408"/>
      <w:r>
        <w:t>Applicable Guidance</w:t>
      </w:r>
      <w:bookmarkEnd w:id="409"/>
    </w:p>
    <w:p w14:paraId="3685C7A3" w14:textId="77777777" w:rsidR="007A6DD8" w:rsidRPr="00A956F5" w:rsidRDefault="007A6DD8" w:rsidP="00703A52">
      <w:pPr>
        <w:pStyle w:val="BulletLevel1"/>
      </w:pPr>
      <w:r w:rsidRPr="009D76DC">
        <w:t xml:space="preserve">If </w:t>
      </w:r>
      <w:r>
        <w:t xml:space="preserve">EM&amp;V plans and monitoring and verification specify the use of </w:t>
      </w:r>
      <w:r w:rsidRPr="009D76DC">
        <w:t>protocol</w:t>
      </w:r>
      <w:r>
        <w:t xml:space="preserve">s or </w:t>
      </w:r>
      <w:r w:rsidRPr="009D76DC">
        <w:t>guideline</w:t>
      </w:r>
      <w:r>
        <w:t>s, provide</w:t>
      </w:r>
      <w:r w:rsidRPr="009D76DC">
        <w:t xml:space="preserve"> </w:t>
      </w:r>
      <w:r>
        <w:t>a list of</w:t>
      </w:r>
      <w:r w:rsidRPr="009D76DC">
        <w:t xml:space="preserve"> </w:t>
      </w:r>
      <w:r>
        <w:t>applicable minimum requirements and description of applicable sections</w:t>
      </w:r>
      <w:r w:rsidRPr="009D76DC">
        <w:t xml:space="preserve">, </w:t>
      </w:r>
      <w:r>
        <w:t>methods</w:t>
      </w:r>
      <w:r w:rsidRPr="009D76DC">
        <w:t xml:space="preserve">, </w:t>
      </w:r>
      <w:r>
        <w:t xml:space="preserve">and portions of </w:t>
      </w:r>
      <w:r w:rsidRPr="009D76DC">
        <w:t>the protocol</w:t>
      </w:r>
      <w:r>
        <w:t xml:space="preserve"> or </w:t>
      </w:r>
      <w:r w:rsidRPr="009D76DC">
        <w:t>guideline.</w:t>
      </w:r>
      <w:r w:rsidRPr="00487B15">
        <w:rPr>
          <w:rStyle w:val="FootnoteReference"/>
          <w:rFonts w:asciiTheme="majorHAnsi" w:hAnsiTheme="majorHAnsi" w:cstheme="majorHAnsi"/>
          <w:color w:val="1A1718"/>
          <w:szCs w:val="22"/>
        </w:rPr>
        <w:footnoteReference w:id="44"/>
      </w:r>
    </w:p>
    <w:p w14:paraId="45488D09" w14:textId="77777777" w:rsidR="00F82B6A" w:rsidRPr="005E6C4D" w:rsidRDefault="004F346E" w:rsidP="00AB6C96">
      <w:pPr>
        <w:pStyle w:val="Heading1"/>
        <w:numPr>
          <w:ilvl w:val="0"/>
          <w:numId w:val="69"/>
        </w:numPr>
      </w:pPr>
      <w:bookmarkStart w:id="410" w:name="_Toc426044661"/>
      <w:r>
        <w:lastRenderedPageBreak/>
        <w:t xml:space="preserve">Supplemental Guidance for </w:t>
      </w:r>
      <w:r w:rsidRPr="005E6C4D">
        <w:t xml:space="preserve">Specific </w:t>
      </w:r>
      <w:r w:rsidR="00D83871">
        <w:t xml:space="preserve">Categories </w:t>
      </w:r>
      <w:r>
        <w:t>of EE</w:t>
      </w:r>
      <w:bookmarkEnd w:id="410"/>
      <w:r>
        <w:t xml:space="preserve"> </w:t>
      </w:r>
      <w:bookmarkEnd w:id="28"/>
    </w:p>
    <w:p w14:paraId="0B575D6D" w14:textId="77777777" w:rsidR="00662050" w:rsidRDefault="005C67CB" w:rsidP="00662050">
      <w:pPr>
        <w:pStyle w:val="BodyText"/>
        <w:widowControl/>
      </w:pPr>
      <w:r w:rsidRPr="00520EC7">
        <w:t xml:space="preserve">Section </w:t>
      </w:r>
      <w:r w:rsidR="009C3D40">
        <w:t>3</w:t>
      </w:r>
      <w:r w:rsidRPr="00520EC7">
        <w:t xml:space="preserve"> pr</w:t>
      </w:r>
      <w:r w:rsidR="00014201">
        <w:t xml:space="preserve">ovides EM&amp;V </w:t>
      </w:r>
      <w:r w:rsidRPr="00520EC7">
        <w:t xml:space="preserve">guidance that is specific to several common </w:t>
      </w:r>
      <w:r w:rsidR="00D83871">
        <w:t xml:space="preserve">categories of </w:t>
      </w:r>
      <w:r w:rsidR="00FA2B10">
        <w:t xml:space="preserve">demand-side </w:t>
      </w:r>
      <w:r w:rsidR="00D83871">
        <w:t>EE programs</w:t>
      </w:r>
      <w:r w:rsidR="00FA2B10">
        <w:t xml:space="preserve">, </w:t>
      </w:r>
      <w:r w:rsidR="00D83871">
        <w:t>projects</w:t>
      </w:r>
      <w:r w:rsidR="00FA2B10">
        <w:t>, and measures</w:t>
      </w:r>
      <w:r w:rsidRPr="00520EC7">
        <w:t xml:space="preserve">. </w:t>
      </w:r>
      <w:r w:rsidR="00A952CA">
        <w:t xml:space="preserve">The EPA is providing guidance on these </w:t>
      </w:r>
      <w:r w:rsidR="00AD60EA">
        <w:t xml:space="preserve">particular </w:t>
      </w:r>
      <w:r w:rsidR="00A952CA">
        <w:t>EE activities because they are commonly implemented</w:t>
      </w:r>
      <w:r w:rsidR="00AD60EA">
        <w:t xml:space="preserve"> </w:t>
      </w:r>
      <w:r w:rsidR="00662050">
        <w:t xml:space="preserve">(at scale) </w:t>
      </w:r>
      <w:r w:rsidR="00AD60EA">
        <w:t xml:space="preserve">in all </w:t>
      </w:r>
      <w:r w:rsidR="00662050">
        <w:t xml:space="preserve">regions </w:t>
      </w:r>
      <w:r w:rsidR="00AD60EA">
        <w:t>of the country</w:t>
      </w:r>
      <w:r w:rsidR="00662050">
        <w:t xml:space="preserve">, </w:t>
      </w:r>
      <w:r w:rsidR="00A952CA">
        <w:t>represent the significant majority of all</w:t>
      </w:r>
      <w:r w:rsidR="00AD60EA">
        <w:t xml:space="preserve"> EE </w:t>
      </w:r>
      <w:r w:rsidR="00A952CA">
        <w:t xml:space="preserve">savings </w:t>
      </w:r>
      <w:r w:rsidR="00AD60EA">
        <w:t>currently being achieved</w:t>
      </w:r>
      <w:r w:rsidR="00662050">
        <w:t xml:space="preserve">, and </w:t>
      </w:r>
      <w:r w:rsidR="00487D80">
        <w:t xml:space="preserve">because </w:t>
      </w:r>
      <w:r w:rsidR="00662050">
        <w:t>such guidance was requested by stakeholders.</w:t>
      </w:r>
      <w:r w:rsidR="001A5A18">
        <w:t xml:space="preserve"> </w:t>
      </w:r>
      <w:r w:rsidR="00487D80">
        <w:t>Each of t</w:t>
      </w:r>
      <w:r w:rsidR="00662050">
        <w:t>h</w:t>
      </w:r>
      <w:r w:rsidR="00662050" w:rsidRPr="00B737BB">
        <w:t xml:space="preserve">ese </w:t>
      </w:r>
      <w:r w:rsidR="00487D80">
        <w:t xml:space="preserve">EE activities </w:t>
      </w:r>
      <w:r w:rsidR="00662050" w:rsidRPr="00520EC7">
        <w:t xml:space="preserve">can also be characterized as having some form of </w:t>
      </w:r>
      <w:r w:rsidR="00662050">
        <w:t>state</w:t>
      </w:r>
      <w:r w:rsidR="00662050" w:rsidRPr="00520EC7">
        <w:t xml:space="preserve"> agency oversight</w:t>
      </w:r>
      <w:r w:rsidR="00662050">
        <w:t xml:space="preserve"> or dedicated </w:t>
      </w:r>
      <w:r w:rsidR="00662050" w:rsidRPr="00520EC7">
        <w:t xml:space="preserve">EM&amp;V </w:t>
      </w:r>
      <w:r w:rsidR="00662050">
        <w:t>protocols and procedures</w:t>
      </w:r>
      <w:r w:rsidR="00662050" w:rsidRPr="00520EC7">
        <w:t>.</w:t>
      </w:r>
      <w:r w:rsidR="001A5A18">
        <w:t xml:space="preserve"> </w:t>
      </w:r>
    </w:p>
    <w:p w14:paraId="31A7D931" w14:textId="77777777" w:rsidR="005C67CB" w:rsidRPr="00520EC7" w:rsidRDefault="003364F4" w:rsidP="00D834BF">
      <w:pPr>
        <w:pStyle w:val="BodyText"/>
        <w:widowControl/>
      </w:pPr>
      <w:r>
        <w:t xml:space="preserve">The guidance in this section is intended to </w:t>
      </w:r>
      <w:r w:rsidRPr="00520EC7">
        <w:t xml:space="preserve">supplement Section </w:t>
      </w:r>
      <w:r w:rsidR="0000190D">
        <w:t>2</w:t>
      </w:r>
      <w:r w:rsidRPr="00520EC7">
        <w:t xml:space="preserve">, which applies to all demand-side EE </w:t>
      </w:r>
      <w:r>
        <w:t>savings (</w:t>
      </w:r>
      <w:proofErr w:type="spellStart"/>
      <w:r>
        <w:t>MWh</w:t>
      </w:r>
      <w:proofErr w:type="spellEnd"/>
      <w:r>
        <w:t>)</w:t>
      </w:r>
      <w:r w:rsidRPr="00520EC7">
        <w:t>.</w:t>
      </w:r>
      <w:r>
        <w:t xml:space="preserve"> </w:t>
      </w:r>
      <w:r w:rsidRPr="00520EC7">
        <w:t>The</w:t>
      </w:r>
      <w:r>
        <w:t xml:space="preserve"> best-</w:t>
      </w:r>
      <w:r w:rsidRPr="00520EC7">
        <w:t>practice approaches and technical as</w:t>
      </w:r>
      <w:r>
        <w:t>sumptions provided below are</w:t>
      </w:r>
      <w:r w:rsidRPr="00520EC7">
        <w:t xml:space="preserve"> not intended to provide a “recipe” for how EM&amp;V </w:t>
      </w:r>
      <w:r>
        <w:t xml:space="preserve">for </w:t>
      </w:r>
      <w:r w:rsidRPr="00520EC7">
        <w:t xml:space="preserve">should be implemented. Rather, </w:t>
      </w:r>
      <w:r>
        <w:t xml:space="preserve">this guidance </w:t>
      </w:r>
      <w:r w:rsidRPr="00520EC7">
        <w:t>is intended to inform decisions regarding certain EM&amp;V parameters that are fundamental to the programs described.</w:t>
      </w:r>
      <w:r w:rsidRPr="008D1E86">
        <w:t xml:space="preserve"> </w:t>
      </w:r>
      <w:r w:rsidR="00014201" w:rsidRPr="00520EC7">
        <w:t>EE provider</w:t>
      </w:r>
      <w:r w:rsidR="002F1FB4">
        <w:t xml:space="preserve">s can </w:t>
      </w:r>
      <w:r>
        <w:t xml:space="preserve">apply the </w:t>
      </w:r>
      <w:r w:rsidR="00014201" w:rsidRPr="00520EC7">
        <w:t xml:space="preserve">approaches and assumptions </w:t>
      </w:r>
      <w:r w:rsidR="00D60ABE">
        <w:t xml:space="preserve">in Section </w:t>
      </w:r>
      <w:r w:rsidR="00D834BF">
        <w:t xml:space="preserve">3 </w:t>
      </w:r>
      <w:r w:rsidR="00014201" w:rsidRPr="00520EC7">
        <w:t>as they prepare EM&amp;V plans for the specific program and project categories addressed.</w:t>
      </w:r>
      <w:r w:rsidR="00662050">
        <w:rPr>
          <w:rStyle w:val="FootnoteReference"/>
        </w:rPr>
        <w:footnoteReference w:id="45"/>
      </w:r>
      <w:r w:rsidR="00014201">
        <w:t xml:space="preserve"> As above, this section </w:t>
      </w:r>
      <w:r w:rsidR="005C67CB" w:rsidRPr="00520EC7">
        <w:t xml:space="preserve">leverages </w:t>
      </w:r>
      <w:r w:rsidR="00014201">
        <w:t xml:space="preserve">and is consistent with prevailing </w:t>
      </w:r>
      <w:r w:rsidR="005C67CB" w:rsidRPr="00520EC7">
        <w:t>industry best practices and</w:t>
      </w:r>
      <w:r w:rsidR="000E37C0">
        <w:t xml:space="preserve"> assumptions</w:t>
      </w:r>
      <w:r w:rsidR="002A195D">
        <w:t xml:space="preserve"> currently being applied by </w:t>
      </w:r>
      <w:r w:rsidR="00621C98" w:rsidRPr="008D1E86">
        <w:rPr>
          <w:rFonts w:asciiTheme="majorHAnsi" w:hAnsiTheme="majorHAnsi"/>
        </w:rPr>
        <w:t xml:space="preserve">state </w:t>
      </w:r>
      <w:r w:rsidR="000C7313">
        <w:rPr>
          <w:rFonts w:asciiTheme="majorHAnsi" w:hAnsiTheme="majorHAnsi"/>
        </w:rPr>
        <w:t>PUCs a</w:t>
      </w:r>
      <w:r w:rsidR="00621C98" w:rsidRPr="008D1E86">
        <w:rPr>
          <w:rFonts w:asciiTheme="majorHAnsi" w:hAnsiTheme="majorHAnsi"/>
        </w:rPr>
        <w:t xml:space="preserve">nd other </w:t>
      </w:r>
      <w:r w:rsidR="000C7313">
        <w:rPr>
          <w:rFonts w:asciiTheme="majorHAnsi" w:hAnsiTheme="majorHAnsi"/>
        </w:rPr>
        <w:t xml:space="preserve">oversight and sponsoring </w:t>
      </w:r>
      <w:r w:rsidR="00621C98" w:rsidRPr="008D1E86">
        <w:rPr>
          <w:rFonts w:asciiTheme="majorHAnsi" w:hAnsiTheme="majorHAnsi"/>
        </w:rPr>
        <w:t>entities.</w:t>
      </w:r>
      <w:r w:rsidR="001A5A18">
        <w:rPr>
          <w:rFonts w:asciiTheme="majorHAnsi" w:hAnsiTheme="majorHAnsi"/>
        </w:rPr>
        <w:t xml:space="preserve"> </w:t>
      </w:r>
      <w:r w:rsidR="00D60ABE">
        <w:rPr>
          <w:rFonts w:asciiTheme="majorHAnsi" w:hAnsiTheme="majorHAnsi"/>
        </w:rPr>
        <w:t xml:space="preserve">It applies only to rate-based state plans that allow the use of EE </w:t>
      </w:r>
      <w:r w:rsidR="00D60ABE" w:rsidRPr="00520EC7">
        <w:t xml:space="preserve">to </w:t>
      </w:r>
      <w:r w:rsidR="00D60ABE">
        <w:t xml:space="preserve">generate ERCs or </w:t>
      </w:r>
      <w:r w:rsidR="00D60ABE" w:rsidRPr="00520EC7">
        <w:t>adjust an emission rate</w:t>
      </w:r>
      <w:r w:rsidR="00D60ABE">
        <w:t xml:space="preserve"> to comply with the emission guidelines.</w:t>
      </w:r>
      <w:r w:rsidR="001A5A18">
        <w:t xml:space="preserve"> </w:t>
      </w:r>
    </w:p>
    <w:p w14:paraId="0F44084B" w14:textId="6EAD356B" w:rsidR="005C67CB" w:rsidRPr="00487D80" w:rsidRDefault="005C67CB" w:rsidP="00AB6C96">
      <w:pPr>
        <w:pStyle w:val="BodyText"/>
        <w:widowControl/>
        <w:rPr>
          <w:rFonts w:asciiTheme="majorHAnsi" w:hAnsiTheme="majorHAnsi"/>
        </w:rPr>
      </w:pPr>
      <w:r w:rsidRPr="00520EC7">
        <w:t xml:space="preserve">The </w:t>
      </w:r>
      <w:r w:rsidR="00D83871">
        <w:t xml:space="preserve">specific categories of </w:t>
      </w:r>
      <w:r w:rsidR="00A50F3E">
        <w:t xml:space="preserve">demand-side EE </w:t>
      </w:r>
      <w:r w:rsidRPr="00520EC7">
        <w:t xml:space="preserve">covered </w:t>
      </w:r>
      <w:r w:rsidR="00D94765">
        <w:t xml:space="preserve">in this section </w:t>
      </w:r>
      <w:r w:rsidRPr="00520EC7">
        <w:t>include:</w:t>
      </w:r>
    </w:p>
    <w:p w14:paraId="3FFED068" w14:textId="647E22A4" w:rsidR="005C67CB" w:rsidRPr="00520EC7" w:rsidRDefault="009A488E" w:rsidP="00AB6C96">
      <w:pPr>
        <w:pStyle w:val="BulletLevel1"/>
      </w:pPr>
      <w:r>
        <w:t>Utility and publicly administered EE</w:t>
      </w:r>
      <w:r w:rsidR="005C67CB" w:rsidRPr="00520EC7">
        <w:t xml:space="preserve"> programs</w:t>
      </w:r>
    </w:p>
    <w:p w14:paraId="2D8DF13C" w14:textId="77777777" w:rsidR="005C67CB" w:rsidRPr="00520EC7" w:rsidRDefault="005C67CB" w:rsidP="00AB6C96">
      <w:pPr>
        <w:pStyle w:val="BulletLevel1"/>
      </w:pPr>
      <w:r w:rsidRPr="00520EC7">
        <w:t xml:space="preserve">Project-based </w:t>
      </w:r>
      <w:r w:rsidR="00CD0912">
        <w:t>EE</w:t>
      </w:r>
      <w:r w:rsidRPr="00520EC7">
        <w:t xml:space="preserve"> (evaluated site-by-site) </w:t>
      </w:r>
    </w:p>
    <w:p w14:paraId="396C6144" w14:textId="77777777" w:rsidR="005C67CB" w:rsidRPr="00520EC7" w:rsidRDefault="005C67CB" w:rsidP="00AB6C96">
      <w:pPr>
        <w:pStyle w:val="BulletLevel1"/>
      </w:pPr>
      <w:r w:rsidRPr="00520EC7">
        <w:t>State and local government building energy code and compliance programs</w:t>
      </w:r>
    </w:p>
    <w:p w14:paraId="0DDC38B6" w14:textId="77777777" w:rsidR="0000190D" w:rsidRDefault="005C67CB" w:rsidP="0000190D">
      <w:pPr>
        <w:pStyle w:val="BulletLevel1"/>
      </w:pPr>
      <w:r w:rsidRPr="00520EC7">
        <w:t xml:space="preserve">State and local government </w:t>
      </w:r>
      <w:r w:rsidR="00C65406">
        <w:t xml:space="preserve">incremental </w:t>
      </w:r>
      <w:r w:rsidRPr="00520EC7">
        <w:t xml:space="preserve">product </w:t>
      </w:r>
      <w:r w:rsidR="00C65406">
        <w:t xml:space="preserve">energy </w:t>
      </w:r>
      <w:r w:rsidRPr="00520EC7">
        <w:t>standards</w:t>
      </w:r>
    </w:p>
    <w:p w14:paraId="54784AC6" w14:textId="4BBE7439" w:rsidR="0000190D" w:rsidRPr="002E6CC3" w:rsidRDefault="0000190D" w:rsidP="0000190D">
      <w:pPr>
        <w:pStyle w:val="BodyText"/>
        <w:widowControl/>
      </w:pPr>
      <w:r>
        <w:t>By providing this additional guidance</w:t>
      </w:r>
      <w:r w:rsidR="00E87884">
        <w:t xml:space="preserve"> on these categories</w:t>
      </w:r>
      <w:r>
        <w:t xml:space="preserve">, </w:t>
      </w:r>
      <w:r w:rsidR="00E87884">
        <w:t>the EPA is in no</w:t>
      </w:r>
      <w:r w:rsidR="009A488E">
        <w:t>t</w:t>
      </w:r>
      <w:r w:rsidR="00E87884">
        <w:t xml:space="preserve"> </w:t>
      </w:r>
      <w:r>
        <w:t>inten</w:t>
      </w:r>
      <w:r w:rsidR="00E87884">
        <w:t>ding</w:t>
      </w:r>
      <w:r>
        <w:t xml:space="preserve"> to</w:t>
      </w:r>
      <w:r w:rsidR="00E87884">
        <w:t xml:space="preserve"> limit </w:t>
      </w:r>
      <w:r>
        <w:t>the EE activities that states may implement.</w:t>
      </w:r>
      <w:r w:rsidR="006B5FAC">
        <w:t xml:space="preserve"> </w:t>
      </w:r>
      <w:r w:rsidR="009A488E">
        <w:t xml:space="preserve">Rather, </w:t>
      </w:r>
      <w:r w:rsidR="009A488E" w:rsidRPr="009A488E">
        <w:t xml:space="preserve">the EPA is proposing that any demand-side EE program, project, or measure that results in </w:t>
      </w:r>
      <w:proofErr w:type="spellStart"/>
      <w:r w:rsidR="009A488E" w:rsidRPr="009A488E">
        <w:t>MWh</w:t>
      </w:r>
      <w:proofErr w:type="spellEnd"/>
      <w:r w:rsidR="009A488E" w:rsidRPr="009A488E">
        <w:t xml:space="preserve"> savings may be potentially eligible under th</w:t>
      </w:r>
      <w:r w:rsidR="009A488E">
        <w:t>e</w:t>
      </w:r>
      <w:r w:rsidR="009A488E" w:rsidRPr="009A488E">
        <w:t xml:space="preserve"> proposed model rule, provided that </w:t>
      </w:r>
      <w:r w:rsidR="009A488E">
        <w:t xml:space="preserve">it </w:t>
      </w:r>
      <w:r w:rsidR="009A488E" w:rsidRPr="009A488E">
        <w:t>meet</w:t>
      </w:r>
      <w:r w:rsidR="009A488E">
        <w:t>s</w:t>
      </w:r>
      <w:r w:rsidR="009A488E" w:rsidRPr="009A488E">
        <w:t xml:space="preserve"> the presumptively approvable provisions for eligibility described in section IV.C.3 of th</w:t>
      </w:r>
      <w:r w:rsidR="009A488E">
        <w:t xml:space="preserve">e </w:t>
      </w:r>
      <w:r w:rsidR="009A488E" w:rsidRPr="002E6CC3">
        <w:t>model rule preamble, and that supporting EM&amp;V is rigorous, transparent, credible, complete and fulfills the requirements provided in the emission guidelines and the state plan.</w:t>
      </w:r>
    </w:p>
    <w:p w14:paraId="25D971A9" w14:textId="4AAD95BB" w:rsidR="00F82B6A" w:rsidRPr="002E6CC3" w:rsidRDefault="00F82B6A" w:rsidP="00AB6C96">
      <w:pPr>
        <w:pStyle w:val="Heading2"/>
      </w:pPr>
      <w:bookmarkStart w:id="411" w:name="_Toc423539689"/>
      <w:bookmarkStart w:id="412" w:name="_Toc423540084"/>
      <w:bookmarkStart w:id="413" w:name="_Toc423437671"/>
      <w:bookmarkStart w:id="414" w:name="_Toc423447714"/>
      <w:bookmarkStart w:id="415" w:name="_Toc423447872"/>
      <w:bookmarkStart w:id="416" w:name="_Toc423447989"/>
      <w:bookmarkStart w:id="417" w:name="_Toc423535549"/>
      <w:bookmarkStart w:id="418" w:name="_Toc423539690"/>
      <w:bookmarkStart w:id="419" w:name="_Toc423540085"/>
      <w:bookmarkStart w:id="420" w:name="_Toc426044662"/>
      <w:bookmarkEnd w:id="411"/>
      <w:bookmarkEnd w:id="412"/>
      <w:bookmarkEnd w:id="413"/>
      <w:bookmarkEnd w:id="414"/>
      <w:bookmarkEnd w:id="415"/>
      <w:bookmarkEnd w:id="416"/>
      <w:bookmarkEnd w:id="417"/>
      <w:bookmarkEnd w:id="418"/>
      <w:bookmarkEnd w:id="419"/>
      <w:r w:rsidRPr="002E6CC3">
        <w:rPr>
          <w:rFonts w:eastAsiaTheme="minorEastAsia"/>
        </w:rPr>
        <w:t xml:space="preserve">Demand-Side </w:t>
      </w:r>
      <w:r w:rsidR="002E6CC3" w:rsidRPr="002E6CC3">
        <w:rPr>
          <w:rFonts w:eastAsiaTheme="minorEastAsia"/>
        </w:rPr>
        <w:t xml:space="preserve">EE </w:t>
      </w:r>
      <w:r w:rsidRPr="002E6CC3">
        <w:rPr>
          <w:rFonts w:eastAsiaTheme="minorEastAsia"/>
        </w:rPr>
        <w:t>Programs</w:t>
      </w:r>
      <w:bookmarkEnd w:id="420"/>
    </w:p>
    <w:p w14:paraId="21EA312B" w14:textId="77777777" w:rsidR="0083194C" w:rsidRPr="003F6B6D" w:rsidRDefault="00D74630" w:rsidP="00AB6C96">
      <w:pPr>
        <w:pStyle w:val="Heading3"/>
      </w:pPr>
      <w:bookmarkStart w:id="421" w:name="_Toc422306777"/>
      <w:bookmarkStart w:id="422" w:name="_Toc422307014"/>
      <w:bookmarkStart w:id="423" w:name="_Toc422307155"/>
      <w:bookmarkStart w:id="424" w:name="_Toc422307287"/>
      <w:bookmarkStart w:id="425" w:name="_Toc422311392"/>
      <w:bookmarkStart w:id="426" w:name="_Toc422311526"/>
      <w:bookmarkStart w:id="427" w:name="_Toc422316750"/>
      <w:bookmarkStart w:id="428" w:name="_Toc422316889"/>
      <w:bookmarkStart w:id="429" w:name="_Toc422317029"/>
      <w:bookmarkStart w:id="430" w:name="_Toc423437673"/>
      <w:bookmarkStart w:id="431" w:name="_Toc423447716"/>
      <w:bookmarkStart w:id="432" w:name="_Toc423447874"/>
      <w:bookmarkStart w:id="433" w:name="_Toc423447991"/>
      <w:bookmarkStart w:id="434" w:name="_Toc423535551"/>
      <w:bookmarkStart w:id="435" w:name="_Toc423539692"/>
      <w:bookmarkStart w:id="436" w:name="_Toc423540087"/>
      <w:bookmarkStart w:id="437" w:name="_Toc426044663"/>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5F633A">
        <w:rPr>
          <w:rFonts w:eastAsiaTheme="majorEastAsia"/>
        </w:rPr>
        <w:t>Program Description</w:t>
      </w:r>
      <w:bookmarkEnd w:id="437"/>
    </w:p>
    <w:p w14:paraId="306D111E" w14:textId="32DFF1D5" w:rsidR="004F346E" w:rsidRPr="00016441" w:rsidRDefault="004F346E" w:rsidP="00AB6C96">
      <w:pPr>
        <w:pStyle w:val="BodyText"/>
        <w:widowControl/>
      </w:pPr>
      <w:r>
        <w:t>D</w:t>
      </w:r>
      <w:r w:rsidR="002E6CC3">
        <w:t>emand-side EE programs</w:t>
      </w:r>
      <w:r>
        <w:t xml:space="preserve"> refer to a wide range of activities to support the efficient usage of electricity.</w:t>
      </w:r>
      <w:r w:rsidR="007B6120">
        <w:t xml:space="preserve"> </w:t>
      </w:r>
      <w:r>
        <w:t xml:space="preserve">These activities may be funded from different sources through different mechanisms and be </w:t>
      </w:r>
      <w:r>
        <w:lastRenderedPageBreak/>
        <w:t>administered by various entities, including investor-owned utilities</w:t>
      </w:r>
      <w:r w:rsidR="00BE0016">
        <w:t xml:space="preserve"> (IOU)</w:t>
      </w:r>
      <w:r>
        <w:t xml:space="preserve">, </w:t>
      </w:r>
      <w:r w:rsidR="00FA2B10">
        <w:t xml:space="preserve">public utilities, </w:t>
      </w:r>
      <w:r w:rsidR="00EC6835">
        <w:t>state</w:t>
      </w:r>
      <w:r>
        <w:t xml:space="preserve"> </w:t>
      </w:r>
      <w:r w:rsidR="00BE0016">
        <w:t xml:space="preserve">energy offices (SEO), and </w:t>
      </w:r>
      <w:r>
        <w:t xml:space="preserve">non-profit entities sanctioned by </w:t>
      </w:r>
      <w:r w:rsidR="00EC6835">
        <w:t>state</w:t>
      </w:r>
      <w:r>
        <w:t xml:space="preserve"> legislators a</w:t>
      </w:r>
      <w:r w:rsidR="002F5ECA">
        <w:t xml:space="preserve">nd public utility commissions. </w:t>
      </w:r>
      <w:r w:rsidR="000E37C0">
        <w:t xml:space="preserve">Examples of </w:t>
      </w:r>
      <w:r w:rsidR="002E6CC3">
        <w:t>d</w:t>
      </w:r>
      <w:r w:rsidR="002E6CC3">
        <w:t>emand-side EE program</w:t>
      </w:r>
      <w:r w:rsidR="002E6CC3">
        <w:t>s</w:t>
      </w:r>
      <w:r>
        <w:t xml:space="preserve"> </w:t>
      </w:r>
      <w:r w:rsidR="002F5ECA">
        <w:t xml:space="preserve">range from </w:t>
      </w:r>
      <w:r>
        <w:t>marketing, education, and outreach to the direct installation of efficient appliances in low-income households and complex industrial upgrades. In 2013, utility EE programs alone were reported to have gross incremental</w:t>
      </w:r>
      <w:r>
        <w:rPr>
          <w:rStyle w:val="FootnoteReference"/>
          <w:rFonts w:asciiTheme="majorHAnsi" w:hAnsiTheme="majorHAnsi"/>
          <w:szCs w:val="22"/>
        </w:rPr>
        <w:footnoteReference w:id="46"/>
      </w:r>
      <w:r>
        <w:t xml:space="preserve"> electricity savings of approximately 24,000 </w:t>
      </w:r>
      <w:proofErr w:type="spellStart"/>
      <w:r>
        <w:t>GWh</w:t>
      </w:r>
      <w:proofErr w:type="spellEnd"/>
      <w:r>
        <w:rPr>
          <w:rStyle w:val="FootnoteReference"/>
          <w:rFonts w:asciiTheme="majorHAnsi" w:hAnsiTheme="majorHAnsi"/>
          <w:szCs w:val="22"/>
        </w:rPr>
        <w:footnoteReference w:id="47"/>
      </w:r>
      <w:r>
        <w:t xml:space="preserve"> with an estimated 16 million metric tons of avoided CO</w:t>
      </w:r>
      <w:r w:rsidRPr="009F2C48">
        <w:rPr>
          <w:vertAlign w:val="subscript"/>
        </w:rPr>
        <w:t>2</w:t>
      </w:r>
      <w:r>
        <w:rPr>
          <w:vertAlign w:val="subscript"/>
        </w:rPr>
        <w:t>.</w:t>
      </w:r>
    </w:p>
    <w:p w14:paraId="63368536" w14:textId="324FE2EF" w:rsidR="004F346E" w:rsidRPr="008D6F4E" w:rsidRDefault="002E6CC3" w:rsidP="00AB6C96">
      <w:pPr>
        <w:pStyle w:val="BodyText"/>
        <w:widowControl/>
      </w:pPr>
      <w:r>
        <w:t>Demand-side EE programs</w:t>
      </w:r>
      <w:r w:rsidR="004F346E" w:rsidRPr="008D6F4E">
        <w:t xml:space="preserve"> can include</w:t>
      </w:r>
      <w:r w:rsidR="004F346E" w:rsidRPr="00404966">
        <w:t xml:space="preserve"> </w:t>
      </w:r>
      <w:r w:rsidR="004F346E">
        <w:t>direct</w:t>
      </w:r>
      <w:r w:rsidR="004F346E" w:rsidRPr="008D6F4E">
        <w:t xml:space="preserve"> and indirect action programs:</w:t>
      </w:r>
    </w:p>
    <w:p w14:paraId="3DA1563D" w14:textId="77777777" w:rsidR="004F346E" w:rsidRDefault="004F346E" w:rsidP="00AB6C96">
      <w:pPr>
        <w:pStyle w:val="BulletLevel1"/>
      </w:pPr>
      <w:r w:rsidRPr="008D6F4E">
        <w:rPr>
          <w:i/>
        </w:rPr>
        <w:t>Direct action programs</w:t>
      </w:r>
      <w:r w:rsidRPr="008D6F4E">
        <w:t xml:space="preserve"> are those that result in the </w:t>
      </w:r>
      <w:r w:rsidRPr="00080689">
        <w:rPr>
          <w:i/>
        </w:rPr>
        <w:t>direct, explicit implementation</w:t>
      </w:r>
      <w:r w:rsidRPr="008D6F4E">
        <w:t xml:space="preserve"> at end-use energy consumer facilities, of installed pieces of equipment or systems</w:t>
      </w:r>
      <w:r>
        <w:t>,</w:t>
      </w:r>
      <w:r w:rsidRPr="008D6F4E">
        <w:t xml:space="preserve"> </w:t>
      </w:r>
      <w:r>
        <w:t xml:space="preserve">as well as </w:t>
      </w:r>
      <w:r w:rsidRPr="008D6F4E">
        <w:t xml:space="preserve">modifications of equipment, systems, or operations that reduce the amount of </w:t>
      </w:r>
      <w:r>
        <w:t xml:space="preserve">electricity </w:t>
      </w:r>
      <w:r w:rsidRPr="008D6F4E">
        <w:t>that would otherwise have been used to deliver an equivalent or improved level of end-use service.</w:t>
      </w:r>
      <w:r>
        <w:t xml:space="preserve"> </w:t>
      </w:r>
      <w:r w:rsidRPr="008D6F4E">
        <w:t>Examples</w:t>
      </w:r>
      <w:r>
        <w:t xml:space="preserve"> include: </w:t>
      </w:r>
    </w:p>
    <w:p w14:paraId="71763208" w14:textId="77777777" w:rsidR="004F346E" w:rsidRDefault="00B25563" w:rsidP="00AB6C96">
      <w:pPr>
        <w:pStyle w:val="BulletLevel2"/>
      </w:pPr>
      <w:r w:rsidRPr="008D6F4E">
        <w:t xml:space="preserve">Consumer product rebates, </w:t>
      </w:r>
    </w:p>
    <w:p w14:paraId="5E6A4EDF" w14:textId="77777777" w:rsidR="004F346E" w:rsidRDefault="00B25563" w:rsidP="00AB6C96">
      <w:pPr>
        <w:pStyle w:val="BulletLevel2"/>
      </w:pPr>
      <w:r w:rsidRPr="008D6F4E">
        <w:t>Prescriptive and custom HVAC and light</w:t>
      </w:r>
      <w:r w:rsidR="004F346E" w:rsidRPr="008D6F4E">
        <w:t xml:space="preserve">ing retrofit incentives, </w:t>
      </w:r>
    </w:p>
    <w:p w14:paraId="2F60A57E" w14:textId="77777777" w:rsidR="004F346E" w:rsidRDefault="00B25563" w:rsidP="00AB6C96">
      <w:pPr>
        <w:pStyle w:val="BulletLevel2"/>
      </w:pPr>
      <w:r w:rsidRPr="008D6F4E">
        <w:t xml:space="preserve">Incentives or technical assistance for construction of new energy efficient buildings, </w:t>
      </w:r>
    </w:p>
    <w:p w14:paraId="29B99C81" w14:textId="77777777" w:rsidR="004F346E" w:rsidRDefault="00B25563" w:rsidP="00AB6C96">
      <w:pPr>
        <w:pStyle w:val="BulletLevel2"/>
      </w:pPr>
      <w:r w:rsidRPr="008D6F4E">
        <w:t>Whole</w:t>
      </w:r>
      <w:r w:rsidR="004F346E">
        <w:t>-</w:t>
      </w:r>
      <w:r w:rsidR="004F346E" w:rsidRPr="008D6F4E">
        <w:t xml:space="preserve">house retrofits, </w:t>
      </w:r>
    </w:p>
    <w:p w14:paraId="50B5D083" w14:textId="77777777" w:rsidR="004F346E" w:rsidRDefault="00B25563" w:rsidP="00AB6C96">
      <w:pPr>
        <w:pStyle w:val="BulletLevel2"/>
      </w:pPr>
      <w:r w:rsidRPr="008D6F4E">
        <w:t>Street lighting</w:t>
      </w:r>
      <w:r w:rsidR="004F346E">
        <w:t xml:space="preserve"> retrofits</w:t>
      </w:r>
      <w:r w:rsidR="004F346E" w:rsidRPr="008D6F4E">
        <w:t xml:space="preserve">, </w:t>
      </w:r>
    </w:p>
    <w:p w14:paraId="6A0D0EA6" w14:textId="77777777" w:rsidR="004F346E" w:rsidRDefault="00B25563" w:rsidP="00AB6C96">
      <w:pPr>
        <w:pStyle w:val="BulletLevel2"/>
      </w:pPr>
      <w:r w:rsidRPr="008D6F4E">
        <w:t xml:space="preserve">Commissioning and </w:t>
      </w:r>
      <w:proofErr w:type="spellStart"/>
      <w:r w:rsidRPr="008D6F4E">
        <w:t>retrocommissioning</w:t>
      </w:r>
      <w:proofErr w:type="spellEnd"/>
      <w:r w:rsidRPr="008D6F4E">
        <w:t xml:space="preserve">, and </w:t>
      </w:r>
    </w:p>
    <w:p w14:paraId="11F7E713" w14:textId="77777777" w:rsidR="004F346E" w:rsidRPr="00CB6FBA" w:rsidRDefault="004F346E" w:rsidP="00AB6C96">
      <w:pPr>
        <w:pStyle w:val="BulletLevel1"/>
        <w:rPr>
          <w:rFonts w:eastAsiaTheme="minorHAnsi"/>
        </w:rPr>
      </w:pPr>
      <w:r w:rsidRPr="008D6F4E">
        <w:rPr>
          <w:i/>
        </w:rPr>
        <w:t>Indirect action programs</w:t>
      </w:r>
      <w:r w:rsidRPr="008D6F4E">
        <w:t xml:space="preserve"> are those intended to </w:t>
      </w:r>
      <w:r w:rsidRPr="00080689">
        <w:rPr>
          <w:i/>
        </w:rPr>
        <w:t>facilitate or indirectly result in implementation</w:t>
      </w:r>
      <w:r w:rsidRPr="008D6F4E">
        <w:t>, at end-use energy consumer facilities, of installed pieces of equipment or systems</w:t>
      </w:r>
      <w:r>
        <w:t xml:space="preserve">, as well as </w:t>
      </w:r>
      <w:r w:rsidRPr="008D6F4E">
        <w:t xml:space="preserve">modifications of equipment, systems, or operations that reduce the amount of </w:t>
      </w:r>
      <w:r>
        <w:t xml:space="preserve">electricity </w:t>
      </w:r>
      <w:r w:rsidRPr="008D6F4E">
        <w:t>that would otherwise have been used to deliver an equivalent or improved level of end-use service.</w:t>
      </w:r>
      <w:r>
        <w:t xml:space="preserve"> </w:t>
      </w:r>
      <w:r w:rsidRPr="008D6F4E">
        <w:t>Examples</w:t>
      </w:r>
      <w:r>
        <w:t xml:space="preserve"> include</w:t>
      </w:r>
      <w:r w:rsidRPr="008D6F4E">
        <w:t xml:space="preserve">: </w:t>
      </w:r>
    </w:p>
    <w:p w14:paraId="6E688589" w14:textId="77777777" w:rsidR="004F346E" w:rsidRPr="00CB6FBA" w:rsidRDefault="00B25563" w:rsidP="00AB6C96">
      <w:pPr>
        <w:pStyle w:val="BulletLevel2"/>
        <w:rPr>
          <w:rFonts w:eastAsiaTheme="minorHAnsi"/>
        </w:rPr>
      </w:pPr>
      <w:r w:rsidRPr="008D6F4E">
        <w:t xml:space="preserve">Consumer behavior programs, </w:t>
      </w:r>
    </w:p>
    <w:p w14:paraId="3AD7DD78" w14:textId="77777777" w:rsidR="004F346E" w:rsidRPr="00CB6FBA" w:rsidRDefault="00B25563" w:rsidP="00AB6C96">
      <w:pPr>
        <w:pStyle w:val="BulletLevel2"/>
        <w:rPr>
          <w:rFonts w:eastAsiaTheme="minorHAnsi"/>
        </w:rPr>
      </w:pPr>
      <w:r w:rsidRPr="008D6F4E">
        <w:t>Marketing</w:t>
      </w:r>
      <w:r w:rsidR="004F346E" w:rsidRPr="008D6F4E">
        <w:t xml:space="preserve"> education and outreach programs, </w:t>
      </w:r>
    </w:p>
    <w:p w14:paraId="06581273" w14:textId="77777777" w:rsidR="004F346E" w:rsidRPr="00CB6FBA" w:rsidRDefault="00B25563" w:rsidP="00AB6C96">
      <w:pPr>
        <w:pStyle w:val="BulletLevel2"/>
        <w:rPr>
          <w:rFonts w:eastAsiaTheme="minorHAnsi"/>
        </w:rPr>
      </w:pPr>
      <w:r w:rsidRPr="008D6F4E">
        <w:t>Workforc</w:t>
      </w:r>
      <w:r w:rsidR="004F346E" w:rsidRPr="008D6F4E">
        <w:t xml:space="preserve">e education and training programs, </w:t>
      </w:r>
    </w:p>
    <w:p w14:paraId="7BC86EAF" w14:textId="77777777" w:rsidR="004F346E" w:rsidRPr="00CB6FBA" w:rsidRDefault="00B25563" w:rsidP="00AB6C96">
      <w:pPr>
        <w:pStyle w:val="BulletLevel2"/>
        <w:rPr>
          <w:rFonts w:eastAsiaTheme="minorHAnsi"/>
        </w:rPr>
      </w:pPr>
      <w:r w:rsidRPr="008D6F4E">
        <w:t>Financing programs</w:t>
      </w:r>
      <w:r w:rsidR="004F346E">
        <w:t>,</w:t>
      </w:r>
      <w:r w:rsidR="004F346E">
        <w:rPr>
          <w:rStyle w:val="FootnoteReference"/>
          <w:rFonts w:asciiTheme="majorHAnsi" w:hAnsiTheme="majorHAnsi"/>
          <w:szCs w:val="22"/>
        </w:rPr>
        <w:footnoteReference w:id="48"/>
      </w:r>
      <w:r w:rsidR="004F346E" w:rsidRPr="008D6F4E">
        <w:t xml:space="preserve"> and </w:t>
      </w:r>
    </w:p>
    <w:p w14:paraId="534B3685" w14:textId="77777777" w:rsidR="004F346E" w:rsidRPr="008D6F4E" w:rsidRDefault="00B25563" w:rsidP="00AB6C96">
      <w:pPr>
        <w:pStyle w:val="BulletLevel2"/>
        <w:rPr>
          <w:rFonts w:eastAsiaTheme="minorHAnsi"/>
        </w:rPr>
      </w:pPr>
      <w:r w:rsidRPr="008D6F4E">
        <w:t>En</w:t>
      </w:r>
      <w:r w:rsidR="004F346E" w:rsidRPr="008D6F4E">
        <w:t xml:space="preserve">ergy audit programs. </w:t>
      </w:r>
    </w:p>
    <w:p w14:paraId="07776B67" w14:textId="77777777" w:rsidR="00C67308" w:rsidRDefault="00976211" w:rsidP="00AB6C96">
      <w:pPr>
        <w:pStyle w:val="BodyText"/>
        <w:widowControl/>
        <w:rPr>
          <w:rStyle w:val="Heading4Char"/>
          <w:rFonts w:asciiTheme="minorHAnsi" w:hAnsiTheme="minorHAnsi" w:cs="Times New Roman"/>
          <w:color w:val="auto"/>
        </w:rPr>
      </w:pPr>
      <w:r>
        <w:t>Note that both direct and indirect p</w:t>
      </w:r>
      <w:r w:rsidRPr="008D6F4E">
        <w:t xml:space="preserve">rograms </w:t>
      </w:r>
      <w:r>
        <w:t xml:space="preserve">can be specifically </w:t>
      </w:r>
      <w:r w:rsidRPr="008D6F4E">
        <w:t>directed to</w:t>
      </w:r>
      <w:r>
        <w:t>ward</w:t>
      </w:r>
      <w:r w:rsidRPr="008D6F4E">
        <w:t xml:space="preserve"> low</w:t>
      </w:r>
      <w:r>
        <w:t>-</w:t>
      </w:r>
      <w:r w:rsidRPr="008D6F4E">
        <w:t>income households and disadvantaged communities.</w:t>
      </w:r>
      <w:r>
        <w:t xml:space="preserve"> </w:t>
      </w:r>
      <w:r w:rsidR="004F346E">
        <w:t>S</w:t>
      </w:r>
      <w:r w:rsidR="004F346E" w:rsidRPr="008D6F4E">
        <w:t xml:space="preserve">pecific EM&amp;V </w:t>
      </w:r>
      <w:r w:rsidR="004F346E">
        <w:t xml:space="preserve">guidance is </w:t>
      </w:r>
      <w:r w:rsidR="004F346E" w:rsidRPr="008D6F4E">
        <w:t>organized by whether the subject program relies on direct or indirect actions</w:t>
      </w:r>
      <w:r w:rsidR="004F346E">
        <w:t xml:space="preserve">, </w:t>
      </w:r>
      <w:r w:rsidR="004F346E" w:rsidRPr="008D6F4E">
        <w:t>as described above.</w:t>
      </w:r>
    </w:p>
    <w:p w14:paraId="0B601527" w14:textId="5B8B3C19" w:rsidR="004F346E" w:rsidRPr="005F633A" w:rsidRDefault="00BE1C38" w:rsidP="00AB6C96">
      <w:pPr>
        <w:pStyle w:val="Heading3"/>
        <w:keepNext w:val="0"/>
        <w:numPr>
          <w:ilvl w:val="2"/>
          <w:numId w:val="69"/>
        </w:numPr>
        <w:ind w:left="0"/>
        <w:rPr>
          <w:rStyle w:val="Heading4Char"/>
          <w:rFonts w:ascii="Calibri" w:hAnsi="Calibri" w:cs="Times New Roman"/>
          <w:b/>
          <w:bCs w:val="0"/>
          <w:i w:val="0"/>
          <w:iCs w:val="0"/>
          <w:color w:val="auto"/>
        </w:rPr>
      </w:pPr>
      <w:bookmarkStart w:id="438" w:name="_Toc422306792"/>
      <w:bookmarkStart w:id="439" w:name="_Toc422307029"/>
      <w:bookmarkStart w:id="440" w:name="_Toc422307170"/>
      <w:bookmarkStart w:id="441" w:name="_Toc422307302"/>
      <w:bookmarkStart w:id="442" w:name="_Toc422311407"/>
      <w:bookmarkStart w:id="443" w:name="_Toc422311541"/>
      <w:bookmarkStart w:id="444" w:name="_Toc422316765"/>
      <w:bookmarkStart w:id="445" w:name="_Toc422316904"/>
      <w:bookmarkStart w:id="446" w:name="_Toc422317044"/>
      <w:bookmarkStart w:id="447" w:name="_Toc423437688"/>
      <w:bookmarkStart w:id="448" w:name="_Toc423447731"/>
      <w:bookmarkStart w:id="449" w:name="_Toc423447889"/>
      <w:bookmarkStart w:id="450" w:name="_Toc423448005"/>
      <w:bookmarkStart w:id="451" w:name="_Toc423535565"/>
      <w:bookmarkStart w:id="452" w:name="_Toc426044664"/>
      <w:bookmarkStart w:id="453" w:name="_Toc422317031"/>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lastRenderedPageBreak/>
        <w:t xml:space="preserve">Applicable Guidance </w:t>
      </w:r>
      <w:r w:rsidR="004F346E">
        <w:rPr>
          <w:rStyle w:val="Heading4Char"/>
          <w:rFonts w:ascii="Calibri" w:hAnsi="Calibri" w:cs="Times New Roman"/>
          <w:b/>
          <w:bCs w:val="0"/>
          <w:i w:val="0"/>
          <w:iCs w:val="0"/>
          <w:color w:val="auto"/>
        </w:rPr>
        <w:t>–</w:t>
      </w:r>
      <w:r w:rsidR="004F346E" w:rsidRPr="00660250">
        <w:rPr>
          <w:rStyle w:val="Heading4Char"/>
          <w:rFonts w:ascii="Calibri" w:hAnsi="Calibri" w:cs="Times New Roman"/>
          <w:b/>
          <w:bCs w:val="0"/>
          <w:i w:val="0"/>
          <w:iCs w:val="0"/>
          <w:color w:val="auto"/>
        </w:rPr>
        <w:t xml:space="preserve"> Direct Ac</w:t>
      </w:r>
      <w:r w:rsidR="004F346E" w:rsidRPr="005E6C4D">
        <w:rPr>
          <w:rStyle w:val="Heading4Char"/>
          <w:rFonts w:ascii="Calibri" w:hAnsi="Calibri" w:cs="Times New Roman"/>
          <w:b/>
          <w:bCs w:val="0"/>
          <w:i w:val="0"/>
          <w:iCs w:val="0"/>
          <w:color w:val="auto"/>
        </w:rPr>
        <w:t xml:space="preserve">tion </w:t>
      </w:r>
      <w:bookmarkEnd w:id="452"/>
      <w:r w:rsidR="002E6CC3">
        <w:t>EE P</w:t>
      </w:r>
      <w:r w:rsidR="002E6CC3">
        <w:t>rograms</w:t>
      </w:r>
      <w:r w:rsidR="004F346E" w:rsidRPr="005E6C4D">
        <w:rPr>
          <w:rStyle w:val="Heading4Char"/>
          <w:rFonts w:ascii="Calibri" w:hAnsi="Calibri" w:cs="Times New Roman"/>
          <w:b/>
          <w:bCs w:val="0"/>
          <w:i w:val="0"/>
          <w:iCs w:val="0"/>
          <w:color w:val="auto"/>
        </w:rPr>
        <w:t xml:space="preserve"> </w:t>
      </w:r>
      <w:bookmarkEnd w:id="453"/>
    </w:p>
    <w:p w14:paraId="00183EA1" w14:textId="1E6AA13D" w:rsidR="004F346E" w:rsidRPr="00EC199A" w:rsidRDefault="004F346E" w:rsidP="00AB6C96">
      <w:pPr>
        <w:pStyle w:val="BodyText"/>
        <w:widowControl/>
      </w:pPr>
      <w:r w:rsidRPr="00EC199A">
        <w:t xml:space="preserve">The following EM&amp;V guidance reflects industry best practices and technical assumptions, and is intended to assist EE providers as they implement </w:t>
      </w:r>
      <w:r>
        <w:t>d</w:t>
      </w:r>
      <w:r w:rsidRPr="00EC199A">
        <w:t xml:space="preserve">irect </w:t>
      </w:r>
      <w:r>
        <w:t>a</w:t>
      </w:r>
      <w:r w:rsidRPr="00EC199A">
        <w:t xml:space="preserve">ction </w:t>
      </w:r>
      <w:r w:rsidR="002E6CC3">
        <w:t>EE programs</w:t>
      </w:r>
      <w:r w:rsidRPr="00EC199A">
        <w:t>.</w:t>
      </w:r>
    </w:p>
    <w:p w14:paraId="3D276893" w14:textId="77A32EDC" w:rsidR="004F346E" w:rsidRPr="00FB1276" w:rsidRDefault="004F346E" w:rsidP="00AB6C96">
      <w:pPr>
        <w:pStyle w:val="BulletLevel1"/>
      </w:pPr>
      <w:r w:rsidRPr="009F2C48">
        <w:rPr>
          <w:b/>
        </w:rPr>
        <w:t xml:space="preserve">EM&amp;V </w:t>
      </w:r>
      <w:r>
        <w:rPr>
          <w:b/>
        </w:rPr>
        <w:t>methods</w:t>
      </w:r>
      <w:r w:rsidRPr="00CD5A50">
        <w:t xml:space="preserve"> </w:t>
      </w:r>
      <w:r>
        <w:t>–</w:t>
      </w:r>
      <w:r w:rsidRPr="00CD5A50">
        <w:t xml:space="preserve"> </w:t>
      </w:r>
      <w:r>
        <w:t xml:space="preserve">The savings from direct action </w:t>
      </w:r>
      <w:r w:rsidR="00896011">
        <w:t>EE programs</w:t>
      </w:r>
      <w:r>
        <w:t xml:space="preserve"> can</w:t>
      </w:r>
      <w:r w:rsidRPr="00CD5A50">
        <w:t xml:space="preserve"> be </w:t>
      </w:r>
      <w:r>
        <w:t>determined</w:t>
      </w:r>
      <w:r w:rsidRPr="00CD5A50">
        <w:t xml:space="preserve"> using the full suite of </w:t>
      </w:r>
      <w:r>
        <w:t>EM&amp;V methods</w:t>
      </w:r>
      <w:r w:rsidRPr="00CD5A50">
        <w:t xml:space="preserve"> defined in </w:t>
      </w:r>
      <w:r w:rsidRPr="00F75E11">
        <w:t xml:space="preserve">Section </w:t>
      </w:r>
      <w:r w:rsidR="00BE1BB1">
        <w:t>2</w:t>
      </w:r>
      <w:r w:rsidRPr="00F75E11">
        <w:t xml:space="preserve">.1: </w:t>
      </w:r>
      <w:r w:rsidR="00894C60">
        <w:rPr>
          <w:i/>
        </w:rPr>
        <w:t>PB-MV</w:t>
      </w:r>
      <w:r w:rsidRPr="00F75E11">
        <w:t xml:space="preserve">, </w:t>
      </w:r>
      <w:r w:rsidRPr="00CB6FBA">
        <w:rPr>
          <w:i/>
        </w:rPr>
        <w:t>comparison group approaches</w:t>
      </w:r>
      <w:r w:rsidR="00C86DF5">
        <w:rPr>
          <w:i/>
        </w:rPr>
        <w:t>,</w:t>
      </w:r>
      <w:r w:rsidRPr="00F75E11">
        <w:t xml:space="preserve"> and </w:t>
      </w:r>
      <w:r w:rsidRPr="00CB6FBA">
        <w:rPr>
          <w:i/>
        </w:rPr>
        <w:t>deemed savings</w:t>
      </w:r>
      <w:r w:rsidRPr="00F75E11">
        <w:t xml:space="preserve">. </w:t>
      </w:r>
    </w:p>
    <w:p w14:paraId="2BE3B130" w14:textId="6D7366CE" w:rsidR="004F346E" w:rsidRPr="00EB2D4E" w:rsidRDefault="004F346E" w:rsidP="00AB6C96">
      <w:pPr>
        <w:pStyle w:val="BulletLevel1"/>
        <w:rPr>
          <w:rFonts w:asciiTheme="majorHAnsi" w:hAnsiTheme="majorHAnsi"/>
          <w:szCs w:val="22"/>
        </w:rPr>
      </w:pPr>
      <w:r w:rsidRPr="00EB6086">
        <w:rPr>
          <w:b/>
        </w:rPr>
        <w:t>Baselines</w:t>
      </w:r>
      <w:r>
        <w:t xml:space="preserve"> – </w:t>
      </w:r>
      <w:r w:rsidR="00580CC3">
        <w:t>CPB</w:t>
      </w:r>
      <w:r>
        <w:t xml:space="preserve">s are applicable for direct action </w:t>
      </w:r>
      <w:r w:rsidR="00896011">
        <w:t>EE programs</w:t>
      </w:r>
      <w:r>
        <w:t xml:space="preserve"> and should be defined consistently within a given action, as </w:t>
      </w:r>
      <w:r w:rsidRPr="00EB2D4E">
        <w:t xml:space="preserve">described in Section </w:t>
      </w:r>
      <w:r w:rsidR="00BE1BB1">
        <w:t>2</w:t>
      </w:r>
      <w:r w:rsidRPr="00EB2D4E">
        <w:t xml:space="preserve">.2. </w:t>
      </w:r>
    </w:p>
    <w:p w14:paraId="5911411F" w14:textId="77777777" w:rsidR="004F346E" w:rsidRDefault="004F346E" w:rsidP="00AB6C96">
      <w:pPr>
        <w:pStyle w:val="BulletLevel1"/>
      </w:pPr>
      <w:r w:rsidRPr="009F2C48">
        <w:rPr>
          <w:b/>
        </w:rPr>
        <w:t xml:space="preserve">Independent </w:t>
      </w:r>
      <w:r>
        <w:rPr>
          <w:b/>
        </w:rPr>
        <w:t>factors</w:t>
      </w:r>
      <w:r>
        <w:t xml:space="preserve"> – To ensure that electricity s</w:t>
      </w:r>
      <w:r w:rsidRPr="00253CC7">
        <w:t xml:space="preserve">avings </w:t>
      </w:r>
      <w:r>
        <w:t xml:space="preserve">are </w:t>
      </w:r>
      <w:r w:rsidRPr="00253CC7">
        <w:t xml:space="preserve">calculated </w:t>
      </w:r>
      <w:r>
        <w:t xml:space="preserve">consistently, </w:t>
      </w:r>
      <w:r w:rsidRPr="00A16B11">
        <w:t>each</w:t>
      </w:r>
      <w:r w:rsidRPr="00CC1EAE">
        <w:t xml:space="preserve"> project in a single program should </w:t>
      </w:r>
      <w:r>
        <w:t xml:space="preserve">apply the </w:t>
      </w:r>
      <w:r w:rsidRPr="00CC1EAE">
        <w:t xml:space="preserve">same approach to </w:t>
      </w:r>
      <w:r>
        <w:t xml:space="preserve">independent factor conditions, as described in Section </w:t>
      </w:r>
      <w:r w:rsidR="00BE1BB1">
        <w:t>2</w:t>
      </w:r>
      <w:r>
        <w:t>.5.</w:t>
      </w:r>
      <w:r w:rsidRPr="00253CC7">
        <w:t xml:space="preserve"> </w:t>
      </w:r>
    </w:p>
    <w:p w14:paraId="05FC356E" w14:textId="77777777" w:rsidR="004F346E" w:rsidRPr="008105EF" w:rsidRDefault="00B63F1F" w:rsidP="00AB6C96">
      <w:pPr>
        <w:pStyle w:val="BulletLevel1"/>
        <w:rPr>
          <w:b/>
        </w:rPr>
      </w:pPr>
      <w:r>
        <w:rPr>
          <w:b/>
        </w:rPr>
        <w:t>Accuracy</w:t>
      </w:r>
      <w:r w:rsidR="004F346E" w:rsidRPr="00B87528">
        <w:rPr>
          <w:b/>
        </w:rPr>
        <w:t xml:space="preserve"> and reliability of reported savings values </w:t>
      </w:r>
      <w:r w:rsidR="004F346E" w:rsidRPr="009F2C48">
        <w:t>–</w:t>
      </w:r>
      <w:r w:rsidR="004F346E">
        <w:t xml:space="preserve"> As indicated in </w:t>
      </w:r>
      <w:r w:rsidR="004F346E" w:rsidRPr="00EB2D4E">
        <w:t xml:space="preserve">Section </w:t>
      </w:r>
      <w:r w:rsidR="00BE1BB1">
        <w:t>2</w:t>
      </w:r>
      <w:r w:rsidR="004F346E" w:rsidRPr="00EB2D4E">
        <w:t>.6</w:t>
      </w:r>
      <w:r w:rsidR="004F346E">
        <w:t xml:space="preserve">, reported </w:t>
      </w:r>
      <w:r w:rsidR="00922EC0">
        <w:t xml:space="preserve">accuracy </w:t>
      </w:r>
      <w:r w:rsidR="004F346E">
        <w:t xml:space="preserve">and reliability should address both random error, quantified in terms of statistical precision, and systematic bias, addressed via discussion of potential sources of bias and their likely effects. </w:t>
      </w:r>
    </w:p>
    <w:p w14:paraId="379A7768" w14:textId="77777777" w:rsidR="004F346E" w:rsidRPr="007B0115" w:rsidRDefault="004F346E" w:rsidP="00AB6C96">
      <w:pPr>
        <w:pStyle w:val="BulletLevel1"/>
        <w:rPr>
          <w:rFonts w:asciiTheme="majorHAnsi" w:hAnsiTheme="majorHAnsi"/>
          <w:szCs w:val="22"/>
        </w:rPr>
      </w:pPr>
      <w:r w:rsidRPr="00EB2D4E">
        <w:rPr>
          <w:b/>
        </w:rPr>
        <w:t>Evaluation cycles</w:t>
      </w:r>
      <w:r w:rsidRPr="00EB2D4E">
        <w:t xml:space="preserve"> – Section </w:t>
      </w:r>
      <w:r w:rsidR="00BE1BB1">
        <w:t>2</w:t>
      </w:r>
      <w:r w:rsidRPr="00EB2D4E">
        <w:t>.9 describes the requirements, including frequency,</w:t>
      </w:r>
      <w:r w:rsidRPr="007B0115">
        <w:t xml:space="preserve"> for verification to confirm measures were installed and are operating to produce savings, and for quantification of savings</w:t>
      </w:r>
      <w:r w:rsidRPr="00EB2D4E">
        <w:t>, and for their combination via comparison group methods..</w:t>
      </w:r>
      <w:r w:rsidR="007B6120">
        <w:t xml:space="preserve"> </w:t>
      </w:r>
    </w:p>
    <w:p w14:paraId="3BE39E55" w14:textId="77777777" w:rsidR="004F346E" w:rsidRPr="001D3B41" w:rsidRDefault="00867725" w:rsidP="00AB6C96">
      <w:pPr>
        <w:pStyle w:val="BulletLevel1"/>
      </w:pPr>
      <w:r>
        <w:rPr>
          <w:b/>
        </w:rPr>
        <w:t>Avoiding</w:t>
      </w:r>
      <w:r w:rsidR="004F346E" w:rsidRPr="009F2C48">
        <w:rPr>
          <w:b/>
        </w:rPr>
        <w:t xml:space="preserve"> of double counting</w:t>
      </w:r>
      <w:r w:rsidR="004F346E">
        <w:rPr>
          <w:b/>
        </w:rPr>
        <w:t xml:space="preserve"> – </w:t>
      </w:r>
      <w:r w:rsidR="004F346E" w:rsidRPr="00EB2D4E">
        <w:t xml:space="preserve">Procedures to avoid double counting are described in Section </w:t>
      </w:r>
      <w:r w:rsidR="00BE1BB1">
        <w:t>2</w:t>
      </w:r>
      <w:r w:rsidR="004F346E" w:rsidRPr="00EB2D4E">
        <w:t>.7.</w:t>
      </w:r>
    </w:p>
    <w:p w14:paraId="263DFCA5" w14:textId="59C99C59" w:rsidR="004F346E" w:rsidRPr="00A01AFE" w:rsidRDefault="0040560D" w:rsidP="00AB6C96">
      <w:pPr>
        <w:pStyle w:val="Heading3"/>
        <w:numPr>
          <w:ilvl w:val="2"/>
          <w:numId w:val="69"/>
        </w:numPr>
        <w:ind w:left="0"/>
      </w:pPr>
      <w:bookmarkStart w:id="454" w:name="_Toc426044665"/>
      <w:bookmarkStart w:id="455" w:name="_Toc422317032"/>
      <w:r>
        <w:t xml:space="preserve">Applicable Guidance </w:t>
      </w:r>
      <w:r w:rsidR="004F346E" w:rsidRPr="00433A66">
        <w:t xml:space="preserve">– Indirect Action </w:t>
      </w:r>
      <w:r w:rsidR="002E6CC3">
        <w:t>EE Programs</w:t>
      </w:r>
      <w:bookmarkEnd w:id="454"/>
      <w:r w:rsidR="004F346E">
        <w:t xml:space="preserve"> </w:t>
      </w:r>
      <w:bookmarkEnd w:id="455"/>
    </w:p>
    <w:p w14:paraId="331210A5" w14:textId="15533173" w:rsidR="004F346E" w:rsidRDefault="004F346E" w:rsidP="00AB6C96">
      <w:pPr>
        <w:pStyle w:val="BulletLevel1"/>
      </w:pPr>
      <w:r w:rsidRPr="00A257E1">
        <w:rPr>
          <w:b/>
        </w:rPr>
        <w:t xml:space="preserve">EM&amp;V methods </w:t>
      </w:r>
      <w:r w:rsidRPr="00A257E1">
        <w:t xml:space="preserve">– </w:t>
      </w:r>
      <w:r>
        <w:t xml:space="preserve">The EM&amp;V methods that can be used for indirect action </w:t>
      </w:r>
      <w:r w:rsidR="002E6CC3">
        <w:t>EE programs</w:t>
      </w:r>
      <w:r>
        <w:t xml:space="preserve"> depend on the program structure and delivery, as follows.</w:t>
      </w:r>
    </w:p>
    <w:p w14:paraId="57156773" w14:textId="77777777" w:rsidR="004F346E" w:rsidRDefault="004F346E" w:rsidP="00AB6C96">
      <w:pPr>
        <w:pStyle w:val="BulletLevel2"/>
      </w:pPr>
      <w:r>
        <w:t xml:space="preserve">Comparison group methods using RCT approaches are widely considered </w:t>
      </w:r>
      <w:r w:rsidR="007B541A">
        <w:t>reliable</w:t>
      </w:r>
      <w:r>
        <w:t xml:space="preserve"> and rigorous, and are encouraged by </w:t>
      </w:r>
      <w:r w:rsidR="00922EC0">
        <w:t xml:space="preserve">the </w:t>
      </w:r>
      <w:r w:rsidR="005A36F0">
        <w:t>EPA</w:t>
      </w:r>
      <w:r>
        <w:t>.</w:t>
      </w:r>
      <w:r w:rsidR="007B6120">
        <w:t xml:space="preserve"> </w:t>
      </w:r>
      <w:r>
        <w:t>However, use of these methods require that the program can be delivered to certain customers while excluding others from its influence, with random assignment of who receives the program incentive and who does not.</w:t>
      </w:r>
      <w:r w:rsidR="007B6120">
        <w:t xml:space="preserve"> </w:t>
      </w:r>
    </w:p>
    <w:p w14:paraId="6B2E9AFD" w14:textId="77777777" w:rsidR="004F346E" w:rsidRDefault="004F346E" w:rsidP="00AB6C96">
      <w:pPr>
        <w:pStyle w:val="BulletLevel2"/>
      </w:pPr>
      <w:r>
        <w:t xml:space="preserve">When </w:t>
      </w:r>
      <w:r w:rsidR="00414953">
        <w:t>including</w:t>
      </w:r>
      <w:r>
        <w:t xml:space="preserve"> comparison group methods </w:t>
      </w:r>
      <w:r w:rsidR="00414953">
        <w:t>in</w:t>
      </w:r>
      <w:r>
        <w:t xml:space="preserve"> </w:t>
      </w:r>
      <w:r w:rsidR="00414953">
        <w:t xml:space="preserve">a </w:t>
      </w:r>
      <w:r>
        <w:t>quasi-experimental design, the EE provider should justify the validity of the quasi-experimental comparison group as a representation of the participants in the absence of the EE intervention. The approach to ensuring validity should also be described.</w:t>
      </w:r>
      <w:r w:rsidR="007E27E4">
        <w:t xml:space="preserve"> </w:t>
      </w:r>
    </w:p>
    <w:p w14:paraId="75FCD18B" w14:textId="77777777" w:rsidR="004F346E" w:rsidRPr="007B20F2" w:rsidRDefault="004F346E" w:rsidP="00AB6C96">
      <w:pPr>
        <w:pStyle w:val="BulletLevel1"/>
        <w:rPr>
          <w:b/>
        </w:rPr>
      </w:pPr>
      <w:r w:rsidRPr="007B20F2">
        <w:rPr>
          <w:b/>
        </w:rPr>
        <w:t xml:space="preserve">Baselines </w:t>
      </w:r>
    </w:p>
    <w:p w14:paraId="7EFFC897" w14:textId="77777777" w:rsidR="004F346E" w:rsidRDefault="004F346E" w:rsidP="00AB6C96">
      <w:pPr>
        <w:pStyle w:val="BulletLevel2"/>
      </w:pPr>
      <w:r>
        <w:t xml:space="preserve">When direct comparison is used to quantify savings using comparison group methods, the </w:t>
      </w:r>
      <w:proofErr w:type="spellStart"/>
      <w:r>
        <w:t>MWh</w:t>
      </w:r>
      <w:proofErr w:type="spellEnd"/>
      <w:r>
        <w:t xml:space="preserve"> usage of </w:t>
      </w:r>
      <w:r w:rsidRPr="005F633A">
        <w:t xml:space="preserve">the </w:t>
      </w:r>
      <w:r w:rsidR="00C86DF5">
        <w:t>comparison</w:t>
      </w:r>
      <w:r w:rsidRPr="00A314CA">
        <w:t xml:space="preserve"> group of non-participants </w:t>
      </w:r>
      <w:r w:rsidRPr="005F633A">
        <w:t>defines the equivalent of a CPB.</w:t>
      </w:r>
      <w:r w:rsidR="007B6120">
        <w:t xml:space="preserve"> </w:t>
      </w:r>
      <w:r>
        <w:t>When regression methods are used, the regression estimate that corresponds to the participant condition absent the EE intervention represents the CPB.</w:t>
      </w:r>
      <w:r w:rsidR="007B6120">
        <w:t xml:space="preserve"> </w:t>
      </w:r>
      <w:r>
        <w:t>Direct comparison is commonly used with RCT, while regression is more commonly used with quasi-experimental design, but either analysis method may be used with either design.</w:t>
      </w:r>
      <w:r w:rsidR="007B6120">
        <w:t xml:space="preserve"> </w:t>
      </w:r>
      <w:r>
        <w:t xml:space="preserve">The rationale for the design and analysis method used </w:t>
      </w:r>
      <w:r w:rsidRPr="00EB2D4E">
        <w:t>should</w:t>
      </w:r>
      <w:r>
        <w:t xml:space="preserve"> be </w:t>
      </w:r>
      <w:r w:rsidR="00904515">
        <w:t>specified in the EM&amp;V plan</w:t>
      </w:r>
      <w:r>
        <w:t>.</w:t>
      </w:r>
      <w:r w:rsidR="007B6120">
        <w:t xml:space="preserve"> </w:t>
      </w:r>
      <w:r>
        <w:t xml:space="preserve">In particular, the </w:t>
      </w:r>
      <w:r w:rsidR="00904515">
        <w:t>plan</w:t>
      </w:r>
      <w:r>
        <w:t xml:space="preserve"> </w:t>
      </w:r>
      <w:r w:rsidRPr="00EB2D4E">
        <w:t>should</w:t>
      </w:r>
      <w:r>
        <w:t xml:space="preserve"> describe how the specified comparison group</w:t>
      </w:r>
      <w:r w:rsidR="00AC2481">
        <w:t xml:space="preserve"> </w:t>
      </w:r>
      <w:r>
        <w:t>represents the participants absent the intervention.</w:t>
      </w:r>
      <w:r w:rsidRPr="005F633A">
        <w:t xml:space="preserve"> </w:t>
      </w:r>
    </w:p>
    <w:p w14:paraId="35BF35E1" w14:textId="77777777" w:rsidR="004F346E" w:rsidRDefault="004F346E" w:rsidP="00AB6C96">
      <w:pPr>
        <w:pStyle w:val="BulletLevel2"/>
      </w:pPr>
      <w:r>
        <w:t>When deemed or M&amp;V methods are used, baselines for indirect action programs should be defined consistently with baselines for similar EE actions in direct programs.</w:t>
      </w:r>
    </w:p>
    <w:p w14:paraId="0382B74F" w14:textId="77777777" w:rsidR="004F346E" w:rsidRPr="00EB6086" w:rsidRDefault="004F346E" w:rsidP="00AB6C96">
      <w:pPr>
        <w:pStyle w:val="BulletLevel1"/>
        <w:rPr>
          <w:rFonts w:asciiTheme="majorHAnsi" w:hAnsiTheme="majorHAnsi" w:cstheme="majorHAnsi"/>
          <w:szCs w:val="22"/>
        </w:rPr>
      </w:pPr>
      <w:r w:rsidRPr="00EB6086">
        <w:rPr>
          <w:b/>
        </w:rPr>
        <w:lastRenderedPageBreak/>
        <w:t xml:space="preserve">Independent </w:t>
      </w:r>
      <w:r>
        <w:rPr>
          <w:b/>
        </w:rPr>
        <w:t>factors</w:t>
      </w:r>
      <w:r>
        <w:t xml:space="preserve"> – Comparison group methods can be applied to produce savings for the particular conditions of the consumption data included in the analysis, or on a weather-normalized basis.</w:t>
      </w:r>
      <w:r w:rsidR="007B6120">
        <w:t xml:space="preserve"> </w:t>
      </w:r>
    </w:p>
    <w:p w14:paraId="48BEF883" w14:textId="77777777" w:rsidR="004F346E" w:rsidRPr="00EB6086" w:rsidRDefault="005A557D" w:rsidP="00AB6C96">
      <w:pPr>
        <w:pStyle w:val="BulletLevel1"/>
        <w:rPr>
          <w:rFonts w:asciiTheme="majorHAnsi" w:hAnsiTheme="majorHAnsi"/>
          <w:b/>
          <w:szCs w:val="22"/>
        </w:rPr>
      </w:pPr>
      <w:r>
        <w:rPr>
          <w:b/>
        </w:rPr>
        <w:t xml:space="preserve">Accuracy </w:t>
      </w:r>
      <w:r w:rsidR="004F346E" w:rsidRPr="00EB6086">
        <w:rPr>
          <w:b/>
        </w:rPr>
        <w:t xml:space="preserve">and reliability of reported savings values </w:t>
      </w:r>
      <w:r w:rsidR="004F346E" w:rsidRPr="00CC1EAE">
        <w:t>–</w:t>
      </w:r>
      <w:r w:rsidR="004F346E" w:rsidRPr="007E127B">
        <w:t xml:space="preserve"> </w:t>
      </w:r>
      <w:r w:rsidR="004F346E">
        <w:t xml:space="preserve">As indicated in </w:t>
      </w:r>
      <w:r w:rsidR="004F346E" w:rsidRPr="00EB2D4E">
        <w:t xml:space="preserve">Section </w:t>
      </w:r>
      <w:r w:rsidR="00BE1BB1">
        <w:t>2</w:t>
      </w:r>
      <w:r w:rsidR="004F346E" w:rsidRPr="00EB2D4E">
        <w:t>.6</w:t>
      </w:r>
      <w:r w:rsidR="004F346E">
        <w:t xml:space="preserve">, reported </w:t>
      </w:r>
      <w:r>
        <w:t xml:space="preserve">accuracy </w:t>
      </w:r>
      <w:r w:rsidR="004F346E">
        <w:t>and reliability should address both random error, quantified in terms of statistical precision, and systematic bias, addressed via discussion of potential sources of</w:t>
      </w:r>
      <w:r w:rsidR="00D83871">
        <w:t xml:space="preserve"> bias and their likely effects.</w:t>
      </w:r>
    </w:p>
    <w:p w14:paraId="615096E0" w14:textId="77777777" w:rsidR="00C2150C" w:rsidRDefault="004F346E" w:rsidP="00AB6C96">
      <w:pPr>
        <w:pStyle w:val="BulletLevel1"/>
      </w:pPr>
      <w:r w:rsidRPr="00C10AF3">
        <w:rPr>
          <w:b/>
        </w:rPr>
        <w:t>Evaluation cycles</w:t>
      </w:r>
      <w:r w:rsidRPr="006D78FC">
        <w:t xml:space="preserve"> –</w:t>
      </w:r>
      <w:r w:rsidR="00D83871">
        <w:t xml:space="preserve"> </w:t>
      </w:r>
      <w:r w:rsidRPr="00EB2D4E">
        <w:t xml:space="preserve">Section </w:t>
      </w:r>
      <w:r w:rsidR="00BE1BB1">
        <w:t>2</w:t>
      </w:r>
      <w:r w:rsidRPr="00EB2D4E">
        <w:t>.9 describes the requirements, including frequency, for verification to confirm measures were installed and are operating to produce savings, and for quantification of savings, and for their combination via comparison group methods.</w:t>
      </w:r>
      <w:r w:rsidRPr="006D78FC" w:rsidDel="00C10AF3">
        <w:t xml:space="preserve"> </w:t>
      </w:r>
    </w:p>
    <w:p w14:paraId="6BB8EEAE" w14:textId="67AD8744" w:rsidR="004F346E" w:rsidRDefault="004F346E" w:rsidP="00AB6C96">
      <w:pPr>
        <w:pStyle w:val="BulletLevel1"/>
      </w:pPr>
      <w:r w:rsidRPr="00C2150C">
        <w:rPr>
          <w:b/>
        </w:rPr>
        <w:t>Verification</w:t>
      </w:r>
      <w:r w:rsidRPr="00FC34EB">
        <w:t xml:space="preserve"> – </w:t>
      </w:r>
      <w:r>
        <w:t xml:space="preserve">When comparison groups are the basis for </w:t>
      </w:r>
      <w:r w:rsidR="00AA1B0D">
        <w:t>PB-MV</w:t>
      </w:r>
      <w:r w:rsidR="00580CC3">
        <w:t>,</w:t>
      </w:r>
      <w:r>
        <w:t xml:space="preserve"> verification for indirect </w:t>
      </w:r>
      <w:r w:rsidR="002E6CC3">
        <w:t>action EE programs</w:t>
      </w:r>
      <w:r>
        <w:t xml:space="preserve"> is the same as for direct </w:t>
      </w:r>
      <w:r w:rsidR="002E6CC3">
        <w:t>action EE programs</w:t>
      </w:r>
      <w:r>
        <w:t>.</w:t>
      </w:r>
      <w:r w:rsidR="007B6120">
        <w:t xml:space="preserve"> </w:t>
      </w:r>
      <w:r>
        <w:t>That is, the savings determined by the comparison group analysis implicitly reflects both what actions were taken and quantification of associated savings.</w:t>
      </w:r>
    </w:p>
    <w:p w14:paraId="30A98B36" w14:textId="77777777" w:rsidR="004F346E" w:rsidRPr="00FC34EB" w:rsidRDefault="0040560D" w:rsidP="0040560D">
      <w:pPr>
        <w:pStyle w:val="BulletLevel2"/>
      </w:pPr>
      <w:r>
        <w:t xml:space="preserve">The following alternate </w:t>
      </w:r>
      <w:r w:rsidR="004F346E" w:rsidRPr="00FC34EB">
        <w:t>verification</w:t>
      </w:r>
      <w:r>
        <w:t xml:space="preserve"> approaches</w:t>
      </w:r>
      <w:r w:rsidR="004F346E" w:rsidRPr="00FC34EB">
        <w:t>, however, are suggested for comparison and control group approaches:</w:t>
      </w:r>
    </w:p>
    <w:p w14:paraId="734E7626" w14:textId="77777777" w:rsidR="004F346E" w:rsidRPr="00FC34EB" w:rsidRDefault="004F346E" w:rsidP="0040560D">
      <w:pPr>
        <w:pStyle w:val="BulletLevel3"/>
      </w:pPr>
      <w:r w:rsidRPr="00FC34EB">
        <w:t xml:space="preserve">With </w:t>
      </w:r>
      <w:r w:rsidRPr="00FC34EB">
        <w:rPr>
          <w:i/>
        </w:rPr>
        <w:t xml:space="preserve">quasi-experimental </w:t>
      </w:r>
      <w:r w:rsidRPr="00703A52">
        <w:t>approaches</w:t>
      </w:r>
      <w:r w:rsidRPr="00FC34EB">
        <w:rPr>
          <w:i/>
        </w:rPr>
        <w:t>,</w:t>
      </w:r>
      <w:r w:rsidRPr="00FC34EB">
        <w:t xml:space="preserve"> verification activities </w:t>
      </w:r>
      <w:r w:rsidR="00976211">
        <w:t xml:space="preserve">should be undertaken </w:t>
      </w:r>
      <w:r w:rsidRPr="00FC34EB">
        <w:t xml:space="preserve">to ensure </w:t>
      </w:r>
      <w:r w:rsidR="00904515">
        <w:t xml:space="preserve">the actual installation </w:t>
      </w:r>
      <w:r w:rsidRPr="00FC34EB">
        <w:t xml:space="preserve">of </w:t>
      </w:r>
      <w:r w:rsidR="00904515">
        <w:t>measures</w:t>
      </w:r>
      <w:r w:rsidRPr="00FC34EB">
        <w:t>. Examples include confirming the number of students that took a training class and the curriculum of the class for a workforce education and training program, or confirming that marketing or educational program materials were actually distributed for a marketing program. The recommended frequency of verification depends on program specific considerations, but should be between once per year and no less than every 3 years.</w:t>
      </w:r>
    </w:p>
    <w:p w14:paraId="24178059" w14:textId="77777777" w:rsidR="004F346E" w:rsidRDefault="004F346E" w:rsidP="0040560D">
      <w:pPr>
        <w:pStyle w:val="BulletLevel3"/>
      </w:pPr>
      <w:r w:rsidRPr="00FC34EB">
        <w:t xml:space="preserve">With </w:t>
      </w:r>
      <w:r w:rsidRPr="00FC34EB">
        <w:rPr>
          <w:i/>
        </w:rPr>
        <w:t>RCT control groups</w:t>
      </w:r>
      <w:r w:rsidRPr="00FC34EB">
        <w:t>, verification should confirm the proper (random) selection of treatment and control group members.</w:t>
      </w:r>
    </w:p>
    <w:p w14:paraId="34A3A994" w14:textId="77777777" w:rsidR="004F346E" w:rsidRPr="00EB6086" w:rsidRDefault="004F346E" w:rsidP="00AB6C96">
      <w:pPr>
        <w:pStyle w:val="BulletLevel1"/>
        <w:rPr>
          <w:rFonts w:asciiTheme="majorHAnsi" w:hAnsiTheme="majorHAnsi"/>
          <w:szCs w:val="22"/>
        </w:rPr>
      </w:pPr>
      <w:r w:rsidRPr="00EB6086">
        <w:rPr>
          <w:b/>
        </w:rPr>
        <w:t>Effective useful life and persistence of savings</w:t>
      </w:r>
      <w:r w:rsidRPr="00BB7E36">
        <w:t xml:space="preserve"> </w:t>
      </w:r>
      <w:r>
        <w:t>–</w:t>
      </w:r>
      <w:r w:rsidRPr="00BB7E36">
        <w:t xml:space="preserve"> With indirect action programs</w:t>
      </w:r>
      <w:r>
        <w:t xml:space="preserve"> using comparison group methods,</w:t>
      </w:r>
      <w:r w:rsidRPr="00BB7E36">
        <w:t xml:space="preserve"> the persistence of savings </w:t>
      </w:r>
      <w:r>
        <w:t xml:space="preserve">should be </w:t>
      </w:r>
      <w:r w:rsidRPr="00BB7E36">
        <w:t>determined each year (or as discussed above</w:t>
      </w:r>
      <w:r w:rsidRPr="00EB6086">
        <w:rPr>
          <w:sz w:val="24"/>
        </w:rPr>
        <w:t xml:space="preserve"> </w:t>
      </w:r>
      <w:r>
        <w:t>possibly every other or third year). Savings are simply quantified until they are shown to fall to a zero or near-zero. For deemed or M&amp;V methods, a value for the EUL of program savings should be quantified for that period.</w:t>
      </w:r>
    </w:p>
    <w:p w14:paraId="05AD650A" w14:textId="77777777" w:rsidR="004F346E" w:rsidRPr="007B0115" w:rsidRDefault="004F346E" w:rsidP="00AB6C96">
      <w:pPr>
        <w:pStyle w:val="BulletLevel1"/>
        <w:rPr>
          <w:rFonts w:asciiTheme="majorHAnsi" w:hAnsiTheme="majorHAnsi"/>
          <w:szCs w:val="22"/>
        </w:rPr>
      </w:pPr>
      <w:r w:rsidRPr="00CC1EAE">
        <w:rPr>
          <w:b/>
        </w:rPr>
        <w:t>Avoid</w:t>
      </w:r>
      <w:r w:rsidR="00867725">
        <w:rPr>
          <w:b/>
        </w:rPr>
        <w:t>ing</w:t>
      </w:r>
      <w:r w:rsidRPr="00CC1EAE">
        <w:rPr>
          <w:b/>
        </w:rPr>
        <w:t xml:space="preserve"> double counting</w:t>
      </w:r>
      <w:r>
        <w:rPr>
          <w:b/>
        </w:rPr>
        <w:t xml:space="preserve"> –</w:t>
      </w:r>
      <w:r w:rsidR="00D83871">
        <w:rPr>
          <w:b/>
        </w:rPr>
        <w:t xml:space="preserve"> </w:t>
      </w:r>
      <w:r w:rsidR="00692667">
        <w:rPr>
          <w:bCs/>
        </w:rPr>
        <w:t>Applicable p</w:t>
      </w:r>
      <w:r w:rsidRPr="00EB2D4E">
        <w:rPr>
          <w:bCs/>
        </w:rPr>
        <w:t xml:space="preserve">rocedures </w:t>
      </w:r>
      <w:r w:rsidR="00487D80">
        <w:rPr>
          <w:bCs/>
        </w:rPr>
        <w:t xml:space="preserve">for </w:t>
      </w:r>
      <w:r w:rsidRPr="00EB2D4E">
        <w:rPr>
          <w:bCs/>
        </w:rPr>
        <w:t>avoid</w:t>
      </w:r>
      <w:r w:rsidR="00487D80">
        <w:rPr>
          <w:bCs/>
        </w:rPr>
        <w:t>ing</w:t>
      </w:r>
      <w:r w:rsidRPr="00EB2D4E">
        <w:rPr>
          <w:bCs/>
        </w:rPr>
        <w:t xml:space="preserve"> double counting are described in Section </w:t>
      </w:r>
      <w:r w:rsidR="00BE1BB1">
        <w:rPr>
          <w:bCs/>
        </w:rPr>
        <w:t>2</w:t>
      </w:r>
      <w:r w:rsidRPr="00EB2D4E">
        <w:rPr>
          <w:bCs/>
        </w:rPr>
        <w:t>.7.</w:t>
      </w:r>
      <w:r w:rsidR="001D3B41" w:rsidRPr="001D3B41">
        <w:rPr>
          <w:noProof/>
        </w:rPr>
        <w:t xml:space="preserve"> </w:t>
      </w:r>
      <w:r w:rsidR="0087324C">
        <w:rPr>
          <w:noProof/>
        </w:rPr>
        <w:t>In addition, if an indirect action program is operated on the same participants for successive years, savings may be counted as a persistent effect of a prior year or as the current program effect, but not both simultaneously in the same year.</w:t>
      </w:r>
    </w:p>
    <w:p w14:paraId="6809F50A" w14:textId="77777777" w:rsidR="004F346E" w:rsidRPr="008D6F4E" w:rsidRDefault="004F346E" w:rsidP="00AB6C96">
      <w:pPr>
        <w:pStyle w:val="Heading2"/>
        <w:numPr>
          <w:ilvl w:val="1"/>
          <w:numId w:val="69"/>
        </w:numPr>
        <w:rPr>
          <w:rFonts w:eastAsiaTheme="minorEastAsia"/>
        </w:rPr>
      </w:pPr>
      <w:bookmarkStart w:id="456" w:name="_Toc422317033"/>
      <w:bookmarkStart w:id="457" w:name="_Toc426044666"/>
      <w:r w:rsidRPr="008D6F4E">
        <w:rPr>
          <w:rFonts w:eastAsiaTheme="minorEastAsia"/>
        </w:rPr>
        <w:t>Project-</w:t>
      </w:r>
      <w:r>
        <w:rPr>
          <w:rFonts w:eastAsiaTheme="minorEastAsia"/>
        </w:rPr>
        <w:t>B</w:t>
      </w:r>
      <w:r w:rsidRPr="008D6F4E">
        <w:rPr>
          <w:rFonts w:eastAsiaTheme="minorEastAsia"/>
        </w:rPr>
        <w:t>ased Energy Efficiency</w:t>
      </w:r>
      <w:bookmarkEnd w:id="456"/>
      <w:bookmarkEnd w:id="457"/>
    </w:p>
    <w:p w14:paraId="610A7A9D" w14:textId="77777777" w:rsidR="004F346E" w:rsidRPr="005F633A" w:rsidRDefault="004F346E" w:rsidP="00AB6C96">
      <w:pPr>
        <w:pStyle w:val="Heading3"/>
        <w:numPr>
          <w:ilvl w:val="2"/>
          <w:numId w:val="69"/>
        </w:numPr>
        <w:ind w:left="0"/>
        <w:rPr>
          <w:rStyle w:val="Heading4Char"/>
          <w:rFonts w:ascii="Calibri" w:hAnsi="Calibri" w:cs="Times New Roman"/>
          <w:b/>
          <w:bCs w:val="0"/>
          <w:i w:val="0"/>
          <w:iCs w:val="0"/>
          <w:color w:val="auto"/>
        </w:rPr>
      </w:pPr>
      <w:bookmarkStart w:id="458" w:name="_Toc422306782"/>
      <w:bookmarkStart w:id="459" w:name="_Toc422307019"/>
      <w:bookmarkStart w:id="460" w:name="_Toc422307160"/>
      <w:bookmarkStart w:id="461" w:name="_Toc422307292"/>
      <w:bookmarkStart w:id="462" w:name="_Toc422311397"/>
      <w:bookmarkStart w:id="463" w:name="_Toc422311531"/>
      <w:bookmarkStart w:id="464" w:name="_Toc422316755"/>
      <w:bookmarkStart w:id="465" w:name="_Toc422316894"/>
      <w:bookmarkStart w:id="466" w:name="_Toc422317034"/>
      <w:bookmarkStart w:id="467" w:name="_Toc422317035"/>
      <w:bookmarkStart w:id="468" w:name="_Toc426044667"/>
      <w:bookmarkEnd w:id="458"/>
      <w:bookmarkEnd w:id="459"/>
      <w:bookmarkEnd w:id="460"/>
      <w:bookmarkEnd w:id="461"/>
      <w:bookmarkEnd w:id="462"/>
      <w:bookmarkEnd w:id="463"/>
      <w:bookmarkEnd w:id="464"/>
      <w:bookmarkEnd w:id="465"/>
      <w:bookmarkEnd w:id="466"/>
      <w:r w:rsidRPr="005E6C4D">
        <w:rPr>
          <w:rStyle w:val="Heading4Char"/>
          <w:rFonts w:ascii="Calibri" w:hAnsi="Calibri" w:cs="Times New Roman"/>
          <w:b/>
          <w:bCs w:val="0"/>
          <w:i w:val="0"/>
          <w:iCs w:val="0"/>
          <w:color w:val="auto"/>
        </w:rPr>
        <w:t>Description</w:t>
      </w:r>
      <w:bookmarkEnd w:id="467"/>
      <w:bookmarkEnd w:id="468"/>
    </w:p>
    <w:p w14:paraId="6A0ECE25" w14:textId="77777777" w:rsidR="004F346E" w:rsidRPr="007B0115" w:rsidRDefault="004F346E" w:rsidP="00AB6C96">
      <w:pPr>
        <w:pStyle w:val="BodyText"/>
        <w:widowControl/>
        <w:rPr>
          <w:strike/>
        </w:rPr>
      </w:pPr>
      <w:r>
        <w:t xml:space="preserve">Project-based EE </w:t>
      </w:r>
      <w:r w:rsidRPr="008D6F4E">
        <w:t>involve</w:t>
      </w:r>
      <w:r>
        <w:t>s</w:t>
      </w:r>
      <w:r w:rsidRPr="008D6F4E">
        <w:t xml:space="preserve"> implementation of one or more </w:t>
      </w:r>
      <w:r>
        <w:t xml:space="preserve">EE </w:t>
      </w:r>
      <w:r w:rsidRPr="008D6F4E">
        <w:t>projects, retrofit or new construction, by private firms (includ</w:t>
      </w:r>
      <w:r>
        <w:t>ing</w:t>
      </w:r>
      <w:r w:rsidRPr="008D6F4E">
        <w:t xml:space="preserve"> ESCOs, contractors</w:t>
      </w:r>
      <w:r>
        <w:t>,</w:t>
      </w:r>
      <w:r w:rsidRPr="008D6F4E">
        <w:t xml:space="preserve"> or site owners/developers) at public or privately owned facilities</w:t>
      </w:r>
      <w:r>
        <w:t xml:space="preserve"> </w:t>
      </w:r>
      <w:r w:rsidRPr="008D6F4E">
        <w:t>in any market sector</w:t>
      </w:r>
      <w:r>
        <w:t xml:space="preserve"> (e.g., residential, multifamily, commercial)</w:t>
      </w:r>
      <w:r w:rsidRPr="008D6F4E">
        <w:t xml:space="preserve">. </w:t>
      </w:r>
      <w:r w:rsidRPr="00EB2D4E">
        <w:t>Project examples include retrofits at a school or university campus, retrofits of individua</w:t>
      </w:r>
      <w:r w:rsidRPr="007B0115">
        <w:t xml:space="preserve">l office or apartment buildings, and retrofits at industrial facilities; many projects are completed for the municipal, schools and hospitals </w:t>
      </w:r>
      <w:r w:rsidRPr="007B0115">
        <w:lastRenderedPageBreak/>
        <w:t>(MUSH) market, including water treatment plants.</w:t>
      </w:r>
      <w:r w:rsidR="001A5A18">
        <w:t xml:space="preserve"> </w:t>
      </w:r>
      <w:r w:rsidR="00922EC0">
        <w:t>This category can also include projects such as direct load control and EE projects at water treatment plants.</w:t>
      </w:r>
    </w:p>
    <w:p w14:paraId="55075DF9" w14:textId="15E0C20A" w:rsidR="004F346E" w:rsidRDefault="004F346E" w:rsidP="00AB6C96">
      <w:pPr>
        <w:pStyle w:val="BodyText"/>
        <w:widowControl/>
      </w:pPr>
      <w:r>
        <w:t>A d</w:t>
      </w:r>
      <w:r w:rsidRPr="008D6F4E">
        <w:t>istinguish</w:t>
      </w:r>
      <w:r>
        <w:t>ing</w:t>
      </w:r>
      <w:r w:rsidRPr="008D6F4E">
        <w:t xml:space="preserve"> </w:t>
      </w:r>
      <w:r>
        <w:t xml:space="preserve">characteristic of project-based EE is that it applies </w:t>
      </w:r>
      <w:r w:rsidR="00AA1B0D">
        <w:t>PB-MV</w:t>
      </w:r>
      <w:r>
        <w:t>,</w:t>
      </w:r>
      <w:r w:rsidRPr="008D6F4E">
        <w:t xml:space="preserve"> or</w:t>
      </w:r>
      <w:r>
        <w:t xml:space="preserve"> </w:t>
      </w:r>
      <w:r w:rsidRPr="008D6F4E">
        <w:t xml:space="preserve">measure-based deemed savings values, </w:t>
      </w:r>
      <w:r>
        <w:t xml:space="preserve">instead of </w:t>
      </w:r>
      <w:r w:rsidRPr="008D6F4E">
        <w:t>program</w:t>
      </w:r>
      <w:r>
        <w:t>-based EM&amp;V methods.</w:t>
      </w:r>
      <w:r w:rsidR="007B6120">
        <w:t xml:space="preserve"> </w:t>
      </w:r>
      <w:r w:rsidRPr="00EB2D4E">
        <w:t xml:space="preserve">That is, savings are </w:t>
      </w:r>
      <w:r w:rsidRPr="007B0115">
        <w:t>quantified for each project.</w:t>
      </w:r>
      <w:r w:rsidR="007B6120">
        <w:t xml:space="preserve"> </w:t>
      </w:r>
      <w:r w:rsidRPr="007B0115">
        <w:t>By contrast, program-level savings quantif</w:t>
      </w:r>
      <w:r w:rsidR="00487D80">
        <w:t xml:space="preserve">y and verify savings only for </w:t>
      </w:r>
      <w:r w:rsidRPr="007B0115">
        <w:t>a sample of projects</w:t>
      </w:r>
      <w:r w:rsidR="00487D80">
        <w:t xml:space="preserve"> (to represent all projects in the full program)</w:t>
      </w:r>
      <w:r w:rsidRPr="007B0115">
        <w:t xml:space="preserve">, or </w:t>
      </w:r>
      <w:r w:rsidR="00487D80">
        <w:t xml:space="preserve">by </w:t>
      </w:r>
      <w:r w:rsidRPr="007B0115">
        <w:t>conducting participant or market studies to determine factors that apply to the program as a whole</w:t>
      </w:r>
      <w:r w:rsidR="00A964D9">
        <w:t>.</w:t>
      </w:r>
      <w:r w:rsidRPr="007B0115">
        <w:rPr>
          <w:rStyle w:val="FootnoteReference"/>
          <w:rFonts w:asciiTheme="majorHAnsi" w:hAnsiTheme="majorHAnsi"/>
          <w:szCs w:val="22"/>
        </w:rPr>
        <w:footnoteReference w:id="49"/>
      </w:r>
      <w:r w:rsidRPr="007B0115">
        <w:t xml:space="preserve"> </w:t>
      </w:r>
    </w:p>
    <w:p w14:paraId="16ACEEF4" w14:textId="668AAC34" w:rsidR="004F346E" w:rsidRPr="008D6F4E" w:rsidRDefault="004F346E" w:rsidP="00AB6C96">
      <w:pPr>
        <w:pStyle w:val="BodyText"/>
        <w:widowControl/>
      </w:pPr>
      <w:r>
        <w:t xml:space="preserve">During 2012, ESCO projects were estimated to have achieved gross incremental electricity savings of about 2,500 </w:t>
      </w:r>
      <w:proofErr w:type="spellStart"/>
      <w:r>
        <w:t>GWh</w:t>
      </w:r>
      <w:proofErr w:type="spellEnd"/>
      <w:r>
        <w:t xml:space="preserve"> </w:t>
      </w:r>
      <w:r w:rsidRPr="009F2C48">
        <w:t xml:space="preserve">and 34,000 </w:t>
      </w:r>
      <w:proofErr w:type="spellStart"/>
      <w:r w:rsidRPr="009F2C48">
        <w:t>GWh</w:t>
      </w:r>
      <w:proofErr w:type="spellEnd"/>
      <w:r w:rsidRPr="009F2C48">
        <w:t xml:space="preserve"> of ongoing project savings</w:t>
      </w:r>
      <w:r>
        <w:t xml:space="preserve">. It should be noted that some of these savings could overlap with </w:t>
      </w:r>
      <w:r w:rsidR="00896011">
        <w:t>demand-side EE program</w:t>
      </w:r>
      <w:r>
        <w:t xml:space="preserve"> savings, and care should be taken to avoid double counting between these two categories.</w:t>
      </w:r>
      <w:r>
        <w:rPr>
          <w:rStyle w:val="FootnoteReference"/>
          <w:rFonts w:asciiTheme="majorHAnsi" w:hAnsiTheme="majorHAnsi"/>
          <w:szCs w:val="22"/>
        </w:rPr>
        <w:footnoteReference w:id="50"/>
      </w:r>
    </w:p>
    <w:p w14:paraId="0357C3C9" w14:textId="77777777" w:rsidR="004F346E" w:rsidRPr="008D6F4E" w:rsidRDefault="0040560D" w:rsidP="00AB6C96">
      <w:pPr>
        <w:pStyle w:val="Heading3"/>
        <w:keepNext w:val="0"/>
        <w:numPr>
          <w:ilvl w:val="2"/>
          <w:numId w:val="69"/>
        </w:numPr>
        <w:ind w:left="0"/>
        <w:jc w:val="left"/>
      </w:pPr>
      <w:bookmarkStart w:id="469" w:name="_Toc426044668"/>
      <w:bookmarkStart w:id="470" w:name="_Toc422317036"/>
      <w:r>
        <w:t>Applicable Guidance</w:t>
      </w:r>
      <w:r w:rsidR="004F346E">
        <w:rPr>
          <w:rStyle w:val="Heading4Char"/>
          <w:rFonts w:ascii="Calibri" w:hAnsi="Calibri" w:cs="Times New Roman"/>
          <w:b/>
          <w:bCs w:val="0"/>
          <w:i w:val="0"/>
          <w:iCs w:val="0"/>
          <w:color w:val="auto"/>
        </w:rPr>
        <w:t xml:space="preserve"> </w:t>
      </w:r>
      <w:r w:rsidR="004F346E">
        <w:t>–</w:t>
      </w:r>
      <w:r w:rsidR="004F346E" w:rsidRPr="00660250">
        <w:t xml:space="preserve"> </w:t>
      </w:r>
      <w:r w:rsidR="004F346E" w:rsidRPr="00660250">
        <w:rPr>
          <w:rFonts w:eastAsiaTheme="minorEastAsia"/>
        </w:rPr>
        <w:t>Project-Based Energy Efficiency</w:t>
      </w:r>
      <w:bookmarkEnd w:id="469"/>
      <w:r w:rsidR="004F346E" w:rsidRPr="00660250">
        <w:t xml:space="preserve"> </w:t>
      </w:r>
      <w:bookmarkEnd w:id="470"/>
    </w:p>
    <w:p w14:paraId="58FEB1E3" w14:textId="7F1465AE" w:rsidR="004F346E" w:rsidRPr="008A0C0B" w:rsidRDefault="004F346E" w:rsidP="00AB6C96">
      <w:pPr>
        <w:pStyle w:val="BulletLevel1"/>
        <w:rPr>
          <w:rFonts w:asciiTheme="majorHAnsi" w:hAnsiTheme="majorHAnsi" w:cstheme="majorHAnsi"/>
          <w:bCs/>
          <w:szCs w:val="22"/>
        </w:rPr>
      </w:pPr>
      <w:r w:rsidRPr="00660250">
        <w:rPr>
          <w:b/>
        </w:rPr>
        <w:t>EM&amp;V methods</w:t>
      </w:r>
      <w:r w:rsidRPr="00CD5A50">
        <w:t xml:space="preserve"> </w:t>
      </w:r>
      <w:r>
        <w:t>–</w:t>
      </w:r>
      <w:r w:rsidRPr="00CD5A50">
        <w:t xml:space="preserve"> </w:t>
      </w:r>
      <w:r>
        <w:t>This EM&amp;V guidance provides for the use of any of the EM&amp;V methods</w:t>
      </w:r>
      <w:r w:rsidRPr="00CD5A50">
        <w:t xml:space="preserve"> defined in </w:t>
      </w:r>
      <w:r w:rsidRPr="00F75E11">
        <w:t xml:space="preserve">Section </w:t>
      </w:r>
      <w:r w:rsidR="00BE1BB1">
        <w:t>2</w:t>
      </w:r>
      <w:r w:rsidRPr="00F75E11">
        <w:t>.</w:t>
      </w:r>
      <w:r w:rsidR="00C2150C">
        <w:t>1</w:t>
      </w:r>
      <w:r>
        <w:t xml:space="preserve"> (i.e., </w:t>
      </w:r>
      <w:r w:rsidR="00AA1B0D">
        <w:t>PB-MV</w:t>
      </w:r>
      <w:r w:rsidRPr="00F75E11">
        <w:t>, comparison group methods</w:t>
      </w:r>
      <w:r>
        <w:t>,</w:t>
      </w:r>
      <w:r w:rsidRPr="00F75E11">
        <w:t xml:space="preserve"> and deemed savings</w:t>
      </w:r>
      <w:r>
        <w:t>)</w:t>
      </w:r>
      <w:r w:rsidRPr="00F75E11">
        <w:t xml:space="preserve">. </w:t>
      </w:r>
      <w:r>
        <w:t>In practice, however, comparison group methods are typically not practical for individual projects. This is due to the difficulty in finding a proper comparison, or control, group for a single project or a small group of projects.</w:t>
      </w:r>
      <w:r>
        <w:rPr>
          <w:rStyle w:val="FootnoteReference"/>
          <w:rFonts w:asciiTheme="majorHAnsi" w:hAnsiTheme="majorHAnsi" w:cstheme="majorHAnsi"/>
          <w:bCs/>
          <w:szCs w:val="22"/>
        </w:rPr>
        <w:footnoteReference w:id="51"/>
      </w:r>
      <w:r>
        <w:t xml:space="preserve"> </w:t>
      </w:r>
    </w:p>
    <w:p w14:paraId="3DFB3053" w14:textId="72FA679A" w:rsidR="004F346E" w:rsidRPr="009F43BC" w:rsidRDefault="004F346E" w:rsidP="0087324C">
      <w:pPr>
        <w:pStyle w:val="BulletLevel2"/>
      </w:pPr>
      <w:r>
        <w:t xml:space="preserve">Therefore, </w:t>
      </w:r>
      <w:r w:rsidRPr="00373149">
        <w:t xml:space="preserve">the </w:t>
      </w:r>
      <w:r w:rsidRPr="007B0115">
        <w:t>recommended methods are M&amp;V and deemed savings</w:t>
      </w:r>
      <w:r>
        <w:t>, as described</w:t>
      </w:r>
      <w:r w:rsidRPr="009F2C48">
        <w:t xml:space="preserve"> </w:t>
      </w:r>
      <w:r w:rsidRPr="00EB2D4E">
        <w:t xml:space="preserve">Section </w:t>
      </w:r>
      <w:r w:rsidR="0087324C">
        <w:t>2</w:t>
      </w:r>
      <w:r w:rsidRPr="007B0115">
        <w:t>.4.</w:t>
      </w:r>
      <w:r>
        <w:t xml:space="preserve"> In practice, </w:t>
      </w:r>
      <w:r w:rsidRPr="00CA771D">
        <w:t xml:space="preserve">M&amp;V is </w:t>
      </w:r>
      <w:r>
        <w:t xml:space="preserve">often </w:t>
      </w:r>
      <w:r w:rsidRPr="00CA771D">
        <w:t>used in combination with deemed savings</w:t>
      </w:r>
      <w:r>
        <w:t xml:space="preserve"> approaches.</w:t>
      </w:r>
      <w:r>
        <w:rPr>
          <w:rStyle w:val="FootnoteReference"/>
          <w:rFonts w:asciiTheme="majorHAnsi" w:hAnsiTheme="majorHAnsi" w:cstheme="majorHAnsi"/>
          <w:bCs/>
          <w:szCs w:val="22"/>
        </w:rPr>
        <w:footnoteReference w:id="52"/>
      </w:r>
      <w:r w:rsidRPr="00CA771D">
        <w:t xml:space="preserve"> </w:t>
      </w:r>
      <w:r>
        <w:t>I</w:t>
      </w:r>
      <w:r w:rsidRPr="009F2C48">
        <w:t>n practice</w:t>
      </w:r>
      <w:r>
        <w:t>,</w:t>
      </w:r>
      <w:r w:rsidRPr="009F2C48">
        <w:t xml:space="preserve"> the suggested and </w:t>
      </w:r>
      <w:r w:rsidRPr="00373149">
        <w:t xml:space="preserve">more common </w:t>
      </w:r>
      <w:r w:rsidR="00AA1B0D">
        <w:t>PB-MV</w:t>
      </w:r>
      <w:r w:rsidR="00580CC3">
        <w:t xml:space="preserve"> </w:t>
      </w:r>
      <w:r w:rsidRPr="007B0115">
        <w:t>methods for retrofit projects are IPMVP Options A, B and C</w:t>
      </w:r>
      <w:r w:rsidRPr="00373149">
        <w:t xml:space="preserve"> and, </w:t>
      </w:r>
      <w:r w:rsidRPr="007B0115">
        <w:t>for new construction or replace on failure, IPMVP Option D</w:t>
      </w:r>
      <w:r w:rsidRPr="00373149">
        <w:t>.</w:t>
      </w:r>
    </w:p>
    <w:p w14:paraId="6879B857" w14:textId="77777777" w:rsidR="004F346E" w:rsidRPr="00660250" w:rsidRDefault="004F346E" w:rsidP="00AB6C96">
      <w:pPr>
        <w:pStyle w:val="BulletLevel1"/>
      </w:pPr>
      <w:r w:rsidRPr="00660250">
        <w:rPr>
          <w:b/>
        </w:rPr>
        <w:t>Baselines</w:t>
      </w:r>
      <w:r>
        <w:t xml:space="preserve"> – As indicated in Section </w:t>
      </w:r>
      <w:r w:rsidR="00BE1BB1">
        <w:t>2</w:t>
      </w:r>
      <w:r>
        <w:t xml:space="preserve">.2, </w:t>
      </w:r>
      <w:r w:rsidR="00580CC3">
        <w:t>CPB</w:t>
      </w:r>
      <w:r>
        <w:t xml:space="preserve">s are the regulatory requirement for quantifying savings. These baselines should be defined consistently across a portfolio of individual projects. Although the individual projects might apply differing baselines (e.g., because of the applicability of a code or standard, or the condition of replaced equipment), the requirements for defining baselines should be consistent. </w:t>
      </w:r>
    </w:p>
    <w:p w14:paraId="20A1D9CB" w14:textId="77777777" w:rsidR="004F346E" w:rsidRDefault="004F346E" w:rsidP="00AB6C96">
      <w:pPr>
        <w:pStyle w:val="BodyTextIndent"/>
        <w:widowControl/>
      </w:pPr>
      <w:r>
        <w:t>For private EE contracts with consumers such as ESCO contracts, the baselines for savings calculation may be set according to the needs and preference of the customer.</w:t>
      </w:r>
      <w:r w:rsidR="007B6120">
        <w:t xml:space="preserve"> </w:t>
      </w:r>
      <w:r>
        <w:t xml:space="preserve">However, for </w:t>
      </w:r>
      <w:r w:rsidR="00EC6835">
        <w:t>state</w:t>
      </w:r>
      <w:r>
        <w:t xml:space="preserve">s reporting savings to </w:t>
      </w:r>
      <w:r w:rsidR="005A36F0">
        <w:t>EPA</w:t>
      </w:r>
      <w:r>
        <w:t xml:space="preserve">, savings from these projects must be calculated using </w:t>
      </w:r>
      <w:r w:rsidR="00580CC3">
        <w:t xml:space="preserve">CPBs </w:t>
      </w:r>
      <w:r>
        <w:t xml:space="preserve">as defined in Section </w:t>
      </w:r>
      <w:r w:rsidR="00BE1BB1">
        <w:t>2</w:t>
      </w:r>
      <w:r>
        <w:t>.2.</w:t>
      </w:r>
      <w:r w:rsidR="007B6120">
        <w:t xml:space="preserve"> </w:t>
      </w:r>
      <w:r>
        <w:t xml:space="preserve">Thus, for </w:t>
      </w:r>
      <w:r w:rsidR="00EC6835">
        <w:t>state</w:t>
      </w:r>
      <w:r>
        <w:t xml:space="preserve"> reporting of privately implemented project savings, a second set of </w:t>
      </w:r>
      <w:r>
        <w:lastRenderedPageBreak/>
        <w:t>calculations may be required in addition to those used to establish and administer the contract between the provider and its customer.</w:t>
      </w:r>
    </w:p>
    <w:p w14:paraId="7C2D01B5" w14:textId="77777777" w:rsidR="004F346E" w:rsidRPr="00EB2D4E" w:rsidRDefault="007D7BE7" w:rsidP="00AB6C96">
      <w:pPr>
        <w:pStyle w:val="BodyTextIndent"/>
        <w:widowControl/>
        <w:rPr>
          <w:rFonts w:asciiTheme="majorHAnsi" w:hAnsiTheme="majorHAnsi"/>
          <w:szCs w:val="22"/>
        </w:rPr>
      </w:pPr>
      <w:r w:rsidRPr="006D78FC">
        <w:rPr>
          <w:noProof/>
        </w:rPr>
        <mc:AlternateContent>
          <mc:Choice Requires="wps">
            <w:drawing>
              <wp:anchor distT="0" distB="0" distL="114300" distR="114300" simplePos="0" relativeHeight="251652608" behindDoc="0" locked="0" layoutInCell="1" allowOverlap="1" wp14:anchorId="4F3C80E0" wp14:editId="5F28F0FB">
                <wp:simplePos x="0" y="0"/>
                <wp:positionH relativeFrom="margin">
                  <wp:align>right</wp:align>
                </wp:positionH>
                <wp:positionV relativeFrom="margin">
                  <wp:align>top</wp:align>
                </wp:positionV>
                <wp:extent cx="2743200" cy="5340096"/>
                <wp:effectExtent l="57150" t="38100" r="76200" b="89535"/>
                <wp:wrapSquare wrapText="bothSides"/>
                <wp:docPr id="30" name="Text Box 30"/>
                <wp:cNvGraphicFramePr/>
                <a:graphic xmlns:a="http://schemas.openxmlformats.org/drawingml/2006/main">
                  <a:graphicData uri="http://schemas.microsoft.com/office/word/2010/wordprocessingShape">
                    <wps:wsp>
                      <wps:cNvSpPr txBox="1"/>
                      <wps:spPr>
                        <a:xfrm>
                          <a:off x="0" y="0"/>
                          <a:ext cx="2743200" cy="5340096"/>
                        </a:xfrm>
                        <a:prstGeom prst="rect">
                          <a:avLst/>
                        </a:prstGeom>
                        <a:gradFill>
                          <a:gsLst>
                            <a:gs pos="0">
                              <a:srgbClr val="A3C4FF"/>
                            </a:gs>
                            <a:gs pos="35000">
                              <a:schemeClr val="accent1">
                                <a:tint val="37000"/>
                                <a:satMod val="300000"/>
                              </a:schemeClr>
                            </a:gs>
                            <a:gs pos="100000">
                              <a:schemeClr val="accent1">
                                <a:tint val="15000"/>
                                <a:satMod val="350000"/>
                              </a:schemeClr>
                            </a:gs>
                          </a:gsLst>
                        </a:gra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3161B36D" w14:textId="77777777" w:rsidR="00606E90" w:rsidRDefault="00133485" w:rsidP="00606E90">
                            <w:pPr>
                              <w:jc w:val="center"/>
                              <w:rPr>
                                <w:b/>
                                <w:sz w:val="20"/>
                                <w:szCs w:val="20"/>
                              </w:rPr>
                            </w:pPr>
                            <w:r>
                              <w:rPr>
                                <w:b/>
                                <w:sz w:val="20"/>
                                <w:szCs w:val="20"/>
                              </w:rPr>
                              <w:t xml:space="preserve">Industry-Standard </w:t>
                            </w:r>
                            <w:r w:rsidR="00606E90">
                              <w:rPr>
                                <w:b/>
                                <w:sz w:val="20"/>
                                <w:szCs w:val="20"/>
                              </w:rPr>
                              <w:t>P</w:t>
                            </w:r>
                            <w:r w:rsidRPr="001D3B41">
                              <w:rPr>
                                <w:b/>
                                <w:sz w:val="20"/>
                                <w:szCs w:val="20"/>
                              </w:rPr>
                              <w:t>rotocols</w:t>
                            </w:r>
                            <w:r w:rsidR="00606E90">
                              <w:rPr>
                                <w:b/>
                                <w:sz w:val="20"/>
                                <w:szCs w:val="20"/>
                              </w:rPr>
                              <w:t xml:space="preserve"> </w:t>
                            </w:r>
                          </w:p>
                          <w:p w14:paraId="6A4BB9CD" w14:textId="0C2D340B" w:rsidR="00133485" w:rsidRPr="001D3B41" w:rsidRDefault="00606E90" w:rsidP="00606E90">
                            <w:pPr>
                              <w:spacing w:after="120"/>
                              <w:jc w:val="center"/>
                              <w:rPr>
                                <w:rFonts w:asciiTheme="majorHAnsi" w:hAnsiTheme="majorHAnsi"/>
                                <w:b/>
                                <w:sz w:val="20"/>
                                <w:szCs w:val="20"/>
                              </w:rPr>
                            </w:pPr>
                            <w:proofErr w:type="gramStart"/>
                            <w:r>
                              <w:rPr>
                                <w:b/>
                                <w:sz w:val="20"/>
                                <w:szCs w:val="20"/>
                              </w:rPr>
                              <w:t>and</w:t>
                            </w:r>
                            <w:proofErr w:type="gramEnd"/>
                            <w:r>
                              <w:rPr>
                                <w:b/>
                                <w:sz w:val="20"/>
                                <w:szCs w:val="20"/>
                              </w:rPr>
                              <w:t xml:space="preserve"> Guidelines</w:t>
                            </w:r>
                          </w:p>
                          <w:p w14:paraId="7623DEFC" w14:textId="25A041D1" w:rsidR="00133485" w:rsidRPr="00ED0090" w:rsidRDefault="00133485" w:rsidP="007B20F2">
                            <w:pPr>
                              <w:pStyle w:val="BulletLevel1"/>
                              <w:numPr>
                                <w:ilvl w:val="0"/>
                                <w:numId w:val="0"/>
                              </w:numPr>
                              <w:rPr>
                                <w:sz w:val="20"/>
                                <w:szCs w:val="20"/>
                              </w:rPr>
                            </w:pPr>
                            <w:r w:rsidRPr="00ED0090">
                              <w:rPr>
                                <w:sz w:val="20"/>
                                <w:szCs w:val="20"/>
                              </w:rPr>
                              <w:t xml:space="preserve">The following are industry best practices </w:t>
                            </w:r>
                            <w:r w:rsidR="00E226BF">
                              <w:rPr>
                                <w:sz w:val="20"/>
                                <w:szCs w:val="20"/>
                              </w:rPr>
                              <w:t>PB-MV</w:t>
                            </w:r>
                            <w:r w:rsidRPr="00ED0090">
                              <w:rPr>
                                <w:sz w:val="20"/>
                                <w:szCs w:val="20"/>
                              </w:rPr>
                              <w:t xml:space="preserve"> guidelines and protocols for project-based EE</w:t>
                            </w:r>
                          </w:p>
                          <w:p w14:paraId="592E70DE" w14:textId="77777777" w:rsidR="00133485" w:rsidRPr="00ED0090" w:rsidRDefault="00133485" w:rsidP="001D3B41">
                            <w:pPr>
                              <w:pStyle w:val="BulletLevel1"/>
                              <w:numPr>
                                <w:ilvl w:val="0"/>
                                <w:numId w:val="33"/>
                              </w:numPr>
                              <w:ind w:left="180" w:hanging="216"/>
                              <w:rPr>
                                <w:sz w:val="20"/>
                                <w:szCs w:val="20"/>
                              </w:rPr>
                            </w:pPr>
                            <w:r w:rsidRPr="00ED0090">
                              <w:rPr>
                                <w:sz w:val="20"/>
                                <w:szCs w:val="20"/>
                              </w:rPr>
                              <w:t>IPMVP – International Performance Measurement and Verification Protocol: Concepts and Options for Determining Energy and Water Savings Volume I, EVO-10000 -1.2007, Efficiency Valuation Organization. www.evo-world.com</w:t>
                            </w:r>
                          </w:p>
                          <w:p w14:paraId="65ACD049" w14:textId="77777777" w:rsidR="00133485" w:rsidRPr="00ED0090" w:rsidRDefault="00133485" w:rsidP="001D3B41">
                            <w:pPr>
                              <w:pStyle w:val="BulletLevel1"/>
                              <w:numPr>
                                <w:ilvl w:val="0"/>
                                <w:numId w:val="33"/>
                              </w:numPr>
                              <w:ind w:left="180" w:hanging="216"/>
                              <w:rPr>
                                <w:sz w:val="20"/>
                                <w:szCs w:val="20"/>
                              </w:rPr>
                            </w:pPr>
                            <w:r w:rsidRPr="00ED0090">
                              <w:rPr>
                                <w:sz w:val="20"/>
                                <w:szCs w:val="20"/>
                              </w:rPr>
                              <w:t>FEMP – M&amp;V Guidelines: Measurement and Verification for Federal Energy Projects, Version 4.0, Prepared for the U.S. Department of Energy Federal Energy Management Program.</w:t>
                            </w:r>
                          </w:p>
                          <w:p w14:paraId="31BF5FFB" w14:textId="77777777" w:rsidR="00133485" w:rsidRPr="00ED0090" w:rsidRDefault="00133485" w:rsidP="001D3B41">
                            <w:pPr>
                              <w:pStyle w:val="BulletLevel1"/>
                              <w:numPr>
                                <w:ilvl w:val="0"/>
                                <w:numId w:val="33"/>
                              </w:numPr>
                              <w:ind w:left="180" w:hanging="216"/>
                              <w:rPr>
                                <w:sz w:val="20"/>
                                <w:szCs w:val="20"/>
                              </w:rPr>
                            </w:pPr>
                            <w:r w:rsidRPr="00ED0090">
                              <w:rPr>
                                <w:sz w:val="20"/>
                                <w:szCs w:val="20"/>
                              </w:rPr>
                              <w:t>ASHRAE – Guideline 14-2002: Measurement of Energy and Demand Savings, American Society of Heating, Refrigerating, and Air-Conditioning Engineers</w:t>
                            </w:r>
                          </w:p>
                          <w:p w14:paraId="15D1E366" w14:textId="77777777" w:rsidR="00133485" w:rsidRPr="00ED0090" w:rsidRDefault="00133485" w:rsidP="001D3B41">
                            <w:pPr>
                              <w:pStyle w:val="BulletLevel1"/>
                              <w:numPr>
                                <w:ilvl w:val="0"/>
                                <w:numId w:val="33"/>
                              </w:numPr>
                              <w:ind w:left="180" w:hanging="216"/>
                              <w:rPr>
                                <w:sz w:val="20"/>
                                <w:szCs w:val="20"/>
                              </w:rPr>
                            </w:pPr>
                            <w:r w:rsidRPr="00ED0090">
                              <w:rPr>
                                <w:sz w:val="20"/>
                                <w:szCs w:val="20"/>
                              </w:rPr>
                              <w:t xml:space="preserve">U.S. DOE UMP – Uniform Method Project: </w:t>
                            </w:r>
                            <w:r w:rsidRPr="00ED0090">
                              <w:rPr>
                                <w:rStyle w:val="Hyperlink"/>
                                <w:sz w:val="20"/>
                                <w:szCs w:val="20"/>
                              </w:rPr>
                              <w:t>http://www.energy.gov/eere/downloads/uniform-methods-project-methods-determining-energy-efficiency-savings-specific</w:t>
                            </w:r>
                            <w:r w:rsidRPr="00ED0090">
                              <w:rPr>
                                <w:sz w:val="20"/>
                                <w:szCs w:val="20"/>
                              </w:rPr>
                              <w:t xml:space="preserve"> </w:t>
                            </w:r>
                          </w:p>
                          <w:p w14:paraId="300D70E9" w14:textId="77777777" w:rsidR="00133485" w:rsidRPr="00ED0090" w:rsidRDefault="00133485" w:rsidP="001D3B41">
                            <w:pPr>
                              <w:pStyle w:val="BulletLevel1"/>
                              <w:numPr>
                                <w:ilvl w:val="0"/>
                                <w:numId w:val="33"/>
                              </w:numPr>
                              <w:ind w:left="180" w:hanging="216"/>
                              <w:rPr>
                                <w:sz w:val="20"/>
                                <w:szCs w:val="20"/>
                              </w:rPr>
                            </w:pPr>
                            <w:r w:rsidRPr="00ED0090">
                              <w:rPr>
                                <w:sz w:val="20"/>
                                <w:szCs w:val="20"/>
                              </w:rPr>
                              <w:t xml:space="preserve">For deemed savings practices, the operating procedures of well-established deemed savings databases, such as the one operated by the Northwest Regional Technical Forum. </w:t>
                            </w:r>
                            <w:r w:rsidRPr="00ED0090">
                              <w:rPr>
                                <w:rStyle w:val="Hyperlink"/>
                                <w:sz w:val="20"/>
                                <w:szCs w:val="20"/>
                              </w:rPr>
                              <w:t>http://www.rtf.nwcouncil.org ve</w:t>
                            </w:r>
                            <w:r w:rsidRPr="00ED0090">
                              <w:rPr>
                                <w:sz w:val="20"/>
                                <w:szCs w:val="20"/>
                              </w:rPr>
                              <w:t xml:space="preserve"> contains a list of protocols that can be applied, with appropriate explanation in EM&amp;V plans and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C80E0" id="Text Box 30" o:spid="_x0000_s1039" type="#_x0000_t202" style="position:absolute;left:0;text-align:left;margin-left:164.8pt;margin-top:0;width:3in;height:420.5pt;z-index:25165260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" fillcolor="#a3c4ff" strokecolor="#4579b8 [3044]">
                <v:fill color2="#e4ecf5 [500]" rotate="t" angle="180" colors="0 #a3c4ff;22938f #bfd5ff;1 #e5eeff" focus="100%" type="gradient"/>
                <v:shadow on="t" color="black" opacity="24903f" origin=",.5" offset="0,.55556mm"/>
                <v:textbox>
                  <w:txbxContent>
                    <w:p w14:paraId="3161B36D" w14:textId="77777777" w:rsidR="00606E90" w:rsidRDefault="00133485" w:rsidP="00606E90">
                      <w:pPr>
                        <w:jc w:val="center"/>
                        <w:rPr>
                          <w:b/>
                          <w:sz w:val="20"/>
                          <w:szCs w:val="20"/>
                        </w:rPr>
                      </w:pPr>
                      <w:r>
                        <w:rPr>
                          <w:b/>
                          <w:sz w:val="20"/>
                          <w:szCs w:val="20"/>
                        </w:rPr>
                        <w:t xml:space="preserve">Industry-Standard </w:t>
                      </w:r>
                      <w:r w:rsidR="00606E90">
                        <w:rPr>
                          <w:b/>
                          <w:sz w:val="20"/>
                          <w:szCs w:val="20"/>
                        </w:rPr>
                        <w:t>P</w:t>
                      </w:r>
                      <w:r w:rsidRPr="001D3B41">
                        <w:rPr>
                          <w:b/>
                          <w:sz w:val="20"/>
                          <w:szCs w:val="20"/>
                        </w:rPr>
                        <w:t>rotocols</w:t>
                      </w:r>
                      <w:r w:rsidR="00606E90">
                        <w:rPr>
                          <w:b/>
                          <w:sz w:val="20"/>
                          <w:szCs w:val="20"/>
                        </w:rPr>
                        <w:t xml:space="preserve"> </w:t>
                      </w:r>
                    </w:p>
                    <w:p w14:paraId="6A4BB9CD" w14:textId="0C2D340B" w:rsidR="00133485" w:rsidRPr="001D3B41" w:rsidRDefault="00606E90" w:rsidP="00606E90">
                      <w:pPr>
                        <w:spacing w:after="120"/>
                        <w:jc w:val="center"/>
                        <w:rPr>
                          <w:rFonts w:asciiTheme="majorHAnsi" w:hAnsiTheme="majorHAnsi"/>
                          <w:b/>
                          <w:sz w:val="20"/>
                          <w:szCs w:val="20"/>
                        </w:rPr>
                      </w:pPr>
                      <w:proofErr w:type="gramStart"/>
                      <w:r>
                        <w:rPr>
                          <w:b/>
                          <w:sz w:val="20"/>
                          <w:szCs w:val="20"/>
                        </w:rPr>
                        <w:t>and</w:t>
                      </w:r>
                      <w:proofErr w:type="gramEnd"/>
                      <w:r>
                        <w:rPr>
                          <w:b/>
                          <w:sz w:val="20"/>
                          <w:szCs w:val="20"/>
                        </w:rPr>
                        <w:t xml:space="preserve"> Guidelines</w:t>
                      </w:r>
                    </w:p>
                    <w:p w14:paraId="7623DEFC" w14:textId="25A041D1" w:rsidR="00133485" w:rsidRPr="00ED0090" w:rsidRDefault="00133485" w:rsidP="007B20F2">
                      <w:pPr>
                        <w:pStyle w:val="BulletLevel1"/>
                        <w:numPr>
                          <w:ilvl w:val="0"/>
                          <w:numId w:val="0"/>
                        </w:numPr>
                        <w:rPr>
                          <w:sz w:val="20"/>
                          <w:szCs w:val="20"/>
                        </w:rPr>
                      </w:pPr>
                      <w:r w:rsidRPr="00ED0090">
                        <w:rPr>
                          <w:sz w:val="20"/>
                          <w:szCs w:val="20"/>
                        </w:rPr>
                        <w:t xml:space="preserve">The following are industry best practices </w:t>
                      </w:r>
                      <w:r w:rsidR="00E226BF">
                        <w:rPr>
                          <w:sz w:val="20"/>
                          <w:szCs w:val="20"/>
                        </w:rPr>
                        <w:t>PB-MV</w:t>
                      </w:r>
                      <w:r w:rsidRPr="00ED0090">
                        <w:rPr>
                          <w:sz w:val="20"/>
                          <w:szCs w:val="20"/>
                        </w:rPr>
                        <w:t xml:space="preserve"> guidelines and protocols for project-based EE</w:t>
                      </w:r>
                    </w:p>
                    <w:p w14:paraId="592E70DE" w14:textId="77777777" w:rsidR="00133485" w:rsidRPr="00ED0090" w:rsidRDefault="00133485" w:rsidP="001D3B41">
                      <w:pPr>
                        <w:pStyle w:val="BulletLevel1"/>
                        <w:numPr>
                          <w:ilvl w:val="0"/>
                          <w:numId w:val="33"/>
                        </w:numPr>
                        <w:ind w:left="180" w:hanging="216"/>
                        <w:rPr>
                          <w:sz w:val="20"/>
                          <w:szCs w:val="20"/>
                        </w:rPr>
                      </w:pPr>
                      <w:r w:rsidRPr="00ED0090">
                        <w:rPr>
                          <w:sz w:val="20"/>
                          <w:szCs w:val="20"/>
                        </w:rPr>
                        <w:t>IPMVP – International Performance Measurement and Verification Protocol: Concepts and Options for Determining Energy and Water Savings Volume I, EVO-10000 -1.2007, Efficiency Valuation Organization. www.evo-world.com</w:t>
                      </w:r>
                    </w:p>
                    <w:p w14:paraId="65ACD049" w14:textId="77777777" w:rsidR="00133485" w:rsidRPr="00ED0090" w:rsidRDefault="00133485" w:rsidP="001D3B41">
                      <w:pPr>
                        <w:pStyle w:val="BulletLevel1"/>
                        <w:numPr>
                          <w:ilvl w:val="0"/>
                          <w:numId w:val="33"/>
                        </w:numPr>
                        <w:ind w:left="180" w:hanging="216"/>
                        <w:rPr>
                          <w:sz w:val="20"/>
                          <w:szCs w:val="20"/>
                        </w:rPr>
                      </w:pPr>
                      <w:r w:rsidRPr="00ED0090">
                        <w:rPr>
                          <w:sz w:val="20"/>
                          <w:szCs w:val="20"/>
                        </w:rPr>
                        <w:t>FEMP – M&amp;V Guidelines: Measurement and Verification for Federal Energy Projects, Version 4.0, Prepared for the U.S. Department of Energy Federal Energy Management Program.</w:t>
                      </w:r>
                    </w:p>
                    <w:p w14:paraId="31BF5FFB" w14:textId="77777777" w:rsidR="00133485" w:rsidRPr="00ED0090" w:rsidRDefault="00133485" w:rsidP="001D3B41">
                      <w:pPr>
                        <w:pStyle w:val="BulletLevel1"/>
                        <w:numPr>
                          <w:ilvl w:val="0"/>
                          <w:numId w:val="33"/>
                        </w:numPr>
                        <w:ind w:left="180" w:hanging="216"/>
                        <w:rPr>
                          <w:sz w:val="20"/>
                          <w:szCs w:val="20"/>
                        </w:rPr>
                      </w:pPr>
                      <w:r w:rsidRPr="00ED0090">
                        <w:rPr>
                          <w:sz w:val="20"/>
                          <w:szCs w:val="20"/>
                        </w:rPr>
                        <w:t>ASHRAE – Guideline 14-2002: Measurement of Energy and Demand Savings, American Society of Heating, Refrigerating, and Air-Conditioning Engineers</w:t>
                      </w:r>
                    </w:p>
                    <w:p w14:paraId="15D1E366" w14:textId="77777777" w:rsidR="00133485" w:rsidRPr="00ED0090" w:rsidRDefault="00133485" w:rsidP="001D3B41">
                      <w:pPr>
                        <w:pStyle w:val="BulletLevel1"/>
                        <w:numPr>
                          <w:ilvl w:val="0"/>
                          <w:numId w:val="33"/>
                        </w:numPr>
                        <w:ind w:left="180" w:hanging="216"/>
                        <w:rPr>
                          <w:sz w:val="20"/>
                          <w:szCs w:val="20"/>
                        </w:rPr>
                      </w:pPr>
                      <w:r w:rsidRPr="00ED0090">
                        <w:rPr>
                          <w:sz w:val="20"/>
                          <w:szCs w:val="20"/>
                        </w:rPr>
                        <w:t xml:space="preserve">U.S. DOE UMP – Uniform Method Project: </w:t>
                      </w:r>
                      <w:r w:rsidRPr="00ED0090">
                        <w:rPr>
                          <w:rStyle w:val="Hyperlink"/>
                          <w:sz w:val="20"/>
                          <w:szCs w:val="20"/>
                        </w:rPr>
                        <w:t>http://www.energy.gov/eere/downloads/uniform-methods-project-methods-determining-energy-efficiency-savings-specific</w:t>
                      </w:r>
                      <w:r w:rsidRPr="00ED0090">
                        <w:rPr>
                          <w:sz w:val="20"/>
                          <w:szCs w:val="20"/>
                        </w:rPr>
                        <w:t xml:space="preserve"> </w:t>
                      </w:r>
                    </w:p>
                    <w:p w14:paraId="300D70E9" w14:textId="77777777" w:rsidR="00133485" w:rsidRPr="00ED0090" w:rsidRDefault="00133485" w:rsidP="001D3B41">
                      <w:pPr>
                        <w:pStyle w:val="BulletLevel1"/>
                        <w:numPr>
                          <w:ilvl w:val="0"/>
                          <w:numId w:val="33"/>
                        </w:numPr>
                        <w:ind w:left="180" w:hanging="216"/>
                        <w:rPr>
                          <w:sz w:val="20"/>
                          <w:szCs w:val="20"/>
                        </w:rPr>
                      </w:pPr>
                      <w:r w:rsidRPr="00ED0090">
                        <w:rPr>
                          <w:sz w:val="20"/>
                          <w:szCs w:val="20"/>
                        </w:rPr>
                        <w:t xml:space="preserve">For deemed savings practices, the operating procedures of well-established deemed savings databases, such as the one operated by the Northwest Regional Technical Forum. </w:t>
                      </w:r>
                      <w:r w:rsidRPr="00ED0090">
                        <w:rPr>
                          <w:rStyle w:val="Hyperlink"/>
                          <w:sz w:val="20"/>
                          <w:szCs w:val="20"/>
                        </w:rPr>
                        <w:t>http://www.rtf.nwcouncil.org ve</w:t>
                      </w:r>
                      <w:r w:rsidRPr="00ED0090">
                        <w:rPr>
                          <w:sz w:val="20"/>
                          <w:szCs w:val="20"/>
                        </w:rPr>
                        <w:t xml:space="preserve"> contains a list of protocols that can be applied, with appropriate explanation in EM&amp;V plans and reports.</w:t>
                      </w:r>
                    </w:p>
                  </w:txbxContent>
                </v:textbox>
                <w10:wrap type="square" anchorx="margin" anchory="margin"/>
              </v:shape>
            </w:pict>
          </mc:Fallback>
        </mc:AlternateContent>
      </w:r>
      <w:r w:rsidR="004F346E" w:rsidRPr="00EB2D4E">
        <w:t>Commonly, the bas</w:t>
      </w:r>
      <w:r w:rsidR="004F346E" w:rsidRPr="007B0115">
        <w:t>eline for calculating savings for such contracts is the existing equipment.</w:t>
      </w:r>
      <w:r w:rsidR="007B6120">
        <w:t xml:space="preserve"> </w:t>
      </w:r>
      <w:r w:rsidR="004F346E" w:rsidRPr="00EB2D4E">
        <w:t xml:space="preserve">As indicated in Section </w:t>
      </w:r>
      <w:r w:rsidR="00BE1BB1">
        <w:t>2</w:t>
      </w:r>
      <w:r w:rsidR="004F346E" w:rsidRPr="00EB2D4E">
        <w:t xml:space="preserve">.2, the CPB for calculating savings corresponds to existing equipment only in </w:t>
      </w:r>
      <w:r w:rsidR="007B541A" w:rsidRPr="00EB2D4E">
        <w:t>the case</w:t>
      </w:r>
      <w:r w:rsidR="004F346E" w:rsidRPr="00EB2D4E">
        <w:t xml:space="preserve"> of retrofit, and then only for the remaining useful life </w:t>
      </w:r>
      <w:r w:rsidR="00470EE0">
        <w:t xml:space="preserve">(RUL) </w:t>
      </w:r>
      <w:r w:rsidR="004F346E" w:rsidRPr="00EB2D4E">
        <w:t>of the equipment.</w:t>
      </w:r>
      <w:r w:rsidR="007B6120">
        <w:t xml:space="preserve"> </w:t>
      </w:r>
      <w:r w:rsidR="004F346E" w:rsidRPr="00EB2D4E">
        <w:t>For replace-on-failure or new construction, and for early replacement after the RUL, the CPB is standard efficiency or market common practice equipment.</w:t>
      </w:r>
      <w:r w:rsidR="007B6120">
        <w:t xml:space="preserve"> </w:t>
      </w:r>
      <w:r w:rsidR="004F346E" w:rsidRPr="00EB2D4E">
        <w:t>Since it will not ordinarily be possible to take measurements under standard efficiency or market practice conditions, an adjusted calculation should be used to determine savings relative to the CPB as required.</w:t>
      </w:r>
    </w:p>
    <w:p w14:paraId="65A76919" w14:textId="77777777" w:rsidR="004F346E" w:rsidRPr="007B0115" w:rsidRDefault="004F346E" w:rsidP="00AB6C96">
      <w:pPr>
        <w:pStyle w:val="BodyTextIndent"/>
        <w:widowControl/>
      </w:pPr>
      <w:r w:rsidRPr="00EB2D4E">
        <w:t>If deemed methods are used to calculate</w:t>
      </w:r>
      <w:r w:rsidRPr="007B0115">
        <w:t xml:space="preserve"> savings for purposes of the private contract, an alternative deemed calculation using the CPB as defined in Section </w:t>
      </w:r>
      <w:r w:rsidR="00BE1BB1">
        <w:t>2</w:t>
      </w:r>
      <w:r w:rsidRPr="007B0115">
        <w:t xml:space="preserve">.2 should be used to calculate savings for purposes of reporting savings to </w:t>
      </w:r>
      <w:r w:rsidR="00D83871">
        <w:t xml:space="preserve">the </w:t>
      </w:r>
      <w:r w:rsidRPr="007B0115">
        <w:t>EPA.</w:t>
      </w:r>
      <w:r w:rsidR="007B6120">
        <w:t xml:space="preserve"> </w:t>
      </w:r>
    </w:p>
    <w:p w14:paraId="6277D718" w14:textId="5BAFA808" w:rsidR="004F346E" w:rsidRPr="00EB2D4E" w:rsidRDefault="004F346E" w:rsidP="00AB6C96">
      <w:pPr>
        <w:pStyle w:val="BodyTextIndent"/>
        <w:widowControl/>
      </w:pPr>
      <w:r w:rsidRPr="00EB2D4E">
        <w:t xml:space="preserve">If </w:t>
      </w:r>
      <w:r w:rsidR="00EB74B1">
        <w:t>PB-MV</w:t>
      </w:r>
      <w:r w:rsidRPr="00EB2D4E">
        <w:t xml:space="preserve"> is the basis for the savings determined for the private contract, the measured values</w:t>
      </w:r>
      <w:r w:rsidRPr="007B0115">
        <w:t xml:space="preserve"> should be used also in an alternative calculation of determine savings relative to the CPB.</w:t>
      </w:r>
      <w:r w:rsidR="007B6120">
        <w:t xml:space="preserve"> </w:t>
      </w:r>
      <w:r w:rsidRPr="007B0115">
        <w:t>This means that</w:t>
      </w:r>
      <w:r w:rsidRPr="00EB2D4E">
        <w:t xml:space="preserve"> the CPB efficiency level should be subs</w:t>
      </w:r>
      <w:r w:rsidRPr="007B0115">
        <w:t xml:space="preserve">tituted for the existing equipment efficiency in the savings calculations </w:t>
      </w:r>
      <w:r w:rsidRPr="00EB2D4E">
        <w:t>or simulations developed from the measured data.</w:t>
      </w:r>
      <w:r w:rsidR="007B6120">
        <w:t xml:space="preserve"> </w:t>
      </w:r>
      <w:r w:rsidRPr="00EB2D4E">
        <w:t xml:space="preserve">If the </w:t>
      </w:r>
      <w:r w:rsidR="00EB74B1">
        <w:t xml:space="preserve">PB-MV </w:t>
      </w:r>
      <w:r w:rsidRPr="00EB2D4E">
        <w:t>method</w:t>
      </w:r>
      <w:r w:rsidRPr="007B0115">
        <w:t xml:space="preserve"> is </w:t>
      </w:r>
      <w:r w:rsidRPr="00EB2D4E">
        <w:t>based on measured differences between the prior existing and new equipment, the savings relative to the CPB can be calculated from the savings relative to prior equipment as follows:</w:t>
      </w:r>
    </w:p>
    <w:p w14:paraId="2A83ACF4" w14:textId="77777777" w:rsidR="004F346E" w:rsidRPr="007B0115" w:rsidRDefault="004F346E" w:rsidP="00AB6C96">
      <w:pPr>
        <w:pStyle w:val="BodyTextIndent"/>
        <w:widowControl/>
      </w:pPr>
      <w:proofErr w:type="spellStart"/>
      <w:r w:rsidRPr="00EB2D4E">
        <w:t>Sa</w:t>
      </w:r>
      <w:r w:rsidRPr="007B0115">
        <w:t>vings|CPB</w:t>
      </w:r>
      <w:proofErr w:type="spellEnd"/>
      <w:r w:rsidRPr="007B0115">
        <w:t xml:space="preserve"> </w:t>
      </w:r>
    </w:p>
    <w:p w14:paraId="188EE270" w14:textId="77777777" w:rsidR="004F346E" w:rsidRPr="007B0115" w:rsidRDefault="004F346E" w:rsidP="00AB6C96">
      <w:pPr>
        <w:pStyle w:val="BodyTextIndent"/>
        <w:widowControl/>
        <w:ind w:left="720"/>
      </w:pPr>
      <w:r w:rsidRPr="00EB2D4E">
        <w:t xml:space="preserve">= </w:t>
      </w:r>
      <w:proofErr w:type="spellStart"/>
      <w:r w:rsidRPr="00EB2D4E">
        <w:t>Savings|Existing</w:t>
      </w:r>
      <w:proofErr w:type="spellEnd"/>
      <w:r w:rsidRPr="00EB2D4E">
        <w:t xml:space="preserve"> x (1/EFF</w:t>
      </w:r>
      <w:r w:rsidRPr="007B0115">
        <w:rPr>
          <w:vertAlign w:val="subscript"/>
        </w:rPr>
        <w:t>CPB</w:t>
      </w:r>
      <w:r w:rsidRPr="007B0115">
        <w:t xml:space="preserve"> - 1/EFF</w:t>
      </w:r>
      <w:r w:rsidRPr="007B0115">
        <w:rPr>
          <w:vertAlign w:val="subscript"/>
        </w:rPr>
        <w:t>NEW</w:t>
      </w:r>
      <w:r w:rsidRPr="007B0115">
        <w:t>)/ (1/EFF</w:t>
      </w:r>
      <w:r w:rsidRPr="007B0115">
        <w:rPr>
          <w:vertAlign w:val="subscript"/>
        </w:rPr>
        <w:t>EX</w:t>
      </w:r>
      <w:r w:rsidRPr="007B0115">
        <w:t xml:space="preserve"> - 1/EFF</w:t>
      </w:r>
      <w:r w:rsidRPr="007B0115">
        <w:rPr>
          <w:vertAlign w:val="subscript"/>
        </w:rPr>
        <w:t>NEW</w:t>
      </w:r>
      <w:r w:rsidRPr="007B0115">
        <w:t>)</w:t>
      </w:r>
    </w:p>
    <w:p w14:paraId="3C919557" w14:textId="77777777" w:rsidR="004F346E" w:rsidRPr="007B0115" w:rsidRDefault="004F346E" w:rsidP="00AB6C96">
      <w:pPr>
        <w:pStyle w:val="BodyTextIndent"/>
        <w:widowControl/>
      </w:pPr>
      <w:proofErr w:type="gramStart"/>
      <w:r w:rsidRPr="007B0115">
        <w:t>where</w:t>
      </w:r>
      <w:proofErr w:type="gramEnd"/>
    </w:p>
    <w:p w14:paraId="381AFC5A" w14:textId="77777777" w:rsidR="004F346E" w:rsidRPr="007B0115" w:rsidRDefault="004F346E" w:rsidP="00AB6C96">
      <w:pPr>
        <w:pStyle w:val="BodyTextIndent"/>
        <w:widowControl/>
        <w:ind w:left="720"/>
      </w:pPr>
      <w:proofErr w:type="spellStart"/>
      <w:r w:rsidRPr="007B0115">
        <w:t>Savings|CPB</w:t>
      </w:r>
      <w:proofErr w:type="spellEnd"/>
      <w:r w:rsidRPr="007B0115">
        <w:t xml:space="preserve"> = Savings relative to the CPB</w:t>
      </w:r>
    </w:p>
    <w:p w14:paraId="7E4FE90D" w14:textId="77777777" w:rsidR="004F346E" w:rsidRPr="007B0115" w:rsidRDefault="004F346E" w:rsidP="00AB6C96">
      <w:pPr>
        <w:pStyle w:val="BodyTextIndent"/>
        <w:widowControl/>
        <w:ind w:left="720"/>
      </w:pPr>
      <w:proofErr w:type="spellStart"/>
      <w:r w:rsidRPr="007B0115">
        <w:t>Savings|Existing</w:t>
      </w:r>
      <w:proofErr w:type="spellEnd"/>
      <w:r w:rsidRPr="007B0115">
        <w:t xml:space="preserve"> = Savings relative to the existing equipment</w:t>
      </w:r>
    </w:p>
    <w:p w14:paraId="5AAC8830" w14:textId="77777777" w:rsidR="004F346E" w:rsidRPr="007B0115" w:rsidRDefault="004F346E" w:rsidP="00AB6C96">
      <w:pPr>
        <w:pStyle w:val="BodyTextIndent"/>
        <w:widowControl/>
        <w:ind w:left="720"/>
      </w:pPr>
      <w:r w:rsidRPr="007B0115">
        <w:t>EFF</w:t>
      </w:r>
      <w:r w:rsidRPr="007B0115">
        <w:rPr>
          <w:vertAlign w:val="subscript"/>
        </w:rPr>
        <w:t>CPB</w:t>
      </w:r>
      <w:r w:rsidRPr="007B0115">
        <w:t xml:space="preserve"> = efficiency of the CPB equipment</w:t>
      </w:r>
    </w:p>
    <w:p w14:paraId="27F18C01" w14:textId="77777777" w:rsidR="004F346E" w:rsidRPr="007B0115" w:rsidRDefault="004F346E" w:rsidP="00AB6C96">
      <w:pPr>
        <w:pStyle w:val="BodyTextIndent"/>
        <w:widowControl/>
        <w:ind w:left="720"/>
      </w:pPr>
      <w:r w:rsidRPr="007B0115">
        <w:t>EFF</w:t>
      </w:r>
      <w:r w:rsidRPr="007B0115">
        <w:rPr>
          <w:vertAlign w:val="subscript"/>
        </w:rPr>
        <w:t>NEW</w:t>
      </w:r>
      <w:r w:rsidRPr="007B0115">
        <w:t xml:space="preserve"> = efficiency of the new equipment</w:t>
      </w:r>
    </w:p>
    <w:p w14:paraId="7894D1C9" w14:textId="77777777" w:rsidR="004F346E" w:rsidRPr="007B0115" w:rsidRDefault="004F346E" w:rsidP="00AB6C96">
      <w:pPr>
        <w:pStyle w:val="BodyTextIndent"/>
        <w:widowControl/>
        <w:ind w:left="720"/>
      </w:pPr>
      <w:r w:rsidRPr="007B0115">
        <w:t>EFF</w:t>
      </w:r>
      <w:r w:rsidRPr="007B0115">
        <w:rPr>
          <w:vertAlign w:val="subscript"/>
        </w:rPr>
        <w:t>EX</w:t>
      </w:r>
      <w:r w:rsidRPr="007B0115">
        <w:t xml:space="preserve"> = = efficiency of the existing equipment.</w:t>
      </w:r>
    </w:p>
    <w:p w14:paraId="0040FA8B" w14:textId="77777777" w:rsidR="004F346E" w:rsidRPr="000F732D" w:rsidRDefault="004F346E" w:rsidP="00645D24">
      <w:pPr>
        <w:pStyle w:val="BodyTextIndent"/>
        <w:widowControl/>
      </w:pPr>
      <w:r w:rsidRPr="007B0115">
        <w:lastRenderedPageBreak/>
        <w:t>Alternative methods to calculate savings relative to the CPB may also be used.</w:t>
      </w:r>
    </w:p>
    <w:p w14:paraId="57D856F9" w14:textId="36A1C87E" w:rsidR="004F346E" w:rsidRPr="00660250" w:rsidRDefault="004F346E" w:rsidP="00AB6C96">
      <w:pPr>
        <w:pStyle w:val="BulletLevel1"/>
        <w:rPr>
          <w:rFonts w:asciiTheme="majorHAnsi" w:hAnsiTheme="majorHAnsi"/>
          <w:b/>
        </w:rPr>
      </w:pPr>
      <w:r w:rsidRPr="007B0115">
        <w:rPr>
          <w:b/>
        </w:rPr>
        <w:t xml:space="preserve">Independent </w:t>
      </w:r>
      <w:r w:rsidRPr="00EB2D4E">
        <w:rPr>
          <w:b/>
        </w:rPr>
        <w:t>factors</w:t>
      </w:r>
      <w:r w:rsidRPr="002B2F3F">
        <w:t xml:space="preserve">. With </w:t>
      </w:r>
      <w:r w:rsidR="00EB74B1">
        <w:t>PB-MV</w:t>
      </w:r>
      <w:r w:rsidRPr="002B2F3F">
        <w:t xml:space="preserve"> methods, the savings typically</w:t>
      </w:r>
      <w:r w:rsidRPr="00644E42">
        <w:t xml:space="preserve"> </w:t>
      </w:r>
      <w:r>
        <w:t xml:space="preserve">should be </w:t>
      </w:r>
      <w:r w:rsidRPr="00C67308">
        <w:t>based on actual conditions.</w:t>
      </w:r>
      <w:r>
        <w:t xml:space="preserve"> In contrast, n</w:t>
      </w:r>
      <w:r w:rsidRPr="00C67308">
        <w:t xml:space="preserve">ormalized </w:t>
      </w:r>
      <w:r w:rsidR="0087324C">
        <w:t xml:space="preserve">or typical </w:t>
      </w:r>
      <w:r w:rsidRPr="00C67308">
        <w:t xml:space="preserve">conditions </w:t>
      </w:r>
      <w:r w:rsidR="00645D24">
        <w:t xml:space="preserve">over the measure’s life </w:t>
      </w:r>
      <w:r>
        <w:t xml:space="preserve">should be </w:t>
      </w:r>
      <w:r w:rsidRPr="00C67308">
        <w:t>the basis for calculating deemed savings values.</w:t>
      </w:r>
      <w:r w:rsidR="007B6120">
        <w:t xml:space="preserve"> </w:t>
      </w:r>
      <w:r>
        <w:t>C</w:t>
      </w:r>
      <w:r w:rsidRPr="00C67308">
        <w:t xml:space="preserve">aution should be used when combining </w:t>
      </w:r>
      <w:r w:rsidR="00EB74B1">
        <w:t>PB-MV</w:t>
      </w:r>
      <w:r w:rsidRPr="00C67308">
        <w:t xml:space="preserve"> methods with deemed savings methods within a single project to ensure that independent </w:t>
      </w:r>
      <w:r>
        <w:t>factors</w:t>
      </w:r>
      <w:r w:rsidRPr="00C67308">
        <w:t xml:space="preserve"> are considered consistently in savings </w:t>
      </w:r>
      <w:r>
        <w:t xml:space="preserve">quantification. </w:t>
      </w:r>
    </w:p>
    <w:p w14:paraId="218D7C4E" w14:textId="38469947" w:rsidR="004F346E" w:rsidRPr="007B0115" w:rsidRDefault="00B63F1F" w:rsidP="00AB6C96">
      <w:pPr>
        <w:pStyle w:val="BulletLevel1"/>
        <w:rPr>
          <w:rFonts w:asciiTheme="majorHAnsi" w:hAnsiTheme="majorHAnsi"/>
          <w:b/>
          <w:szCs w:val="22"/>
        </w:rPr>
      </w:pPr>
      <w:r>
        <w:rPr>
          <w:b/>
        </w:rPr>
        <w:t>Accuracy</w:t>
      </w:r>
      <w:r w:rsidR="004F346E" w:rsidRPr="00B14D62">
        <w:rPr>
          <w:b/>
        </w:rPr>
        <w:t xml:space="preserve"> and reliabi</w:t>
      </w:r>
      <w:r w:rsidR="00EA30B5">
        <w:rPr>
          <w:b/>
        </w:rPr>
        <w:t>lity of reported savings values</w:t>
      </w:r>
      <w:r w:rsidR="00EA30B5" w:rsidRPr="00EA30B5">
        <w:t>. A</w:t>
      </w:r>
      <w:r w:rsidR="004F346E" w:rsidRPr="00946690">
        <w:t xml:space="preserve">s discussed in </w:t>
      </w:r>
      <w:r w:rsidR="004F346E" w:rsidRPr="00EB2D4E">
        <w:t xml:space="preserve">Section </w:t>
      </w:r>
      <w:r w:rsidR="0087324C">
        <w:t>2</w:t>
      </w:r>
      <w:r w:rsidR="004F346E" w:rsidRPr="00EB2D4E">
        <w:t>.6</w:t>
      </w:r>
      <w:r w:rsidR="004F346E" w:rsidRPr="00946690">
        <w:t xml:space="preserve">, </w:t>
      </w:r>
      <w:r w:rsidR="004F346E" w:rsidRPr="00B14D62">
        <w:rPr>
          <w:rFonts w:cstheme="majorHAnsi"/>
        </w:rPr>
        <w:t>the certainty</w:t>
      </w:r>
      <w:r w:rsidR="004F346E" w:rsidRPr="00B14D62">
        <w:rPr>
          <w:rFonts w:cstheme="majorHAnsi"/>
          <w:vertAlign w:val="superscript"/>
        </w:rPr>
        <w:t xml:space="preserve"> </w:t>
      </w:r>
      <w:r w:rsidR="004F346E" w:rsidRPr="00304F76">
        <w:rPr>
          <w:rFonts w:cstheme="majorHAnsi"/>
        </w:rPr>
        <w:t xml:space="preserve">of reported savings values should be described in monitoring and verification reports </w:t>
      </w:r>
      <w:r w:rsidR="004F346E">
        <w:rPr>
          <w:rFonts w:cstheme="majorHAnsi"/>
        </w:rPr>
        <w:t>via a</w:t>
      </w:r>
      <w:r w:rsidR="004F346E" w:rsidRPr="00304F76">
        <w:rPr>
          <w:rFonts w:cstheme="majorHAnsi"/>
        </w:rPr>
        <w:t xml:space="preserve"> </w:t>
      </w:r>
      <w:r w:rsidR="004F346E">
        <w:rPr>
          <w:rFonts w:cstheme="majorHAnsi"/>
        </w:rPr>
        <w:t xml:space="preserve">written </w:t>
      </w:r>
      <w:r w:rsidR="004F346E" w:rsidRPr="00304F76">
        <w:rPr>
          <w:rFonts w:cstheme="majorHAnsi"/>
        </w:rPr>
        <w:t xml:space="preserve">discussion of the </w:t>
      </w:r>
      <w:r w:rsidR="00EB74B1">
        <w:rPr>
          <w:rFonts w:cstheme="majorHAnsi"/>
        </w:rPr>
        <w:t>PB-MV</w:t>
      </w:r>
      <w:r w:rsidR="004F346E" w:rsidRPr="00304F76">
        <w:rPr>
          <w:rFonts w:cstheme="majorHAnsi"/>
        </w:rPr>
        <w:t xml:space="preserve"> or deemed savings method(s) used, potential risks and biases, and related quality</w:t>
      </w:r>
      <w:r w:rsidR="004F346E">
        <w:rPr>
          <w:rFonts w:cstheme="majorHAnsi"/>
        </w:rPr>
        <w:t>-</w:t>
      </w:r>
      <w:r w:rsidR="004F346E" w:rsidRPr="00304F76">
        <w:rPr>
          <w:rFonts w:cstheme="majorHAnsi"/>
        </w:rPr>
        <w:t xml:space="preserve">control measures utilized. </w:t>
      </w:r>
      <w:r w:rsidR="004F346E">
        <w:rPr>
          <w:rFonts w:cstheme="majorHAnsi"/>
        </w:rPr>
        <w:t>It is p</w:t>
      </w:r>
      <w:r w:rsidR="004F346E" w:rsidRPr="00304F76">
        <w:rPr>
          <w:rFonts w:cstheme="majorHAnsi"/>
        </w:rPr>
        <w:t>articularly important to indicate the source</w:t>
      </w:r>
      <w:r w:rsidR="004F346E">
        <w:rPr>
          <w:rFonts w:cstheme="majorHAnsi"/>
        </w:rPr>
        <w:t>s</w:t>
      </w:r>
      <w:r w:rsidR="004F346E" w:rsidRPr="00304F76">
        <w:rPr>
          <w:rFonts w:cstheme="majorHAnsi"/>
        </w:rPr>
        <w:t xml:space="preserve"> of any deemed savings </w:t>
      </w:r>
      <w:r w:rsidR="004F346E">
        <w:rPr>
          <w:rFonts w:cstheme="majorHAnsi"/>
        </w:rPr>
        <w:t xml:space="preserve">values, </w:t>
      </w:r>
      <w:r w:rsidR="004F346E" w:rsidRPr="00304F76">
        <w:rPr>
          <w:rFonts w:cstheme="majorHAnsi"/>
        </w:rPr>
        <w:t xml:space="preserve">and </w:t>
      </w:r>
      <w:r w:rsidR="004F346E">
        <w:rPr>
          <w:rFonts w:cstheme="majorHAnsi"/>
        </w:rPr>
        <w:t xml:space="preserve">to specify </w:t>
      </w:r>
      <w:r w:rsidR="004F346E" w:rsidRPr="00304F76">
        <w:rPr>
          <w:rFonts w:cstheme="majorHAnsi"/>
        </w:rPr>
        <w:t xml:space="preserve">how the metering (what </w:t>
      </w:r>
      <w:r w:rsidR="004F346E">
        <w:rPr>
          <w:rFonts w:cstheme="majorHAnsi"/>
        </w:rPr>
        <w:t xml:space="preserve">is </w:t>
      </w:r>
      <w:r w:rsidR="004F346E" w:rsidRPr="00304F76">
        <w:rPr>
          <w:rFonts w:cstheme="majorHAnsi"/>
        </w:rPr>
        <w:t>metered, for how long, etc.) provides representative data.</w:t>
      </w:r>
      <w:r w:rsidR="004F346E">
        <w:rPr>
          <w:rFonts w:cstheme="majorHAnsi"/>
        </w:rPr>
        <w:t xml:space="preserve"> </w:t>
      </w:r>
      <w:r w:rsidR="004F346E" w:rsidRPr="00304F76">
        <w:rPr>
          <w:rFonts w:cstheme="majorHAnsi"/>
        </w:rPr>
        <w:t xml:space="preserve">If sampling is used </w:t>
      </w:r>
      <w:r w:rsidR="004F346E">
        <w:rPr>
          <w:rFonts w:cstheme="majorHAnsi"/>
        </w:rPr>
        <w:t xml:space="preserve">to </w:t>
      </w:r>
      <w:r w:rsidR="004F346E" w:rsidRPr="00304F76">
        <w:rPr>
          <w:rFonts w:cstheme="majorHAnsi"/>
        </w:rPr>
        <w:t>determin</w:t>
      </w:r>
      <w:r w:rsidR="004F346E">
        <w:rPr>
          <w:rFonts w:cstheme="majorHAnsi"/>
        </w:rPr>
        <w:t>e</w:t>
      </w:r>
      <w:r w:rsidR="004F346E" w:rsidRPr="00304F76">
        <w:rPr>
          <w:rFonts w:cstheme="majorHAnsi"/>
        </w:rPr>
        <w:t xml:space="preserve"> savings, the confidence and precision of the sample’s metric (e.g.</w:t>
      </w:r>
      <w:r w:rsidR="004F346E">
        <w:rPr>
          <w:rFonts w:cstheme="majorHAnsi"/>
        </w:rPr>
        <w:t>,</w:t>
      </w:r>
      <w:r w:rsidR="004F346E" w:rsidRPr="00304F76">
        <w:rPr>
          <w:rFonts w:cstheme="majorHAnsi"/>
        </w:rPr>
        <w:t xml:space="preserve"> lighting operating hours) </w:t>
      </w:r>
      <w:r w:rsidR="004F346E">
        <w:rPr>
          <w:rFonts w:cstheme="majorHAnsi"/>
        </w:rPr>
        <w:t xml:space="preserve">must </w:t>
      </w:r>
      <w:r w:rsidR="004F346E" w:rsidRPr="00304F76">
        <w:rPr>
          <w:rFonts w:cstheme="majorHAnsi"/>
        </w:rPr>
        <w:t>be reported.</w:t>
      </w:r>
      <w:r w:rsidR="007B6120">
        <w:rPr>
          <w:rFonts w:cstheme="majorHAnsi"/>
        </w:rPr>
        <w:t xml:space="preserve"> </w:t>
      </w:r>
      <w:r w:rsidR="004F346E" w:rsidRPr="00EB2D4E">
        <w:rPr>
          <w:rFonts w:cstheme="majorHAnsi"/>
        </w:rPr>
        <w:t xml:space="preserve">If the savings relative to the CPB are calculated as an adjustment to savings relative </w:t>
      </w:r>
      <w:r w:rsidR="004F346E" w:rsidRPr="007B0115">
        <w:rPr>
          <w:rFonts w:cstheme="majorHAnsi"/>
        </w:rPr>
        <w:t>to a different baseline used for the private contract, the method and rationale for the determination of savings relative to the CPB should be described.</w:t>
      </w:r>
    </w:p>
    <w:p w14:paraId="4BE68923" w14:textId="77777777" w:rsidR="001D3B41" w:rsidRPr="001D3B41" w:rsidRDefault="004F346E" w:rsidP="000563F7">
      <w:pPr>
        <w:pStyle w:val="BulletLevel1"/>
        <w:rPr>
          <w:rFonts w:cstheme="majorHAnsi"/>
          <w:bCs/>
        </w:rPr>
      </w:pPr>
      <w:r w:rsidRPr="007B0115">
        <w:rPr>
          <w:b/>
        </w:rPr>
        <w:t>Evaluation cycles</w:t>
      </w:r>
      <w:r w:rsidR="00EA30B5">
        <w:rPr>
          <w:b/>
        </w:rPr>
        <w:t>.</w:t>
      </w:r>
      <w:r w:rsidRPr="007B0115">
        <w:t xml:space="preserve"> </w:t>
      </w:r>
      <w:r w:rsidRPr="00EB2D4E">
        <w:t xml:space="preserve">Section </w:t>
      </w:r>
      <w:r w:rsidR="000563F7">
        <w:t>2</w:t>
      </w:r>
      <w:r w:rsidRPr="00EB2D4E">
        <w:t>.9.2 describes the requirements, including frequency, for verification to confirm measures were installed and are operating to produce savings, and for quantification of savings.</w:t>
      </w:r>
      <w:r w:rsidR="007B6120">
        <w:t xml:space="preserve"> </w:t>
      </w:r>
    </w:p>
    <w:p w14:paraId="6627E485" w14:textId="77777777" w:rsidR="004F346E" w:rsidRPr="007B0115" w:rsidRDefault="004F346E" w:rsidP="00AB6C96">
      <w:pPr>
        <w:pStyle w:val="BulletLevel1"/>
        <w:rPr>
          <w:rFonts w:asciiTheme="majorHAnsi" w:hAnsiTheme="majorHAnsi"/>
          <w:szCs w:val="22"/>
        </w:rPr>
      </w:pPr>
      <w:r w:rsidRPr="00304F76">
        <w:rPr>
          <w:b/>
        </w:rPr>
        <w:t>Effective useful life and persistence of savings</w:t>
      </w:r>
      <w:r w:rsidR="00EA30B5">
        <w:rPr>
          <w:b/>
        </w:rPr>
        <w:t>.</w:t>
      </w:r>
      <w:r w:rsidRPr="007A290A">
        <w:t xml:space="preserve"> On a project-by-project basis, the persistence of savings</w:t>
      </w:r>
      <w:r>
        <w:t xml:space="preserve"> (i.e., the number of </w:t>
      </w:r>
      <w:r w:rsidRPr="007A290A">
        <w:t>years after initial installation</w:t>
      </w:r>
      <w:r>
        <w:t xml:space="preserve"> that savings are counted)</w:t>
      </w:r>
      <w:r w:rsidRPr="007A290A">
        <w:t xml:space="preserve"> </w:t>
      </w:r>
      <w:r>
        <w:t xml:space="preserve">can be determined with deemed EUL values. Persistence of savings, however, </w:t>
      </w:r>
      <w:r w:rsidRPr="007A290A">
        <w:t xml:space="preserve">is typically based on </w:t>
      </w:r>
      <w:r>
        <w:t xml:space="preserve">periodic </w:t>
      </w:r>
      <w:r w:rsidRPr="007A290A">
        <w:t>verification of all projects or a sample of representative projects.</w:t>
      </w:r>
      <w:r>
        <w:t xml:space="preserve"> </w:t>
      </w:r>
      <w:r w:rsidRPr="007A290A">
        <w:t xml:space="preserve">Verification, involving site inspections to ensure that EE measures are still operating correctly, can occur each year for a subset of projects on a rotating cycle, </w:t>
      </w:r>
      <w:r>
        <w:t xml:space="preserve">which should occur </w:t>
      </w:r>
      <w:r w:rsidRPr="007A290A">
        <w:t xml:space="preserve">every </w:t>
      </w:r>
      <w:r>
        <w:t>2</w:t>
      </w:r>
      <w:r w:rsidRPr="007A290A">
        <w:t xml:space="preserve"> or </w:t>
      </w:r>
      <w:r>
        <w:t>3</w:t>
      </w:r>
      <w:r w:rsidRPr="007A290A">
        <w:t xml:space="preserve"> years. These verification results </w:t>
      </w:r>
      <w:r>
        <w:t>sh</w:t>
      </w:r>
      <w:r w:rsidRPr="007A290A">
        <w:t>ould be used to adjust annual savings</w:t>
      </w:r>
      <w:r>
        <w:t xml:space="preserve">. </w:t>
      </w:r>
    </w:p>
    <w:p w14:paraId="2376B63C" w14:textId="5D8F7E2F" w:rsidR="0046545C" w:rsidRDefault="004F346E" w:rsidP="000563F7">
      <w:pPr>
        <w:pStyle w:val="BulletLevel1"/>
      </w:pPr>
      <w:r w:rsidRPr="00304F76">
        <w:rPr>
          <w:b/>
        </w:rPr>
        <w:t>Avoid</w:t>
      </w:r>
      <w:r w:rsidR="00930DB4">
        <w:rPr>
          <w:b/>
        </w:rPr>
        <w:t>ing</w:t>
      </w:r>
      <w:r w:rsidRPr="00304F76">
        <w:rPr>
          <w:b/>
        </w:rPr>
        <w:t xml:space="preserve"> double counting</w:t>
      </w:r>
      <w:r w:rsidR="00EA30B5">
        <w:rPr>
          <w:b/>
        </w:rPr>
        <w:t>.</w:t>
      </w:r>
      <w:r w:rsidRPr="00304F76">
        <w:rPr>
          <w:b/>
        </w:rPr>
        <w:t xml:space="preserve"> </w:t>
      </w:r>
      <w:r w:rsidRPr="00EB2D4E">
        <w:rPr>
          <w:bCs/>
        </w:rPr>
        <w:t xml:space="preserve">Procedures to avoid double counting are described in Section </w:t>
      </w:r>
      <w:r w:rsidR="000563F7">
        <w:rPr>
          <w:bCs/>
        </w:rPr>
        <w:t>2</w:t>
      </w:r>
      <w:r w:rsidRPr="00EB2D4E">
        <w:rPr>
          <w:bCs/>
        </w:rPr>
        <w:t>.7.3</w:t>
      </w:r>
      <w:r w:rsidR="007B541A" w:rsidRPr="00EB2D4E">
        <w:rPr>
          <w:bCs/>
        </w:rPr>
        <w:t>.</w:t>
      </w:r>
      <w:r>
        <w:t xml:space="preserve"> Particular caution should be used to avoid double counting if the project was also part of a </w:t>
      </w:r>
      <w:r w:rsidRPr="00993887">
        <w:t xml:space="preserve">direct action </w:t>
      </w:r>
      <w:r w:rsidR="00896011">
        <w:t>EE program</w:t>
      </w:r>
      <w:r w:rsidRPr="00993887">
        <w:t xml:space="preserve"> </w:t>
      </w:r>
      <w:r>
        <w:t xml:space="preserve">or might be influenced by an </w:t>
      </w:r>
      <w:r w:rsidRPr="00993887">
        <w:t xml:space="preserve">indirect </w:t>
      </w:r>
      <w:r>
        <w:t xml:space="preserve">action </w:t>
      </w:r>
      <w:r w:rsidR="00896011">
        <w:t xml:space="preserve">EE </w:t>
      </w:r>
      <w:r w:rsidRPr="00993887">
        <w:t>program that induces a consumer to save energy (e.g., a behavior program)</w:t>
      </w:r>
      <w:r w:rsidR="00867725">
        <w:t>. This could otherwise result in an outcome where</w:t>
      </w:r>
      <w:r w:rsidRPr="00993887">
        <w:t xml:space="preserve"> some of the </w:t>
      </w:r>
      <w:r w:rsidRPr="000D5C67">
        <w:t xml:space="preserve">same savings </w:t>
      </w:r>
      <w:r w:rsidR="00867725">
        <w:t>are claimed</w:t>
      </w:r>
      <w:r w:rsidR="00034E53">
        <w:t xml:space="preserve"> twice.</w:t>
      </w:r>
      <w:r w:rsidR="001A5A18">
        <w:t xml:space="preserve"> </w:t>
      </w:r>
      <w:r w:rsidR="00034E53">
        <w:t>If a project also participates in a direct action program, the appropriate steps include coordinating across initiatives and adequately documenting savings</w:t>
      </w:r>
      <w:r w:rsidRPr="000D5C67">
        <w:t xml:space="preserve"> claims.</w:t>
      </w:r>
    </w:p>
    <w:p w14:paraId="1C39CF33" w14:textId="77777777" w:rsidR="0046545C" w:rsidRDefault="0046545C">
      <w:pPr>
        <w:spacing w:after="200"/>
      </w:pPr>
      <w:r>
        <w:br w:type="page"/>
      </w:r>
    </w:p>
    <w:p w14:paraId="70CEA23A" w14:textId="77777777" w:rsidR="00E74E33" w:rsidRPr="00E74E33" w:rsidRDefault="00E74E33" w:rsidP="00703A52">
      <w:pPr>
        <w:pStyle w:val="Heading2"/>
        <w:rPr>
          <w:rStyle w:val="Heading3Char"/>
          <w:b/>
          <w:sz w:val="24"/>
          <w:szCs w:val="24"/>
        </w:rPr>
      </w:pPr>
      <w:bookmarkStart w:id="471" w:name="_Toc426031914"/>
      <w:bookmarkStart w:id="472" w:name="_Toc426040103"/>
      <w:bookmarkStart w:id="473" w:name="_Toc426040189"/>
      <w:bookmarkStart w:id="474" w:name="_Toc426041658"/>
      <w:bookmarkStart w:id="475" w:name="_Toc426044669"/>
      <w:bookmarkStart w:id="476" w:name="_Toc422317039"/>
      <w:bookmarkEnd w:id="471"/>
      <w:bookmarkEnd w:id="472"/>
      <w:bookmarkEnd w:id="473"/>
      <w:bookmarkEnd w:id="474"/>
      <w:r w:rsidRPr="00E74E33">
        <w:rPr>
          <w:rStyle w:val="Heading3Char"/>
          <w:b/>
          <w:sz w:val="24"/>
          <w:szCs w:val="24"/>
        </w:rPr>
        <w:lastRenderedPageBreak/>
        <w:t>Building Energy Codes</w:t>
      </w:r>
      <w:bookmarkEnd w:id="475"/>
    </w:p>
    <w:p w14:paraId="42328EF2" w14:textId="77777777" w:rsidR="004F346E" w:rsidRPr="005F633A" w:rsidRDefault="004F346E" w:rsidP="00AB6C96">
      <w:pPr>
        <w:pStyle w:val="Heading3"/>
        <w:numPr>
          <w:ilvl w:val="2"/>
          <w:numId w:val="69"/>
        </w:numPr>
        <w:ind w:left="0"/>
      </w:pPr>
      <w:bookmarkStart w:id="477" w:name="_Toc426044670"/>
      <w:r w:rsidRPr="00304F76">
        <w:rPr>
          <w:rStyle w:val="Heading3Char"/>
          <w:rFonts w:eastAsiaTheme="majorEastAsia"/>
          <w:b/>
        </w:rPr>
        <w:t>Description</w:t>
      </w:r>
      <w:bookmarkEnd w:id="476"/>
      <w:bookmarkEnd w:id="477"/>
    </w:p>
    <w:p w14:paraId="28A2A7C4" w14:textId="77777777" w:rsidR="004F346E" w:rsidRPr="009062F7" w:rsidRDefault="0046545C" w:rsidP="00AB6C96">
      <w:pPr>
        <w:pStyle w:val="BodyText"/>
        <w:widowControl/>
        <w:rPr>
          <w:rFonts w:asciiTheme="majorHAnsi" w:hAnsiTheme="majorHAnsi"/>
          <w:szCs w:val="22"/>
        </w:rPr>
      </w:pPr>
      <w:r w:rsidRPr="006D78FC">
        <w:rPr>
          <w:rStyle w:val="Heading3Char"/>
          <w:rFonts w:eastAsiaTheme="minorEastAsia"/>
          <w:noProof/>
        </w:rPr>
        <mc:AlternateContent>
          <mc:Choice Requires="wps">
            <w:drawing>
              <wp:anchor distT="0" distB="0" distL="114300" distR="114300" simplePos="0" relativeHeight="251651584" behindDoc="0" locked="0" layoutInCell="1" allowOverlap="1" wp14:anchorId="40B1C4B2" wp14:editId="7ED3AFA3">
                <wp:simplePos x="0" y="0"/>
                <wp:positionH relativeFrom="margin">
                  <wp:align>right</wp:align>
                </wp:positionH>
                <wp:positionV relativeFrom="paragraph">
                  <wp:posOffset>0</wp:posOffset>
                </wp:positionV>
                <wp:extent cx="3200400" cy="3749040"/>
                <wp:effectExtent l="57150" t="38100" r="76200" b="99060"/>
                <wp:wrapSquare wrapText="bothSides"/>
                <wp:docPr id="48" name="Text Box 48"/>
                <wp:cNvGraphicFramePr/>
                <a:graphic xmlns:a="http://schemas.openxmlformats.org/drawingml/2006/main">
                  <a:graphicData uri="http://schemas.microsoft.com/office/word/2010/wordprocessingShape">
                    <wps:wsp>
                      <wps:cNvSpPr txBox="1"/>
                      <wps:spPr>
                        <a:xfrm>
                          <a:off x="0" y="0"/>
                          <a:ext cx="3200400" cy="374904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4587307B" w14:textId="77777777" w:rsidR="00133485" w:rsidRPr="009F2C48" w:rsidRDefault="00133485" w:rsidP="00EF7CAE">
                            <w:pPr>
                              <w:spacing w:after="120"/>
                              <w:jc w:val="center"/>
                              <w:rPr>
                                <w:rFonts w:asciiTheme="majorHAnsi" w:hAnsiTheme="majorHAnsi"/>
                                <w:b/>
                                <w:sz w:val="20"/>
                                <w:szCs w:val="20"/>
                              </w:rPr>
                            </w:pPr>
                            <w:r>
                              <w:rPr>
                                <w:rFonts w:asciiTheme="majorHAnsi" w:hAnsiTheme="majorHAnsi"/>
                                <w:b/>
                                <w:sz w:val="20"/>
                                <w:szCs w:val="20"/>
                              </w:rPr>
                              <w:t xml:space="preserve">Key </w:t>
                            </w:r>
                            <w:r w:rsidRPr="009F2C48">
                              <w:rPr>
                                <w:rFonts w:asciiTheme="majorHAnsi" w:hAnsiTheme="majorHAnsi"/>
                                <w:b/>
                                <w:sz w:val="20"/>
                                <w:szCs w:val="20"/>
                              </w:rPr>
                              <w:t>Building Energy Code Definitions</w:t>
                            </w:r>
                          </w:p>
                          <w:p w14:paraId="6E5BC628" w14:textId="77777777" w:rsidR="00133485" w:rsidRPr="009F2C48" w:rsidRDefault="00133485" w:rsidP="00EF7CAE">
                            <w:pPr>
                              <w:pStyle w:val="ListParagraph"/>
                              <w:widowControl w:val="0"/>
                              <w:numPr>
                                <w:ilvl w:val="0"/>
                                <w:numId w:val="46"/>
                              </w:numPr>
                              <w:autoSpaceDE w:val="0"/>
                              <w:autoSpaceDN w:val="0"/>
                              <w:adjustRightInd w:val="0"/>
                              <w:spacing w:after="240"/>
                              <w:ind w:left="180" w:hanging="180"/>
                              <w:rPr>
                                <w:rFonts w:asciiTheme="majorHAnsi" w:hAnsiTheme="majorHAnsi" w:cs="Times"/>
                                <w:sz w:val="20"/>
                                <w:szCs w:val="20"/>
                              </w:rPr>
                            </w:pPr>
                            <w:r w:rsidRPr="009F2C48">
                              <w:rPr>
                                <w:rFonts w:asciiTheme="majorHAnsi" w:hAnsiTheme="majorHAnsi"/>
                                <w:b/>
                                <w:sz w:val="20"/>
                                <w:szCs w:val="20"/>
                              </w:rPr>
                              <w:t>Code:</w:t>
                            </w:r>
                            <w:r w:rsidRPr="00EF7CAE">
                              <w:rPr>
                                <w:rFonts w:asciiTheme="majorHAnsi" w:hAnsiTheme="majorHAnsi"/>
                                <w:sz w:val="20"/>
                                <w:szCs w:val="20"/>
                              </w:rPr>
                              <w:t xml:space="preserve"> </w:t>
                            </w:r>
                            <w:r w:rsidRPr="009F2C48">
                              <w:rPr>
                                <w:rFonts w:asciiTheme="majorHAnsi" w:hAnsiTheme="majorHAnsi"/>
                                <w:sz w:val="20"/>
                                <w:szCs w:val="20"/>
                              </w:rPr>
                              <w:t xml:space="preserve">Specifically, legal </w:t>
                            </w:r>
                            <w:r>
                              <w:rPr>
                                <w:rFonts w:asciiTheme="majorHAnsi" w:hAnsiTheme="majorHAnsi"/>
                                <w:sz w:val="20"/>
                                <w:szCs w:val="20"/>
                              </w:rPr>
                              <w:t>EE</w:t>
                            </w:r>
                            <w:r w:rsidRPr="009F2C48">
                              <w:rPr>
                                <w:rFonts w:asciiTheme="majorHAnsi" w:hAnsiTheme="majorHAnsi"/>
                                <w:sz w:val="20"/>
                                <w:szCs w:val="20"/>
                              </w:rPr>
                              <w:t xml:space="preserve"> requirements that apply to the design and construction of buildings, usually for new buildings and for renovations and additions applying to existing buildings.</w:t>
                            </w:r>
                          </w:p>
                          <w:p w14:paraId="51CDE6D0" w14:textId="77777777" w:rsidR="00133485" w:rsidRPr="009F2C48" w:rsidRDefault="00133485" w:rsidP="00EF7CAE">
                            <w:pPr>
                              <w:pStyle w:val="ListParagraph"/>
                              <w:widowControl w:val="0"/>
                              <w:numPr>
                                <w:ilvl w:val="0"/>
                                <w:numId w:val="46"/>
                              </w:numPr>
                              <w:autoSpaceDE w:val="0"/>
                              <w:autoSpaceDN w:val="0"/>
                              <w:adjustRightInd w:val="0"/>
                              <w:spacing w:after="240"/>
                              <w:ind w:left="180" w:hanging="180"/>
                              <w:rPr>
                                <w:rFonts w:asciiTheme="majorHAnsi" w:hAnsiTheme="majorHAnsi" w:cs="Times"/>
                                <w:sz w:val="20"/>
                                <w:szCs w:val="20"/>
                              </w:rPr>
                            </w:pPr>
                            <w:r w:rsidRPr="009F2C48">
                              <w:rPr>
                                <w:rFonts w:asciiTheme="majorHAnsi" w:hAnsiTheme="majorHAnsi"/>
                                <w:b/>
                                <w:sz w:val="20"/>
                                <w:szCs w:val="20"/>
                              </w:rPr>
                              <w:t>Adoption:</w:t>
                            </w:r>
                            <w:r w:rsidRPr="009F2C48">
                              <w:rPr>
                                <w:rFonts w:asciiTheme="majorHAnsi" w:hAnsiTheme="majorHAnsi"/>
                                <w:sz w:val="20"/>
                                <w:szCs w:val="20"/>
                              </w:rPr>
                              <w:t xml:space="preserve"> The process and actions required to put a code in place</w:t>
                            </w:r>
                            <w:r>
                              <w:rPr>
                                <w:rFonts w:asciiTheme="majorHAnsi" w:hAnsiTheme="majorHAnsi"/>
                                <w:sz w:val="20"/>
                                <w:szCs w:val="20"/>
                              </w:rPr>
                              <w:t xml:space="preserve"> </w:t>
                            </w:r>
                            <w:r w:rsidRPr="009F2C48">
                              <w:rPr>
                                <w:rFonts w:asciiTheme="majorHAnsi" w:hAnsiTheme="majorHAnsi"/>
                                <w:sz w:val="20"/>
                                <w:szCs w:val="20"/>
                              </w:rPr>
                              <w:t>formally, such as a rulemaking process.</w:t>
                            </w:r>
                          </w:p>
                          <w:p w14:paraId="631CA42F" w14:textId="77777777" w:rsidR="00133485" w:rsidRPr="009F2C48" w:rsidRDefault="00133485" w:rsidP="00EF7CAE">
                            <w:pPr>
                              <w:pStyle w:val="ListParagraph"/>
                              <w:widowControl w:val="0"/>
                              <w:numPr>
                                <w:ilvl w:val="0"/>
                                <w:numId w:val="46"/>
                              </w:numPr>
                              <w:autoSpaceDE w:val="0"/>
                              <w:autoSpaceDN w:val="0"/>
                              <w:adjustRightInd w:val="0"/>
                              <w:spacing w:after="240"/>
                              <w:ind w:left="180" w:hanging="180"/>
                              <w:rPr>
                                <w:rFonts w:asciiTheme="majorHAnsi" w:hAnsiTheme="majorHAnsi" w:cs="Times"/>
                                <w:sz w:val="20"/>
                                <w:szCs w:val="20"/>
                              </w:rPr>
                            </w:pPr>
                            <w:r w:rsidRPr="009F2C48">
                              <w:rPr>
                                <w:rFonts w:asciiTheme="majorHAnsi" w:hAnsiTheme="majorHAnsi"/>
                                <w:b/>
                                <w:sz w:val="20"/>
                                <w:szCs w:val="20"/>
                              </w:rPr>
                              <w:t>Compliance:</w:t>
                            </w:r>
                            <w:r w:rsidRPr="009F2C48">
                              <w:rPr>
                                <w:rFonts w:asciiTheme="majorHAnsi" w:hAnsiTheme="majorHAnsi"/>
                                <w:sz w:val="20"/>
                                <w:szCs w:val="20"/>
                              </w:rPr>
                              <w:t xml:space="preserve"> The process of meeting the code requirements and demonstrating that these requirements have been satisfied. Compliance is the responsibility of the builder or contractor.</w:t>
                            </w:r>
                          </w:p>
                          <w:p w14:paraId="5CD38B1F" w14:textId="77777777" w:rsidR="00133485" w:rsidRPr="009F2C48" w:rsidRDefault="00133485" w:rsidP="00EF7CAE">
                            <w:pPr>
                              <w:pStyle w:val="ListParagraph"/>
                              <w:widowControl w:val="0"/>
                              <w:numPr>
                                <w:ilvl w:val="0"/>
                                <w:numId w:val="46"/>
                              </w:numPr>
                              <w:autoSpaceDE w:val="0"/>
                              <w:autoSpaceDN w:val="0"/>
                              <w:adjustRightInd w:val="0"/>
                              <w:spacing w:after="240"/>
                              <w:ind w:left="180" w:hanging="180"/>
                              <w:rPr>
                                <w:rFonts w:asciiTheme="majorHAnsi" w:hAnsiTheme="majorHAnsi" w:cs="Times"/>
                                <w:sz w:val="20"/>
                                <w:szCs w:val="20"/>
                              </w:rPr>
                            </w:pPr>
                            <w:r w:rsidRPr="009F2C48">
                              <w:rPr>
                                <w:rFonts w:asciiTheme="majorHAnsi" w:hAnsiTheme="majorHAnsi"/>
                                <w:b/>
                                <w:sz w:val="20"/>
                                <w:szCs w:val="20"/>
                              </w:rPr>
                              <w:t>Enforcement:</w:t>
                            </w:r>
                            <w:r w:rsidRPr="009F2C48">
                              <w:rPr>
                                <w:rFonts w:asciiTheme="majorHAnsi" w:hAnsiTheme="majorHAnsi"/>
                                <w:sz w:val="20"/>
                                <w:szCs w:val="20"/>
                              </w:rPr>
                              <w:t xml:space="preserve"> The process of verifying that a building meets the code. This process is typically conducted by a building code official.</w:t>
                            </w:r>
                          </w:p>
                          <w:p w14:paraId="3A8CFB41" w14:textId="77777777" w:rsidR="00133485" w:rsidRPr="009F2C48" w:rsidRDefault="00133485" w:rsidP="00EF7CAE">
                            <w:pPr>
                              <w:pStyle w:val="ListParagraph"/>
                              <w:widowControl w:val="0"/>
                              <w:numPr>
                                <w:ilvl w:val="0"/>
                                <w:numId w:val="46"/>
                              </w:numPr>
                              <w:autoSpaceDE w:val="0"/>
                              <w:autoSpaceDN w:val="0"/>
                              <w:adjustRightInd w:val="0"/>
                              <w:spacing w:after="240"/>
                              <w:ind w:left="180" w:hanging="180"/>
                              <w:rPr>
                                <w:rFonts w:asciiTheme="majorHAnsi" w:hAnsiTheme="majorHAnsi"/>
                                <w:sz w:val="20"/>
                                <w:szCs w:val="20"/>
                              </w:rPr>
                            </w:pPr>
                            <w:r w:rsidRPr="009F2C48">
                              <w:rPr>
                                <w:rFonts w:asciiTheme="majorHAnsi" w:hAnsiTheme="majorHAnsi"/>
                                <w:b/>
                                <w:sz w:val="20"/>
                                <w:szCs w:val="20"/>
                              </w:rPr>
                              <w:t xml:space="preserve">Naturally Occurring Market Adoption (NOMAD): </w:t>
                            </w:r>
                            <w:r w:rsidRPr="009F2C48">
                              <w:rPr>
                                <w:rFonts w:asciiTheme="majorHAnsi" w:hAnsiTheme="majorHAnsi"/>
                                <w:sz w:val="20"/>
                                <w:szCs w:val="20"/>
                              </w:rPr>
                              <w:t>The proportion of savings or application of measures equivalent to the code that would have taken place in the market even if the code had not been adopted.</w:t>
                            </w:r>
                          </w:p>
                          <w:p w14:paraId="4D8FC208" w14:textId="77777777" w:rsidR="00133485" w:rsidRPr="00B97558" w:rsidRDefault="00133485" w:rsidP="00EF7CAE">
                            <w:pPr>
                              <w:widowControl w:val="0"/>
                              <w:autoSpaceDE w:val="0"/>
                              <w:autoSpaceDN w:val="0"/>
                              <w:adjustRightInd w:val="0"/>
                              <w:spacing w:after="240"/>
                              <w:rPr>
                                <w:rFonts w:ascii="Palatino Linotype" w:hAnsi="Palatino Linotype"/>
                                <w:sz w:val="18"/>
                                <w:szCs w:val="18"/>
                              </w:rPr>
                            </w:pPr>
                            <w:r w:rsidRPr="00CB6FBA">
                              <w:rPr>
                                <w:rFonts w:asciiTheme="majorHAnsi" w:hAnsiTheme="majorHAnsi"/>
                                <w:sz w:val="18"/>
                                <w:szCs w:val="18"/>
                              </w:rPr>
                              <w:t xml:space="preserve">Source: Attributing Building Energy Code Savings to Energy Efficiency Programs, IEE/IMT/NEEP Report, February 2013, </w:t>
                            </w:r>
                            <w:proofErr w:type="gramStart"/>
                            <w:r w:rsidRPr="00CB6FBA">
                              <w:rPr>
                                <w:rFonts w:asciiTheme="majorHAnsi" w:hAnsiTheme="majorHAnsi"/>
                                <w:sz w:val="18"/>
                                <w:szCs w:val="18"/>
                              </w:rPr>
                              <w:t>The</w:t>
                            </w:r>
                            <w:proofErr w:type="gramEnd"/>
                            <w:r w:rsidRPr="00CB6FBA">
                              <w:rPr>
                                <w:rFonts w:asciiTheme="majorHAnsi" w:hAnsiTheme="majorHAnsi"/>
                                <w:sz w:val="18"/>
                                <w:szCs w:val="18"/>
                              </w:rPr>
                              <w:t xml:space="preserve"> Cadmus Group, Inc., Energy Futures Group NMR Group, Inc. Optimal Energy</w:t>
                            </w:r>
                          </w:p>
                          <w:p w14:paraId="1F138972" w14:textId="77777777" w:rsidR="00133485" w:rsidRDefault="00133485" w:rsidP="00EF7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1C4B2" id="Text Box 48" o:spid="_x0000_s1040" type="#_x0000_t202" style="position:absolute;margin-left:200.8pt;margin-top:0;width:252pt;height:295.2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" fillcolor="#a7bfde [1620]" strokecolor="#4579b8 [3044]">
                <v:fill color2="#e4ecf5 [500]" rotate="t" angle="180" colors="0 #a3c4ff;22938f #bfd5ff;1 #e5eeff" focus="100%" type="gradient"/>
                <v:shadow on="t" color="black" opacity="24903f" origin=",.5" offset="0,.55556mm"/>
                <v:textbox>
                  <w:txbxContent>
                    <w:p w14:paraId="4587307B" w14:textId="77777777" w:rsidR="00133485" w:rsidRPr="009F2C48" w:rsidRDefault="00133485" w:rsidP="00EF7CAE">
                      <w:pPr>
                        <w:spacing w:after="120"/>
                        <w:jc w:val="center"/>
                        <w:rPr>
                          <w:rFonts w:asciiTheme="majorHAnsi" w:hAnsiTheme="majorHAnsi"/>
                          <w:b/>
                          <w:sz w:val="20"/>
                          <w:szCs w:val="20"/>
                        </w:rPr>
                      </w:pPr>
                      <w:r>
                        <w:rPr>
                          <w:rFonts w:asciiTheme="majorHAnsi" w:hAnsiTheme="majorHAnsi"/>
                          <w:b/>
                          <w:sz w:val="20"/>
                          <w:szCs w:val="20"/>
                        </w:rPr>
                        <w:t xml:space="preserve">Key </w:t>
                      </w:r>
                      <w:r w:rsidRPr="009F2C48">
                        <w:rPr>
                          <w:rFonts w:asciiTheme="majorHAnsi" w:hAnsiTheme="majorHAnsi"/>
                          <w:b/>
                          <w:sz w:val="20"/>
                          <w:szCs w:val="20"/>
                        </w:rPr>
                        <w:t>Building Energy Code Definitions</w:t>
                      </w:r>
                    </w:p>
                    <w:p w14:paraId="6E5BC628" w14:textId="77777777" w:rsidR="00133485" w:rsidRPr="009F2C48" w:rsidRDefault="00133485" w:rsidP="00EF7CAE">
                      <w:pPr>
                        <w:pStyle w:val="ListParagraph"/>
                        <w:widowControl w:val="0"/>
                        <w:numPr>
                          <w:ilvl w:val="0"/>
                          <w:numId w:val="46"/>
                        </w:numPr>
                        <w:autoSpaceDE w:val="0"/>
                        <w:autoSpaceDN w:val="0"/>
                        <w:adjustRightInd w:val="0"/>
                        <w:spacing w:after="240"/>
                        <w:ind w:left="180" w:hanging="180"/>
                        <w:rPr>
                          <w:rFonts w:asciiTheme="majorHAnsi" w:hAnsiTheme="majorHAnsi" w:cs="Times"/>
                          <w:sz w:val="20"/>
                          <w:szCs w:val="20"/>
                        </w:rPr>
                      </w:pPr>
                      <w:r w:rsidRPr="009F2C48">
                        <w:rPr>
                          <w:rFonts w:asciiTheme="majorHAnsi" w:hAnsiTheme="majorHAnsi"/>
                          <w:b/>
                          <w:sz w:val="20"/>
                          <w:szCs w:val="20"/>
                        </w:rPr>
                        <w:t>Code:</w:t>
                      </w:r>
                      <w:r w:rsidRPr="00EF7CAE">
                        <w:rPr>
                          <w:rFonts w:asciiTheme="majorHAnsi" w:hAnsiTheme="majorHAnsi"/>
                          <w:sz w:val="20"/>
                          <w:szCs w:val="20"/>
                        </w:rPr>
                        <w:t xml:space="preserve"> </w:t>
                      </w:r>
                      <w:r w:rsidRPr="009F2C48">
                        <w:rPr>
                          <w:rFonts w:asciiTheme="majorHAnsi" w:hAnsiTheme="majorHAnsi"/>
                          <w:sz w:val="20"/>
                          <w:szCs w:val="20"/>
                        </w:rPr>
                        <w:t xml:space="preserve">Specifically, legal </w:t>
                      </w:r>
                      <w:r>
                        <w:rPr>
                          <w:rFonts w:asciiTheme="majorHAnsi" w:hAnsiTheme="majorHAnsi"/>
                          <w:sz w:val="20"/>
                          <w:szCs w:val="20"/>
                        </w:rPr>
                        <w:t>EE</w:t>
                      </w:r>
                      <w:r w:rsidRPr="009F2C48">
                        <w:rPr>
                          <w:rFonts w:asciiTheme="majorHAnsi" w:hAnsiTheme="majorHAnsi"/>
                          <w:sz w:val="20"/>
                          <w:szCs w:val="20"/>
                        </w:rPr>
                        <w:t xml:space="preserve"> requirements that apply to the design and construction of buildings, usually for new buildings and for renovations and additions applying to existing buildings.</w:t>
                      </w:r>
                    </w:p>
                    <w:p w14:paraId="51CDE6D0" w14:textId="77777777" w:rsidR="00133485" w:rsidRPr="009F2C48" w:rsidRDefault="00133485" w:rsidP="00EF7CAE">
                      <w:pPr>
                        <w:pStyle w:val="ListParagraph"/>
                        <w:widowControl w:val="0"/>
                        <w:numPr>
                          <w:ilvl w:val="0"/>
                          <w:numId w:val="46"/>
                        </w:numPr>
                        <w:autoSpaceDE w:val="0"/>
                        <w:autoSpaceDN w:val="0"/>
                        <w:adjustRightInd w:val="0"/>
                        <w:spacing w:after="240"/>
                        <w:ind w:left="180" w:hanging="180"/>
                        <w:rPr>
                          <w:rFonts w:asciiTheme="majorHAnsi" w:hAnsiTheme="majorHAnsi" w:cs="Times"/>
                          <w:sz w:val="20"/>
                          <w:szCs w:val="20"/>
                        </w:rPr>
                      </w:pPr>
                      <w:r w:rsidRPr="009F2C48">
                        <w:rPr>
                          <w:rFonts w:asciiTheme="majorHAnsi" w:hAnsiTheme="majorHAnsi"/>
                          <w:b/>
                          <w:sz w:val="20"/>
                          <w:szCs w:val="20"/>
                        </w:rPr>
                        <w:t>Adoption:</w:t>
                      </w:r>
                      <w:r w:rsidRPr="009F2C48">
                        <w:rPr>
                          <w:rFonts w:asciiTheme="majorHAnsi" w:hAnsiTheme="majorHAnsi"/>
                          <w:sz w:val="20"/>
                          <w:szCs w:val="20"/>
                        </w:rPr>
                        <w:t xml:space="preserve"> The process and actions required to put a code in place</w:t>
                      </w:r>
                      <w:r>
                        <w:rPr>
                          <w:rFonts w:asciiTheme="majorHAnsi" w:hAnsiTheme="majorHAnsi"/>
                          <w:sz w:val="20"/>
                          <w:szCs w:val="20"/>
                        </w:rPr>
                        <w:t xml:space="preserve"> </w:t>
                      </w:r>
                      <w:r w:rsidRPr="009F2C48">
                        <w:rPr>
                          <w:rFonts w:asciiTheme="majorHAnsi" w:hAnsiTheme="majorHAnsi"/>
                          <w:sz w:val="20"/>
                          <w:szCs w:val="20"/>
                        </w:rPr>
                        <w:t>formally, such as a rulemaking process.</w:t>
                      </w:r>
                    </w:p>
                    <w:p w14:paraId="631CA42F" w14:textId="77777777" w:rsidR="00133485" w:rsidRPr="009F2C48" w:rsidRDefault="00133485" w:rsidP="00EF7CAE">
                      <w:pPr>
                        <w:pStyle w:val="ListParagraph"/>
                        <w:widowControl w:val="0"/>
                        <w:numPr>
                          <w:ilvl w:val="0"/>
                          <w:numId w:val="46"/>
                        </w:numPr>
                        <w:autoSpaceDE w:val="0"/>
                        <w:autoSpaceDN w:val="0"/>
                        <w:adjustRightInd w:val="0"/>
                        <w:spacing w:after="240"/>
                        <w:ind w:left="180" w:hanging="180"/>
                        <w:rPr>
                          <w:rFonts w:asciiTheme="majorHAnsi" w:hAnsiTheme="majorHAnsi" w:cs="Times"/>
                          <w:sz w:val="20"/>
                          <w:szCs w:val="20"/>
                        </w:rPr>
                      </w:pPr>
                      <w:r w:rsidRPr="009F2C48">
                        <w:rPr>
                          <w:rFonts w:asciiTheme="majorHAnsi" w:hAnsiTheme="majorHAnsi"/>
                          <w:b/>
                          <w:sz w:val="20"/>
                          <w:szCs w:val="20"/>
                        </w:rPr>
                        <w:t>Compliance:</w:t>
                      </w:r>
                      <w:r w:rsidRPr="009F2C48">
                        <w:rPr>
                          <w:rFonts w:asciiTheme="majorHAnsi" w:hAnsiTheme="majorHAnsi"/>
                          <w:sz w:val="20"/>
                          <w:szCs w:val="20"/>
                        </w:rPr>
                        <w:t xml:space="preserve"> The process of meeting the code requirements and demonstrating that these requirements have been satisfied. Compliance is the responsibility of the builder or contractor.</w:t>
                      </w:r>
                    </w:p>
                    <w:p w14:paraId="5CD38B1F" w14:textId="77777777" w:rsidR="00133485" w:rsidRPr="009F2C48" w:rsidRDefault="00133485" w:rsidP="00EF7CAE">
                      <w:pPr>
                        <w:pStyle w:val="ListParagraph"/>
                        <w:widowControl w:val="0"/>
                        <w:numPr>
                          <w:ilvl w:val="0"/>
                          <w:numId w:val="46"/>
                        </w:numPr>
                        <w:autoSpaceDE w:val="0"/>
                        <w:autoSpaceDN w:val="0"/>
                        <w:adjustRightInd w:val="0"/>
                        <w:spacing w:after="240"/>
                        <w:ind w:left="180" w:hanging="180"/>
                        <w:rPr>
                          <w:rFonts w:asciiTheme="majorHAnsi" w:hAnsiTheme="majorHAnsi" w:cs="Times"/>
                          <w:sz w:val="20"/>
                          <w:szCs w:val="20"/>
                        </w:rPr>
                      </w:pPr>
                      <w:r w:rsidRPr="009F2C48">
                        <w:rPr>
                          <w:rFonts w:asciiTheme="majorHAnsi" w:hAnsiTheme="majorHAnsi"/>
                          <w:b/>
                          <w:sz w:val="20"/>
                          <w:szCs w:val="20"/>
                        </w:rPr>
                        <w:t>Enforcement:</w:t>
                      </w:r>
                      <w:r w:rsidRPr="009F2C48">
                        <w:rPr>
                          <w:rFonts w:asciiTheme="majorHAnsi" w:hAnsiTheme="majorHAnsi"/>
                          <w:sz w:val="20"/>
                          <w:szCs w:val="20"/>
                        </w:rPr>
                        <w:t xml:space="preserve"> The process of verifying that a building meets the code. This process is typically conducted by a building code official.</w:t>
                      </w:r>
                    </w:p>
                    <w:p w14:paraId="3A8CFB41" w14:textId="77777777" w:rsidR="00133485" w:rsidRPr="009F2C48" w:rsidRDefault="00133485" w:rsidP="00EF7CAE">
                      <w:pPr>
                        <w:pStyle w:val="ListParagraph"/>
                        <w:widowControl w:val="0"/>
                        <w:numPr>
                          <w:ilvl w:val="0"/>
                          <w:numId w:val="46"/>
                        </w:numPr>
                        <w:autoSpaceDE w:val="0"/>
                        <w:autoSpaceDN w:val="0"/>
                        <w:adjustRightInd w:val="0"/>
                        <w:spacing w:after="240"/>
                        <w:ind w:left="180" w:hanging="180"/>
                        <w:rPr>
                          <w:rFonts w:asciiTheme="majorHAnsi" w:hAnsiTheme="majorHAnsi"/>
                          <w:sz w:val="20"/>
                          <w:szCs w:val="20"/>
                        </w:rPr>
                      </w:pPr>
                      <w:r w:rsidRPr="009F2C48">
                        <w:rPr>
                          <w:rFonts w:asciiTheme="majorHAnsi" w:hAnsiTheme="majorHAnsi"/>
                          <w:b/>
                          <w:sz w:val="20"/>
                          <w:szCs w:val="20"/>
                        </w:rPr>
                        <w:t xml:space="preserve">Naturally Occurring Market Adoption (NOMAD): </w:t>
                      </w:r>
                      <w:r w:rsidRPr="009F2C48">
                        <w:rPr>
                          <w:rFonts w:asciiTheme="majorHAnsi" w:hAnsiTheme="majorHAnsi"/>
                          <w:sz w:val="20"/>
                          <w:szCs w:val="20"/>
                        </w:rPr>
                        <w:t>The proportion of savings or application of measures equivalent to the code that would have taken place in the market even if the code had not been adopted.</w:t>
                      </w:r>
                    </w:p>
                    <w:p w14:paraId="4D8FC208" w14:textId="77777777" w:rsidR="00133485" w:rsidRPr="00B97558" w:rsidRDefault="00133485" w:rsidP="00EF7CAE">
                      <w:pPr>
                        <w:widowControl w:val="0"/>
                        <w:autoSpaceDE w:val="0"/>
                        <w:autoSpaceDN w:val="0"/>
                        <w:adjustRightInd w:val="0"/>
                        <w:spacing w:after="240"/>
                        <w:rPr>
                          <w:rFonts w:ascii="Palatino Linotype" w:hAnsi="Palatino Linotype"/>
                          <w:sz w:val="18"/>
                          <w:szCs w:val="18"/>
                        </w:rPr>
                      </w:pPr>
                      <w:r w:rsidRPr="00CB6FBA">
                        <w:rPr>
                          <w:rFonts w:asciiTheme="majorHAnsi" w:hAnsiTheme="majorHAnsi"/>
                          <w:sz w:val="18"/>
                          <w:szCs w:val="18"/>
                        </w:rPr>
                        <w:t xml:space="preserve">Source: Attributing Building Energy Code Savings to Energy Efficiency Programs, IEE/IMT/NEEP Report, February 2013, </w:t>
                      </w:r>
                      <w:proofErr w:type="gramStart"/>
                      <w:r w:rsidRPr="00CB6FBA">
                        <w:rPr>
                          <w:rFonts w:asciiTheme="majorHAnsi" w:hAnsiTheme="majorHAnsi"/>
                          <w:sz w:val="18"/>
                          <w:szCs w:val="18"/>
                        </w:rPr>
                        <w:t>The</w:t>
                      </w:r>
                      <w:proofErr w:type="gramEnd"/>
                      <w:r w:rsidRPr="00CB6FBA">
                        <w:rPr>
                          <w:rFonts w:asciiTheme="majorHAnsi" w:hAnsiTheme="majorHAnsi"/>
                          <w:sz w:val="18"/>
                          <w:szCs w:val="18"/>
                        </w:rPr>
                        <w:t xml:space="preserve"> Cadmus Group, Inc., Energy Futures Group NMR Group, Inc. Optimal Energy</w:t>
                      </w:r>
                    </w:p>
                    <w:p w14:paraId="1F138972" w14:textId="77777777" w:rsidR="00133485" w:rsidRDefault="00133485" w:rsidP="00EF7CAE"/>
                  </w:txbxContent>
                </v:textbox>
                <w10:wrap type="square" anchorx="margin"/>
              </v:shape>
            </w:pict>
          </mc:Fallback>
        </mc:AlternateContent>
      </w:r>
      <w:r w:rsidR="00E733E0">
        <w:t>Local b</w:t>
      </w:r>
      <w:r w:rsidR="004F346E" w:rsidRPr="00006549">
        <w:t>uilding energy codes are</w:t>
      </w:r>
      <w:r w:rsidR="00AC2481">
        <w:t xml:space="preserve"> </w:t>
      </w:r>
      <w:r w:rsidR="004F346E" w:rsidRPr="009F2C48">
        <w:t>enforceable</w:t>
      </w:r>
      <w:r w:rsidR="004F346E" w:rsidRPr="00006549">
        <w:t xml:space="preserve"> </w:t>
      </w:r>
      <w:r w:rsidR="004F346E">
        <w:t xml:space="preserve">EE </w:t>
      </w:r>
      <w:r w:rsidR="004F346E" w:rsidRPr="009062F7">
        <w:t>requirements that apply to the design and construction of buildings</w:t>
      </w:r>
      <w:r w:rsidR="00E733E0">
        <w:t xml:space="preserve"> in many jurisdictions</w:t>
      </w:r>
      <w:r w:rsidR="004F346E" w:rsidRPr="009062F7">
        <w:t>.</w:t>
      </w:r>
      <w:r w:rsidR="004F346E" w:rsidRPr="00CB6FBA">
        <w:rPr>
          <w:rStyle w:val="FootnoteReference"/>
        </w:rPr>
        <w:footnoteReference w:id="53"/>
      </w:r>
      <w:r w:rsidR="004F346E">
        <w:rPr>
          <w:rStyle w:val="FootnoteReference"/>
        </w:rPr>
        <w:t xml:space="preserve"> </w:t>
      </w:r>
      <w:r w:rsidR="004F346E">
        <w:t>According to the U.S. DOE, “</w:t>
      </w:r>
      <w:r w:rsidR="004F346E" w:rsidRPr="006D78FC">
        <w:t>model building energy codes and standards have the potential to save U.S. consumers an estimated $330 billion by 2040. This equates to nearly 80 quads of cumulative full-fuel-cycle energy savings and over 6.2 billion metric tons of avoided carbon dioxide emissions</w:t>
      </w:r>
      <w:r w:rsidR="004F346E">
        <w:t>.</w:t>
      </w:r>
      <w:r w:rsidR="004F346E" w:rsidRPr="006D78FC">
        <w:t>”</w:t>
      </w:r>
      <w:r w:rsidR="004F346E">
        <w:rPr>
          <w:rStyle w:val="FootnoteReference"/>
          <w:rFonts w:asciiTheme="majorHAnsi" w:hAnsiTheme="majorHAnsi"/>
          <w:szCs w:val="22"/>
        </w:rPr>
        <w:footnoteReference w:id="54"/>
      </w:r>
    </w:p>
    <w:p w14:paraId="030AD97B" w14:textId="77777777" w:rsidR="004F346E" w:rsidRPr="009F2C48" w:rsidRDefault="004F346E" w:rsidP="00AB6C96">
      <w:pPr>
        <w:pStyle w:val="BodyText"/>
        <w:widowControl/>
      </w:pPr>
      <w:r>
        <w:t>Specific b</w:t>
      </w:r>
      <w:r w:rsidRPr="009F2C48">
        <w:t xml:space="preserve">uilding energy code </w:t>
      </w:r>
      <w:r>
        <w:t xml:space="preserve">actions </w:t>
      </w:r>
      <w:r w:rsidRPr="009F2C48">
        <w:t xml:space="preserve">that </w:t>
      </w:r>
      <w:r w:rsidR="00EC6835">
        <w:t>state</w:t>
      </w:r>
      <w:r w:rsidRPr="009F2C48">
        <w:t>s and local governments may take</w:t>
      </w:r>
      <w:r>
        <w:t xml:space="preserve"> include</w:t>
      </w:r>
      <w:r w:rsidRPr="009F2C48">
        <w:t>:</w:t>
      </w:r>
    </w:p>
    <w:p w14:paraId="5245FDE7" w14:textId="77777777" w:rsidR="004F346E" w:rsidRPr="009F2C48" w:rsidRDefault="004F346E" w:rsidP="00AB6C96">
      <w:pPr>
        <w:pStyle w:val="BulletLevel1"/>
      </w:pPr>
      <w:r w:rsidRPr="009F2C48">
        <w:t xml:space="preserve">Adoption of new energy codes with greater </w:t>
      </w:r>
      <w:r w:rsidR="006846A5">
        <w:t>EE</w:t>
      </w:r>
      <w:r w:rsidRPr="009F2C48">
        <w:t xml:space="preserve"> requirements than codes</w:t>
      </w:r>
      <w:r w:rsidR="00976211">
        <w:t xml:space="preserve"> that have already been determined by the federal government to be cost effective</w:t>
      </w:r>
      <w:r w:rsidRPr="009F2C48">
        <w:t xml:space="preserve">, and </w:t>
      </w:r>
    </w:p>
    <w:p w14:paraId="622A65ED" w14:textId="77777777" w:rsidR="004F346E" w:rsidRPr="00715462" w:rsidRDefault="004F346E" w:rsidP="00AB6C96">
      <w:pPr>
        <w:pStyle w:val="BodyText"/>
        <w:widowControl/>
        <w:rPr>
          <w:rFonts w:asciiTheme="majorHAnsi" w:hAnsiTheme="majorHAnsi"/>
          <w:szCs w:val="22"/>
        </w:rPr>
      </w:pPr>
      <w:r w:rsidRPr="009F2C48">
        <w:t xml:space="preserve">Ex-ante estimates of building code impacts are completed regularly as codes are developed and adopted. </w:t>
      </w:r>
      <w:r>
        <w:t>In contrast, e</w:t>
      </w:r>
      <w:r w:rsidRPr="009F2C48">
        <w:t xml:space="preserve">x-post </w:t>
      </w:r>
      <w:r>
        <w:t>quantification</w:t>
      </w:r>
      <w:r w:rsidRPr="009F2C48">
        <w:t xml:space="preserve"> of energy savings from building energy code adoption and compliance activities </w:t>
      </w:r>
      <w:r>
        <w:t>is</w:t>
      </w:r>
      <w:r w:rsidRPr="009F2C48">
        <w:t xml:space="preserve"> not as </w:t>
      </w:r>
      <w:r>
        <w:t xml:space="preserve">common or </w:t>
      </w:r>
      <w:r w:rsidRPr="009F2C48">
        <w:t>well established</w:t>
      </w:r>
      <w:r>
        <w:t>.</w:t>
      </w:r>
      <w:r w:rsidRPr="009F2C48">
        <w:t xml:space="preserve"> The primary code adoption and compliance</w:t>
      </w:r>
      <w:r w:rsidR="007B6120">
        <w:t xml:space="preserve"> </w:t>
      </w:r>
      <w:r w:rsidRPr="009F2C48">
        <w:t>impact evaluation work to</w:t>
      </w:r>
      <w:r>
        <w:t>-</w:t>
      </w:r>
      <w:r w:rsidRPr="009F2C48">
        <w:t>date ha</w:t>
      </w:r>
      <w:r>
        <w:t>s</w:t>
      </w:r>
      <w:r w:rsidRPr="009F2C48">
        <w:t xml:space="preserve"> been </w:t>
      </w:r>
      <w:r>
        <w:t xml:space="preserve">completed </w:t>
      </w:r>
      <w:r w:rsidRPr="009F2C48">
        <w:t xml:space="preserve">in six </w:t>
      </w:r>
      <w:r w:rsidR="00EC6835">
        <w:t>state</w:t>
      </w:r>
      <w:r w:rsidRPr="009F2C48">
        <w:t xml:space="preserve">s (Arizona, California, New York, Oregon, Rhode Island, and Washington) and at Pacific Northwest National Laboratory </w:t>
      </w:r>
      <w:r w:rsidRPr="009F2C48">
        <w:lastRenderedPageBreak/>
        <w:t>(PNNL)</w:t>
      </w:r>
      <w:r w:rsidRPr="009F2C48">
        <w:rPr>
          <w:vertAlign w:val="superscript"/>
        </w:rPr>
        <w:footnoteReference w:id="55"/>
      </w:r>
      <w:r w:rsidRPr="009F2C48">
        <w:t xml:space="preserve"> for U</w:t>
      </w:r>
      <w:r>
        <w:t>.</w:t>
      </w:r>
      <w:r w:rsidRPr="009F2C48">
        <w:t>S</w:t>
      </w:r>
      <w:r>
        <w:t>.</w:t>
      </w:r>
      <w:r w:rsidRPr="009F2C48">
        <w:t xml:space="preserve"> DOE.</w:t>
      </w:r>
      <w:r>
        <w:t xml:space="preserve"> </w:t>
      </w:r>
      <w:r w:rsidRPr="009F2C48">
        <w:t>The</w:t>
      </w:r>
      <w:r>
        <w:t>se</w:t>
      </w:r>
      <w:r w:rsidRPr="009F2C48">
        <w:t xml:space="preserve"> </w:t>
      </w:r>
      <w:r w:rsidR="00EC6835">
        <w:t>state</w:t>
      </w:r>
      <w:r w:rsidRPr="009F2C48">
        <w:t xml:space="preserve">s have regulatory structures that define </w:t>
      </w:r>
      <w:r>
        <w:t xml:space="preserve">acceptable procedures for </w:t>
      </w:r>
      <w:r w:rsidRPr="009F2C48">
        <w:t>quantify</w:t>
      </w:r>
      <w:r>
        <w:t>ing</w:t>
      </w:r>
      <w:r w:rsidRPr="009F2C48">
        <w:t xml:space="preserve"> savings from code programs and attribute code program savings to </w:t>
      </w:r>
      <w:r w:rsidR="00D220E1">
        <w:t xml:space="preserve">EE </w:t>
      </w:r>
      <w:r w:rsidRPr="009F2C48">
        <w:t>program administrators.</w:t>
      </w:r>
      <w:r w:rsidRPr="009F2C48">
        <w:rPr>
          <w:vertAlign w:val="superscript"/>
        </w:rPr>
        <w:footnoteReference w:id="56"/>
      </w:r>
      <w:r>
        <w:rPr>
          <w:vertAlign w:val="superscript"/>
        </w:rPr>
        <w:t xml:space="preserve"> </w:t>
      </w:r>
    </w:p>
    <w:p w14:paraId="0F95323B" w14:textId="77777777" w:rsidR="004F346E" w:rsidRPr="005F633A" w:rsidRDefault="0040560D" w:rsidP="00AB6C96">
      <w:pPr>
        <w:pStyle w:val="Heading3"/>
        <w:numPr>
          <w:ilvl w:val="2"/>
          <w:numId w:val="69"/>
        </w:numPr>
        <w:ind w:left="0"/>
      </w:pPr>
      <w:bookmarkStart w:id="478" w:name="_Toc422317040"/>
      <w:bookmarkStart w:id="479" w:name="_Toc426044671"/>
      <w:r>
        <w:t>Applicable Guidance</w:t>
      </w:r>
      <w:r>
        <w:rPr>
          <w:rStyle w:val="Heading4Char"/>
          <w:rFonts w:ascii="Calibri" w:hAnsi="Calibri" w:cs="Times New Roman"/>
          <w:b/>
          <w:bCs w:val="0"/>
          <w:i w:val="0"/>
          <w:iCs w:val="0"/>
          <w:color w:val="auto"/>
        </w:rPr>
        <w:t xml:space="preserve"> </w:t>
      </w:r>
      <w:r w:rsidR="004F346E">
        <w:t>–</w:t>
      </w:r>
      <w:r w:rsidR="004F346E" w:rsidRPr="005F633A">
        <w:t xml:space="preserve"> State and Local Government Building Energy Code and Compliance Programs</w:t>
      </w:r>
      <w:bookmarkEnd w:id="478"/>
      <w:bookmarkEnd w:id="479"/>
    </w:p>
    <w:p w14:paraId="69B4C1F2" w14:textId="77777777" w:rsidR="004F346E" w:rsidRPr="00EB2D4E" w:rsidRDefault="004F346E" w:rsidP="00AB6C96">
      <w:pPr>
        <w:pStyle w:val="BulletLevel1"/>
        <w:rPr>
          <w:b/>
        </w:rPr>
      </w:pPr>
      <w:r w:rsidRPr="00304F76">
        <w:rPr>
          <w:b/>
        </w:rPr>
        <w:t xml:space="preserve">Electricity Savings Metrics and Baselines </w:t>
      </w:r>
      <w:r w:rsidRPr="00626F2B">
        <w:t>–</w:t>
      </w:r>
      <w:r w:rsidRPr="00304F76">
        <w:rPr>
          <w:b/>
        </w:rPr>
        <w:t xml:space="preserve"> </w:t>
      </w:r>
      <w:r w:rsidRPr="006D78FC">
        <w:t xml:space="preserve">Electricity </w:t>
      </w:r>
      <w:r>
        <w:t>s</w:t>
      </w:r>
      <w:r w:rsidRPr="00A24B7A">
        <w:t>avings</w:t>
      </w:r>
      <w:r w:rsidRPr="00505740">
        <w:t xml:space="preserve"> from </w:t>
      </w:r>
      <w:r>
        <w:t>building energy codes and compliance enhancement programs</w:t>
      </w:r>
      <w:r w:rsidRPr="00505740">
        <w:t xml:space="preserve"> should be determined </w:t>
      </w:r>
      <w:r>
        <w:t>with respect to</w:t>
      </w:r>
      <w:r w:rsidRPr="00505740">
        <w:t xml:space="preserve"> a </w:t>
      </w:r>
      <w:r w:rsidRPr="00626F2B">
        <w:rPr>
          <w:i/>
        </w:rPr>
        <w:t>common practice baseline (CPB</w:t>
      </w:r>
      <w:r w:rsidRPr="00505740">
        <w:t xml:space="preserve">). </w:t>
      </w:r>
      <w:r>
        <w:t>With building energy codes,</w:t>
      </w:r>
      <w:r w:rsidRPr="00505740">
        <w:t xml:space="preserve"> the CPB </w:t>
      </w:r>
      <w:r>
        <w:t xml:space="preserve">should be </w:t>
      </w:r>
      <w:r w:rsidRPr="00505740">
        <w:t>determined with consideration of naturally occurring market adoption (NOMAD</w:t>
      </w:r>
      <w:r>
        <w:t xml:space="preserve">) of efficiency building practices </w:t>
      </w:r>
      <w:r w:rsidRPr="00505740">
        <w:t>in the absence of a</w:t>
      </w:r>
      <w:r>
        <w:t>n energy</w:t>
      </w:r>
      <w:r w:rsidRPr="00505740">
        <w:t xml:space="preserve"> </w:t>
      </w:r>
      <w:r>
        <w:t>code or a prior energy code</w:t>
      </w:r>
      <w:r w:rsidRPr="005B0881">
        <w:t>.</w:t>
      </w:r>
      <w:r>
        <w:t xml:space="preserve"> (See text box for definition of NOMAD and related terms). </w:t>
      </w:r>
    </w:p>
    <w:p w14:paraId="568149D0" w14:textId="77777777" w:rsidR="004F346E" w:rsidRPr="007B0115" w:rsidRDefault="004F346E" w:rsidP="00AB6C96">
      <w:pPr>
        <w:pStyle w:val="BodyTextIndent"/>
        <w:widowControl/>
        <w:rPr>
          <w:rFonts w:asciiTheme="majorHAnsi" w:hAnsiTheme="majorHAnsi" w:cstheme="majorHAnsi"/>
          <w:b/>
          <w:color w:val="000000" w:themeColor="text1"/>
          <w:szCs w:val="22"/>
        </w:rPr>
      </w:pPr>
      <w:r w:rsidRPr="007B0115">
        <w:t xml:space="preserve">The baseline needs to be estimated with consideration of building practices assumed to have occurred in the absence of the code. Baseline building efficiency levels may be below, at, or even above the efficiency of the code-mandated efficiency </w:t>
      </w:r>
    </w:p>
    <w:p w14:paraId="38F995CB" w14:textId="77777777" w:rsidR="004F346E" w:rsidRPr="007B0115" w:rsidRDefault="004F346E" w:rsidP="00AB6C96">
      <w:pPr>
        <w:pStyle w:val="BulletLevel1"/>
        <w:rPr>
          <w:rFonts w:asciiTheme="majorHAnsi" w:hAnsiTheme="majorHAnsi"/>
          <w:szCs w:val="22"/>
        </w:rPr>
      </w:pPr>
      <w:r w:rsidRPr="007B0115">
        <w:rPr>
          <w:b/>
        </w:rPr>
        <w:t>EM&amp;V methods</w:t>
      </w:r>
      <w:r w:rsidRPr="007B0115">
        <w:t xml:space="preserve"> – Achieved electricity savings from energy codes may be determined using a bottom-up approach that uses this equation, or a structurally similar analysis:</w:t>
      </w:r>
    </w:p>
    <w:p w14:paraId="59F44F6E" w14:textId="77777777" w:rsidR="004F346E" w:rsidRPr="00D91221" w:rsidRDefault="004F346E" w:rsidP="00AB6C96">
      <w:pPr>
        <w:pStyle w:val="BodyTextIndent"/>
        <w:widowControl/>
        <w:rPr>
          <w:i/>
        </w:rPr>
      </w:pPr>
      <w:r w:rsidRPr="00D91221">
        <w:rPr>
          <w:i/>
        </w:rPr>
        <w:t>Annual electricity savings = (affected construction and retrofit area per year) × (electricity savings per unit of area) × (compliance rate) = square footage per year × (MWH savings/square foot) x (percentage)</w:t>
      </w:r>
    </w:p>
    <w:p w14:paraId="0C982221" w14:textId="77777777" w:rsidR="004F346E" w:rsidRPr="007B0115" w:rsidRDefault="004F346E" w:rsidP="00AB6C96">
      <w:pPr>
        <w:pStyle w:val="BodyTextIndent"/>
        <w:widowControl/>
        <w:rPr>
          <w:rFonts w:asciiTheme="majorHAnsi" w:hAnsiTheme="majorHAnsi"/>
          <w:szCs w:val="22"/>
        </w:rPr>
      </w:pPr>
      <w:r w:rsidRPr="00EB2D4E">
        <w:t>For determining electricity savings per unit of area (for code adoption programs) or compliance rates and energy savings (for compliance rate programs),</w:t>
      </w:r>
      <w:r w:rsidRPr="007B0115">
        <w:t xml:space="preserve"> acceptable options are </w:t>
      </w:r>
      <w:r w:rsidRPr="007B0115">
        <w:rPr>
          <w:i/>
        </w:rPr>
        <w:t>direct empirical</w:t>
      </w:r>
      <w:r w:rsidRPr="007B0115">
        <w:t xml:space="preserve"> and </w:t>
      </w:r>
      <w:r w:rsidRPr="007B0115">
        <w:rPr>
          <w:i/>
        </w:rPr>
        <w:t>indirect estimation</w:t>
      </w:r>
      <w:r w:rsidRPr="007B0115">
        <w:t>:</w:t>
      </w:r>
    </w:p>
    <w:p w14:paraId="4362066F" w14:textId="77777777" w:rsidR="004F346E" w:rsidRPr="007B0115" w:rsidRDefault="004F346E" w:rsidP="00AB6C96">
      <w:pPr>
        <w:pStyle w:val="BulletLevel2"/>
      </w:pPr>
      <w:r w:rsidRPr="007B0115">
        <w:rPr>
          <w:i/>
          <w:u w:val="single"/>
        </w:rPr>
        <w:t>Direct Empirical</w:t>
      </w:r>
      <w:r w:rsidRPr="007B0115">
        <w:rPr>
          <w:i/>
        </w:rPr>
        <w:t>:</w:t>
      </w:r>
      <w:r w:rsidRPr="007B0115">
        <w:t xml:space="preserve"> These approaches are based on data collection for a representative sample of existing buildings that have been built or renovated subject to the subject code.</w:t>
      </w:r>
      <w:r w:rsidR="007B6120">
        <w:t xml:space="preserve"> </w:t>
      </w:r>
    </w:p>
    <w:p w14:paraId="229D9DE1" w14:textId="77777777" w:rsidR="004F346E" w:rsidRPr="007B0115" w:rsidRDefault="004F346E" w:rsidP="00AB6C96">
      <w:pPr>
        <w:pStyle w:val="BulletLevel1"/>
      </w:pPr>
      <w:r w:rsidRPr="007B0115">
        <w:t xml:space="preserve">With the </w:t>
      </w:r>
      <w:r w:rsidRPr="007B0115">
        <w:rPr>
          <w:i/>
        </w:rPr>
        <w:t>modeling version of this approach,</w:t>
      </w:r>
      <w:r w:rsidRPr="007B0115">
        <w:t xml:space="preserve"> a</w:t>
      </w:r>
      <w:r w:rsidR="00615B64">
        <w:t>n empirically tested</w:t>
      </w:r>
      <w:r w:rsidRPr="007B0115">
        <w:t xml:space="preserve"> building energy simulation model is used with typical weather data and actual characteristics for the sample buildings.</w:t>
      </w:r>
      <w:r w:rsidR="007B6120">
        <w:t xml:space="preserve"> </w:t>
      </w:r>
      <w:r w:rsidRPr="007B0115">
        <w:t xml:space="preserve">With the </w:t>
      </w:r>
      <w:r w:rsidRPr="007B0115">
        <w:rPr>
          <w:i/>
        </w:rPr>
        <w:t>billing/energy data analysis approach</w:t>
      </w:r>
      <w:r w:rsidRPr="007B0115">
        <w:t>, energy bills from buildings built or renovated under the new code are compared with energy bills of buildings constructed prior to the new code., The models or billing analyses are used for:</w:t>
      </w:r>
    </w:p>
    <w:p w14:paraId="13BE7424" w14:textId="77777777" w:rsidR="004F346E" w:rsidRPr="007B0115" w:rsidRDefault="004F346E" w:rsidP="00AB6C96">
      <w:pPr>
        <w:pStyle w:val="BulletLevel2"/>
      </w:pPr>
      <w:r w:rsidRPr="007B0115">
        <w:rPr>
          <w:i/>
        </w:rPr>
        <w:t>Electricity savings</w:t>
      </w:r>
      <w:r w:rsidRPr="007B0115">
        <w:t xml:space="preserve"> (net of compliance) – estimated by comparing the modeled energy use of an as-built building to modeled use of the same configuration building if it were built to meet the prior code exactly, or comparing buildings built under the new code to similar buildings built prior to the new code. </w:t>
      </w:r>
    </w:p>
    <w:p w14:paraId="0C7A53C9" w14:textId="77777777" w:rsidR="004F346E" w:rsidRPr="007B0115" w:rsidRDefault="004F346E" w:rsidP="00AB6C96">
      <w:pPr>
        <w:pStyle w:val="BulletLevel2"/>
      </w:pPr>
      <w:r w:rsidRPr="007B0115">
        <w:rPr>
          <w:i/>
        </w:rPr>
        <w:t>Compliance rates</w:t>
      </w:r>
      <w:r w:rsidRPr="007B0115">
        <w:t xml:space="preserve"> – estimated by comparing the modeled energy use of an as-built building to modeled use of the same building if it were built to meet the current code exactly.</w:t>
      </w:r>
      <w:r w:rsidRPr="007B0115">
        <w:rPr>
          <w:rStyle w:val="FootnoteReference"/>
          <w:rFonts w:asciiTheme="majorHAnsi" w:hAnsiTheme="majorHAnsi"/>
          <w:szCs w:val="22"/>
        </w:rPr>
        <w:footnoteReference w:id="57"/>
      </w:r>
    </w:p>
    <w:p w14:paraId="4BECFD2B" w14:textId="77777777" w:rsidR="004F346E" w:rsidRPr="007B0115" w:rsidRDefault="004F346E" w:rsidP="00AB6C96">
      <w:pPr>
        <w:pStyle w:val="BulletLevel1"/>
      </w:pPr>
      <w:r w:rsidRPr="007B0115">
        <w:rPr>
          <w:i/>
          <w:u w:val="single"/>
        </w:rPr>
        <w:lastRenderedPageBreak/>
        <w:t>Indirect Estimation:</w:t>
      </w:r>
      <w:r w:rsidRPr="007B0115">
        <w:rPr>
          <w:i/>
        </w:rPr>
        <w:t xml:space="preserve"> </w:t>
      </w:r>
      <w:r w:rsidRPr="007B0115">
        <w:t>This approach is associated primarily with assessing code compliance rates using secondary information, such as documents filed with building departments, building audits, or surveys of code officials. The DOE/PNNL checklist, developed under the American Reinvestment and Recovery Act (ARRA), is an example of a method that provides such an approach for assessing code compliance.</w:t>
      </w:r>
      <w:r w:rsidRPr="007B0115">
        <w:rPr>
          <w:vertAlign w:val="superscript"/>
        </w:rPr>
        <w:footnoteReference w:id="58"/>
      </w:r>
      <w:r w:rsidRPr="007B0115">
        <w:t xml:space="preserve"> </w:t>
      </w:r>
    </w:p>
    <w:p w14:paraId="5DB92878" w14:textId="77777777" w:rsidR="004F346E" w:rsidRPr="00D54F03" w:rsidRDefault="004F346E" w:rsidP="00703A52">
      <w:pPr>
        <w:pStyle w:val="BodyTextIndent"/>
        <w:rPr>
          <w:rFonts w:asciiTheme="majorHAnsi" w:hAnsiTheme="majorHAnsi"/>
          <w:szCs w:val="22"/>
        </w:rPr>
      </w:pPr>
      <w:r w:rsidRPr="007B0115">
        <w:t>The recommended approach for determining electricity savings involves accounting for naturally occurring market adoption (NOMAD) of measures that are required by the code. NOMAD may be estimated through collection of market data or through expert judgment techniques. Acceptable approaches include conducting literature searches on the penetration rates of similar technologies with similar product characteristics, the use of expert opinions (e.g., via a Delphi process) on the expected penetration rates in the absence of a code requirement, and reviewing relevant market data. Use of multiple approaches is encouraged.</w:t>
      </w:r>
    </w:p>
    <w:p w14:paraId="2352793C" w14:textId="77777777" w:rsidR="004F346E" w:rsidRPr="00D54F03" w:rsidRDefault="004F346E" w:rsidP="00703A52">
      <w:pPr>
        <w:pStyle w:val="BodyTextIndent"/>
      </w:pPr>
      <w:r w:rsidRPr="00D54F03">
        <w:t>Data on the amount of construction and retrofits that would be affected by the new code each year (i.e., how many square feet of each building type will be built or renovated in a given year) are available from various resources such as:</w:t>
      </w:r>
    </w:p>
    <w:p w14:paraId="2E01AD05" w14:textId="77777777" w:rsidR="004F346E" w:rsidRPr="00D54F03" w:rsidRDefault="004F346E" w:rsidP="00AB6C96">
      <w:pPr>
        <w:pStyle w:val="BulletLevel2"/>
      </w:pPr>
      <w:r w:rsidRPr="00D54F03">
        <w:t xml:space="preserve">Industry statistics published by construction trade organizations </w:t>
      </w:r>
    </w:p>
    <w:p w14:paraId="11575177" w14:textId="77777777" w:rsidR="004F346E" w:rsidRPr="00D54F03" w:rsidRDefault="004F346E" w:rsidP="00AB6C96">
      <w:pPr>
        <w:pStyle w:val="BulletLevel2"/>
      </w:pPr>
      <w:r w:rsidRPr="00D54F03">
        <w:t xml:space="preserve">Publicly available building and renovation permit reports </w:t>
      </w:r>
    </w:p>
    <w:p w14:paraId="5DDD01FE" w14:textId="77777777" w:rsidR="004F346E" w:rsidRPr="00D54F03" w:rsidRDefault="004F346E" w:rsidP="00AB6C96">
      <w:pPr>
        <w:pStyle w:val="BulletLevel2"/>
      </w:pPr>
      <w:r w:rsidRPr="00D54F03">
        <w:t>Data purchased from market research firms</w:t>
      </w:r>
    </w:p>
    <w:p w14:paraId="02A25D38" w14:textId="77777777" w:rsidR="004F346E" w:rsidRPr="00D54F03" w:rsidRDefault="004F346E" w:rsidP="00AB6C96">
      <w:pPr>
        <w:pStyle w:val="BulletLevel2"/>
      </w:pPr>
      <w:r w:rsidRPr="00D54F03">
        <w:t xml:space="preserve">U.S. Census data (used to scale national numbers to </w:t>
      </w:r>
      <w:r w:rsidR="00EC6835">
        <w:t>state</w:t>
      </w:r>
      <w:r w:rsidRPr="00D54F03">
        <w:t>-specific values)</w:t>
      </w:r>
    </w:p>
    <w:p w14:paraId="29DEEF0F" w14:textId="77777777" w:rsidR="004F346E" w:rsidRPr="007B0115" w:rsidRDefault="00B63F1F" w:rsidP="00B24B72">
      <w:pPr>
        <w:pStyle w:val="BulletLevel1"/>
        <w:rPr>
          <w:rFonts w:asciiTheme="majorHAnsi" w:hAnsiTheme="majorHAnsi"/>
          <w:b/>
          <w:szCs w:val="22"/>
        </w:rPr>
      </w:pPr>
      <w:r>
        <w:rPr>
          <w:b/>
        </w:rPr>
        <w:t>Accuracy</w:t>
      </w:r>
      <w:r w:rsidR="004F346E" w:rsidRPr="00EB2D4E">
        <w:rPr>
          <w:b/>
        </w:rPr>
        <w:t xml:space="preserve"> and reliability of reported savings values</w:t>
      </w:r>
      <w:r w:rsidR="004F346E" w:rsidRPr="00EB2D4E">
        <w:t xml:space="preserve"> –</w:t>
      </w:r>
      <w:r w:rsidR="004F346E" w:rsidRPr="007B0115">
        <w:t xml:space="preserve"> As discussed in Section </w:t>
      </w:r>
      <w:r w:rsidR="00B24B72">
        <w:t>2</w:t>
      </w:r>
      <w:r w:rsidR="004F346E" w:rsidRPr="007B0115">
        <w:t>.6, the certainty of reported savings values should be described in monitoring and verification reports with a discussion of the EM&amp;V method(s) used, potential risks and biases, and related quality</w:t>
      </w:r>
      <w:r w:rsidR="00C86DF5">
        <w:t>-</w:t>
      </w:r>
      <w:r w:rsidR="004F346E" w:rsidRPr="007B0115">
        <w:t xml:space="preserve">control measures utilized. It is particularly important to specify the </w:t>
      </w:r>
      <w:r w:rsidR="004F346E" w:rsidRPr="007B0115">
        <w:rPr>
          <w:i/>
        </w:rPr>
        <w:t>source(s) of construction and renovation data, per-unit savings estimates, compliance rates, and NOMAD</w:t>
      </w:r>
      <w:r w:rsidR="004F346E" w:rsidRPr="007B0115">
        <w:t>. If sampling is used to determine savings, the confidence and precision of the sample metric (e.g., compliance rates) should be reported.</w:t>
      </w:r>
      <w:r w:rsidR="007B6120">
        <w:t xml:space="preserve"> </w:t>
      </w:r>
    </w:p>
    <w:p w14:paraId="6885D164" w14:textId="77777777" w:rsidR="004F346E" w:rsidRPr="007B0115" w:rsidRDefault="004F346E" w:rsidP="00AB6C96">
      <w:pPr>
        <w:pStyle w:val="BulletLevel1"/>
      </w:pPr>
      <w:r w:rsidRPr="007B0115">
        <w:rPr>
          <w:b/>
        </w:rPr>
        <w:t xml:space="preserve">Evaluation cycles </w:t>
      </w:r>
      <w:r w:rsidRPr="007B0115">
        <w:t xml:space="preserve">– Construction/renovation square-footage data should be updated at least biennially and per-unit electricity savings values updated at least once every 4 years or whenever new building energy codes are put in place for the building type(s), whichever is more often. </w:t>
      </w:r>
      <w:r w:rsidR="00FC2F8A">
        <w:t>T</w:t>
      </w:r>
      <w:r w:rsidRPr="007B0115">
        <w:t xml:space="preserve">he principle metrics that should be </w:t>
      </w:r>
      <w:r w:rsidRPr="007B0115">
        <w:rPr>
          <w:i/>
        </w:rPr>
        <w:t>updated at least every 4 years</w:t>
      </w:r>
      <w:r w:rsidRPr="007B0115">
        <w:t xml:space="preserve"> are baselines with respect to:</w:t>
      </w:r>
    </w:p>
    <w:p w14:paraId="70BEC9FC" w14:textId="77777777" w:rsidR="004F346E" w:rsidRPr="007B0115" w:rsidRDefault="004F346E" w:rsidP="00AB6C96">
      <w:pPr>
        <w:pStyle w:val="BulletLevel2"/>
      </w:pPr>
      <w:r w:rsidRPr="007B0115">
        <w:t xml:space="preserve">Any new </w:t>
      </w:r>
      <w:r w:rsidR="00EC6835">
        <w:t>state</w:t>
      </w:r>
      <w:r w:rsidRPr="007B0115">
        <w:t xml:space="preserve"> or local building energy codes that have come into force, and</w:t>
      </w:r>
    </w:p>
    <w:p w14:paraId="6257AE86" w14:textId="77777777" w:rsidR="004F346E" w:rsidRPr="007B0115" w:rsidRDefault="004F346E" w:rsidP="00AB6C96">
      <w:pPr>
        <w:pStyle w:val="BulletLevel2"/>
      </w:pPr>
      <w:r w:rsidRPr="007B0115">
        <w:t>NOMAD – as construction practices, with respect to efficiency, would be expected to change over time, in the absence of codes, so that the CPB in, for example, 2029 might be much more ”efficient” than in 2025.</w:t>
      </w:r>
    </w:p>
    <w:p w14:paraId="58CF2CC2" w14:textId="77777777" w:rsidR="004F346E" w:rsidRPr="007B0115" w:rsidRDefault="00B54F43" w:rsidP="00AB6C96">
      <w:pPr>
        <w:pStyle w:val="BulletLevel1"/>
      </w:pPr>
      <w:r w:rsidRPr="006D78FC">
        <w:rPr>
          <w:rStyle w:val="Heading3Char"/>
          <w:rFonts w:eastAsiaTheme="minorEastAsia"/>
          <w:noProof/>
        </w:rPr>
        <w:lastRenderedPageBreak/>
        <mc:AlternateContent>
          <mc:Choice Requires="wps">
            <w:drawing>
              <wp:anchor distT="0" distB="0" distL="114300" distR="114300" simplePos="0" relativeHeight="251649536" behindDoc="0" locked="0" layoutInCell="1" allowOverlap="1" wp14:anchorId="1A05EB4A" wp14:editId="70203F16">
                <wp:simplePos x="0" y="0"/>
                <wp:positionH relativeFrom="margin">
                  <wp:align>center</wp:align>
                </wp:positionH>
                <wp:positionV relativeFrom="paragraph">
                  <wp:posOffset>1828800</wp:posOffset>
                </wp:positionV>
                <wp:extent cx="5715000" cy="5431536"/>
                <wp:effectExtent l="57150" t="38100" r="76200" b="93345"/>
                <wp:wrapSquare wrapText="bothSides"/>
                <wp:docPr id="33" name="Text Box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5431536"/>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6C0C3FE6" w14:textId="77777777" w:rsidR="00133485" w:rsidRPr="009F2C48" w:rsidRDefault="00133485" w:rsidP="004F346E">
                            <w:pPr>
                              <w:spacing w:before="120" w:after="120"/>
                              <w:jc w:val="center"/>
                              <w:rPr>
                                <w:rFonts w:asciiTheme="majorHAnsi" w:hAnsiTheme="majorHAnsi"/>
                                <w:b/>
                                <w:sz w:val="20"/>
                                <w:szCs w:val="20"/>
                              </w:rPr>
                            </w:pPr>
                            <w:r>
                              <w:rPr>
                                <w:rFonts w:asciiTheme="majorHAnsi" w:hAnsiTheme="majorHAnsi"/>
                                <w:b/>
                                <w:sz w:val="20"/>
                                <w:szCs w:val="20"/>
                              </w:rPr>
                              <w:t>Select EM&amp;V Resources for Quantifying Savings from Building Codes</w:t>
                            </w:r>
                          </w:p>
                          <w:p w14:paraId="2CFC5CA2" w14:textId="77777777" w:rsidR="00133485" w:rsidRDefault="00133485" w:rsidP="00057B95">
                            <w:pPr>
                              <w:pStyle w:val="BulletLevel1"/>
                              <w:numPr>
                                <w:ilvl w:val="0"/>
                                <w:numId w:val="0"/>
                              </w:numPr>
                              <w:ind w:left="360" w:hanging="360"/>
                              <w:rPr>
                                <w:sz w:val="20"/>
                                <w:szCs w:val="20"/>
                              </w:rPr>
                            </w:pPr>
                            <w:r w:rsidRPr="00A22298">
                              <w:rPr>
                                <w:sz w:val="20"/>
                                <w:szCs w:val="20"/>
                              </w:rPr>
                              <w:t>The following studies reflect the state-of-the-art regarding ex-post impact evaluation for building codes:</w:t>
                            </w:r>
                            <w:r>
                              <w:rPr>
                                <w:sz w:val="20"/>
                                <w:szCs w:val="20"/>
                              </w:rPr>
                              <w:t xml:space="preserve"> </w:t>
                            </w:r>
                          </w:p>
                          <w:p w14:paraId="687A72EA" w14:textId="77777777" w:rsidR="00133485" w:rsidRPr="00DE5F42" w:rsidRDefault="00133485" w:rsidP="008A6056">
                            <w:pPr>
                              <w:pStyle w:val="BulletLevel1"/>
                              <w:spacing w:after="80"/>
                              <w:ind w:left="180" w:hanging="180"/>
                              <w:rPr>
                                <w:sz w:val="20"/>
                                <w:szCs w:val="20"/>
                              </w:rPr>
                            </w:pPr>
                            <w:r w:rsidRPr="00DE5F42">
                              <w:rPr>
                                <w:sz w:val="20"/>
                                <w:szCs w:val="20"/>
                              </w:rPr>
                              <w:t xml:space="preserve">Building Energy Codes Program: National Benefits Assessment, 1992–2040. 2014. Pacific Northwest National Laboratory </w:t>
                            </w:r>
                          </w:p>
                          <w:p w14:paraId="3C976076" w14:textId="77777777" w:rsidR="00133485" w:rsidRPr="00DE5F42" w:rsidRDefault="00133485" w:rsidP="008A6056">
                            <w:pPr>
                              <w:pStyle w:val="BulletLevel1"/>
                              <w:spacing w:after="80"/>
                              <w:ind w:left="180" w:hanging="180"/>
                              <w:rPr>
                                <w:sz w:val="20"/>
                                <w:szCs w:val="20"/>
                              </w:rPr>
                            </w:pPr>
                            <w:r w:rsidRPr="00DE5F42">
                              <w:rPr>
                                <w:sz w:val="20"/>
                                <w:szCs w:val="20"/>
                              </w:rPr>
                              <w:t xml:space="preserve">Measuring State Energy Code Compliance. 2010. Pacific Northwest National Laboratory </w:t>
                            </w:r>
                          </w:p>
                          <w:p w14:paraId="165C6676" w14:textId="77777777" w:rsidR="00133485" w:rsidRPr="00DE5F42" w:rsidRDefault="00133485" w:rsidP="008A6056">
                            <w:pPr>
                              <w:pStyle w:val="BulletLevel1"/>
                              <w:spacing w:after="80"/>
                              <w:ind w:left="180" w:hanging="180"/>
                              <w:rPr>
                                <w:sz w:val="20"/>
                                <w:szCs w:val="20"/>
                              </w:rPr>
                            </w:pPr>
                            <w:r w:rsidRPr="00DE5F42">
                              <w:rPr>
                                <w:sz w:val="20"/>
                                <w:szCs w:val="20"/>
                              </w:rPr>
                              <w:t>Residential Energy Code Compliance Evaluation: Guidance for Project Teams, Draft. November 2014. Pacific Northwest National Laboratory. PNNL-23538</w:t>
                            </w:r>
                          </w:p>
                          <w:p w14:paraId="71D37D4E" w14:textId="77777777" w:rsidR="00133485" w:rsidRPr="00DE5F42" w:rsidRDefault="00133485" w:rsidP="008A6056">
                            <w:pPr>
                              <w:pStyle w:val="BulletLevel1"/>
                              <w:spacing w:after="80"/>
                              <w:ind w:left="180" w:hanging="180"/>
                              <w:rPr>
                                <w:sz w:val="20"/>
                                <w:szCs w:val="20"/>
                              </w:rPr>
                            </w:pPr>
                            <w:r w:rsidRPr="00DE5F42">
                              <w:rPr>
                                <w:sz w:val="20"/>
                                <w:szCs w:val="20"/>
                              </w:rPr>
                              <w:t xml:space="preserve">California Energy Efficiency Evaluation Protocols: Technical, Methodological, and Reporting Requirements for Evaluation Professionals, Codes And Standards And Compliance Enhancement Evaluation Protocol, April 2006, Prepared for the California Public Utilities Commission by The </w:t>
                            </w:r>
                            <w:proofErr w:type="spellStart"/>
                            <w:r w:rsidRPr="00DE5F42">
                              <w:rPr>
                                <w:sz w:val="20"/>
                                <w:szCs w:val="20"/>
                              </w:rPr>
                              <w:t>TecMarket</w:t>
                            </w:r>
                            <w:proofErr w:type="spellEnd"/>
                            <w:r w:rsidRPr="00DE5F42">
                              <w:rPr>
                                <w:sz w:val="20"/>
                                <w:szCs w:val="20"/>
                              </w:rPr>
                              <w:t xml:space="preserve"> Works Team</w:t>
                            </w:r>
                          </w:p>
                          <w:p w14:paraId="597AFB44" w14:textId="77777777" w:rsidR="00133485" w:rsidRPr="00DE5F42" w:rsidRDefault="00133485" w:rsidP="008A6056">
                            <w:pPr>
                              <w:pStyle w:val="BulletLevel1"/>
                              <w:spacing w:after="80"/>
                              <w:ind w:left="180" w:hanging="180"/>
                              <w:rPr>
                                <w:sz w:val="20"/>
                                <w:szCs w:val="20"/>
                              </w:rPr>
                            </w:pPr>
                            <w:r w:rsidRPr="00DE5F42">
                              <w:rPr>
                                <w:sz w:val="20"/>
                                <w:szCs w:val="20"/>
                              </w:rPr>
                              <w:t>Attributing Building Energy Code Savings to Energy Efficiency Programs, Prepared by The Cadmus Group, Inc., Energy Futures Group, NMR, and Optimal Energy for the Northeast Energy Efficiency Partnerships (NEEP) and its funding partners, the Institute for Market Transformation (IMT) and IEE. February 2013</w:t>
                            </w:r>
                          </w:p>
                          <w:p w14:paraId="5E064920" w14:textId="77777777" w:rsidR="00133485" w:rsidRPr="00DE5F42" w:rsidRDefault="00133485" w:rsidP="008A6056">
                            <w:pPr>
                              <w:pStyle w:val="BulletLevel1"/>
                              <w:spacing w:after="80"/>
                              <w:ind w:left="180" w:hanging="180"/>
                              <w:rPr>
                                <w:sz w:val="20"/>
                                <w:szCs w:val="20"/>
                              </w:rPr>
                            </w:pPr>
                            <w:r w:rsidRPr="00DE5F42">
                              <w:rPr>
                                <w:sz w:val="20"/>
                                <w:szCs w:val="20"/>
                              </w:rPr>
                              <w:t xml:space="preserve">Statewide Codes and Standards Program Impact Evaluation Report </w:t>
                            </w:r>
                            <w:r>
                              <w:rPr>
                                <w:sz w:val="20"/>
                                <w:szCs w:val="20"/>
                              </w:rPr>
                              <w:t>f</w:t>
                            </w:r>
                            <w:r w:rsidRPr="00DE5F42">
                              <w:rPr>
                                <w:sz w:val="20"/>
                                <w:szCs w:val="20"/>
                              </w:rPr>
                              <w:t>or Program Years 2010-2012. August 2014. Prepared for: California Public Utilities Commission Prepared by Cadmus, Energy Services Division and DNV GL</w:t>
                            </w:r>
                          </w:p>
                          <w:p w14:paraId="32304045" w14:textId="77777777" w:rsidR="00133485" w:rsidRPr="00DE5F42" w:rsidRDefault="00133485" w:rsidP="008A6056">
                            <w:pPr>
                              <w:pStyle w:val="BulletLevel1"/>
                              <w:spacing w:after="80"/>
                              <w:ind w:left="180" w:hanging="180"/>
                              <w:rPr>
                                <w:sz w:val="20"/>
                                <w:szCs w:val="20"/>
                              </w:rPr>
                            </w:pPr>
                            <w:r w:rsidRPr="00DE5F42">
                              <w:rPr>
                                <w:sz w:val="20"/>
                                <w:szCs w:val="20"/>
                              </w:rPr>
                              <w:t>Resource Guide for Policy Makers. June 2011. U</w:t>
                            </w:r>
                            <w:r>
                              <w:rPr>
                                <w:sz w:val="20"/>
                                <w:szCs w:val="20"/>
                              </w:rPr>
                              <w:t>.</w:t>
                            </w:r>
                            <w:r w:rsidRPr="00DE5F42">
                              <w:rPr>
                                <w:sz w:val="20"/>
                                <w:szCs w:val="20"/>
                              </w:rPr>
                              <w:t>S</w:t>
                            </w:r>
                            <w:r>
                              <w:rPr>
                                <w:sz w:val="20"/>
                                <w:szCs w:val="20"/>
                              </w:rPr>
                              <w:t>.</w:t>
                            </w:r>
                            <w:r w:rsidRPr="00DE5F42">
                              <w:rPr>
                                <w:sz w:val="20"/>
                                <w:szCs w:val="20"/>
                              </w:rPr>
                              <w:t xml:space="preserve"> DOE Building Energy Codes Program</w:t>
                            </w:r>
                          </w:p>
                          <w:p w14:paraId="001E6346" w14:textId="77777777" w:rsidR="00133485" w:rsidRPr="00DE5F42" w:rsidRDefault="00133485" w:rsidP="008A6056">
                            <w:pPr>
                              <w:pStyle w:val="BodyText"/>
                              <w:spacing w:after="80"/>
                              <w:rPr>
                                <w:sz w:val="20"/>
                                <w:szCs w:val="20"/>
                              </w:rPr>
                            </w:pPr>
                            <w:r w:rsidRPr="00DE5F42">
                              <w:rPr>
                                <w:sz w:val="20"/>
                                <w:szCs w:val="20"/>
                              </w:rPr>
                              <w:t xml:space="preserve">The following are reports that </w:t>
                            </w:r>
                            <w:r>
                              <w:rPr>
                                <w:sz w:val="20"/>
                                <w:szCs w:val="20"/>
                              </w:rPr>
                              <w:t>use</w:t>
                            </w:r>
                            <w:r w:rsidRPr="00DE5F42">
                              <w:rPr>
                                <w:sz w:val="20"/>
                                <w:szCs w:val="20"/>
                              </w:rPr>
                              <w:t xml:space="preserve"> or discuss </w:t>
                            </w:r>
                            <w:r>
                              <w:rPr>
                                <w:sz w:val="20"/>
                                <w:szCs w:val="20"/>
                              </w:rPr>
                              <w:t>“</w:t>
                            </w:r>
                            <w:r w:rsidRPr="00DE5F42">
                              <w:rPr>
                                <w:sz w:val="20"/>
                                <w:szCs w:val="20"/>
                              </w:rPr>
                              <w:t>top down</w:t>
                            </w:r>
                            <w:r>
                              <w:rPr>
                                <w:sz w:val="20"/>
                                <w:szCs w:val="20"/>
                              </w:rPr>
                              <w:t>” (econometric)</w:t>
                            </w:r>
                            <w:r w:rsidRPr="00DE5F42">
                              <w:rPr>
                                <w:sz w:val="20"/>
                                <w:szCs w:val="20"/>
                              </w:rPr>
                              <w:t xml:space="preserve"> evaluation of codes:</w:t>
                            </w:r>
                          </w:p>
                          <w:p w14:paraId="28D31D7E" w14:textId="77777777" w:rsidR="00133485" w:rsidRPr="00DE5F42" w:rsidRDefault="00133485" w:rsidP="008A6056">
                            <w:pPr>
                              <w:pStyle w:val="BulletLevel1"/>
                              <w:spacing w:after="80"/>
                              <w:ind w:left="180" w:hanging="180"/>
                              <w:rPr>
                                <w:sz w:val="20"/>
                                <w:szCs w:val="20"/>
                              </w:rPr>
                            </w:pPr>
                            <w:r w:rsidRPr="00DE5F42">
                              <w:rPr>
                                <w:sz w:val="20"/>
                                <w:szCs w:val="20"/>
                              </w:rPr>
                              <w:t xml:space="preserve">The Impact of State Level Building Codes on Residential Electricity Consumption, </w:t>
                            </w:r>
                            <w:proofErr w:type="spellStart"/>
                            <w:r w:rsidRPr="00DE5F42">
                              <w:rPr>
                                <w:sz w:val="20"/>
                                <w:szCs w:val="20"/>
                              </w:rPr>
                              <w:t>Anin</w:t>
                            </w:r>
                            <w:proofErr w:type="spellEnd"/>
                            <w:r w:rsidRPr="00DE5F42">
                              <w:rPr>
                                <w:sz w:val="20"/>
                                <w:szCs w:val="20"/>
                              </w:rPr>
                              <w:t xml:space="preserve"> </w:t>
                            </w:r>
                            <w:proofErr w:type="spellStart"/>
                            <w:r w:rsidRPr="00DE5F42">
                              <w:rPr>
                                <w:sz w:val="20"/>
                                <w:szCs w:val="20"/>
                              </w:rPr>
                              <w:t>Aroonruengsawat</w:t>
                            </w:r>
                            <w:proofErr w:type="spellEnd"/>
                            <w:r>
                              <w:rPr>
                                <w:sz w:val="20"/>
                                <w:szCs w:val="20"/>
                              </w:rPr>
                              <w:t>,</w:t>
                            </w:r>
                            <w:r w:rsidRPr="00DE5F42">
                              <w:rPr>
                                <w:sz w:val="20"/>
                                <w:szCs w:val="20"/>
                              </w:rPr>
                              <w:t xml:space="preserve">* Maximilian </w:t>
                            </w:r>
                            <w:proofErr w:type="spellStart"/>
                            <w:r w:rsidRPr="00DE5F42">
                              <w:rPr>
                                <w:sz w:val="20"/>
                                <w:szCs w:val="20"/>
                              </w:rPr>
                              <w:t>Auffhammer</w:t>
                            </w:r>
                            <w:proofErr w:type="spellEnd"/>
                            <w:r>
                              <w:rPr>
                                <w:sz w:val="20"/>
                                <w:szCs w:val="20"/>
                              </w:rPr>
                              <w:t>,</w:t>
                            </w:r>
                            <w:r w:rsidRPr="00DE5F42">
                              <w:rPr>
                                <w:sz w:val="20"/>
                                <w:szCs w:val="20"/>
                              </w:rPr>
                              <w:t xml:space="preserve">** and Alan H. </w:t>
                            </w:r>
                            <w:proofErr w:type="spellStart"/>
                            <w:r w:rsidRPr="00DE5F42">
                              <w:rPr>
                                <w:sz w:val="20"/>
                                <w:szCs w:val="20"/>
                              </w:rPr>
                              <w:t>Sanstad</w:t>
                            </w:r>
                            <w:proofErr w:type="spellEnd"/>
                            <w:r w:rsidRPr="00DE5F42">
                              <w:rPr>
                                <w:sz w:val="20"/>
                                <w:szCs w:val="20"/>
                              </w:rPr>
                              <w:t>, Energy Journal 2012, Volume 33, Number 1</w:t>
                            </w:r>
                          </w:p>
                          <w:p w14:paraId="461F32EE" w14:textId="77777777" w:rsidR="00133485" w:rsidRPr="00DE5F42" w:rsidRDefault="00133485" w:rsidP="008A6056">
                            <w:pPr>
                              <w:pStyle w:val="BulletLevel1"/>
                              <w:spacing w:after="80"/>
                              <w:ind w:left="180" w:hanging="180"/>
                              <w:rPr>
                                <w:sz w:val="20"/>
                                <w:szCs w:val="20"/>
                              </w:rPr>
                            </w:pPr>
                            <w:r w:rsidRPr="00DE5F42">
                              <w:rPr>
                                <w:sz w:val="20"/>
                                <w:szCs w:val="20"/>
                              </w:rPr>
                              <w:t xml:space="preserve">Are Building Codes Effective </w:t>
                            </w:r>
                            <w:r>
                              <w:rPr>
                                <w:sz w:val="20"/>
                                <w:szCs w:val="20"/>
                              </w:rPr>
                              <w:t>a</w:t>
                            </w:r>
                            <w:r w:rsidRPr="00DE5F42">
                              <w:rPr>
                                <w:sz w:val="20"/>
                                <w:szCs w:val="20"/>
                              </w:rPr>
                              <w:t xml:space="preserve">t Saving Energy? Evidence From Residential Billing Data In Florida, Grant D. Jacobsen and Matthew J. </w:t>
                            </w:r>
                            <w:proofErr w:type="spellStart"/>
                            <w:r w:rsidRPr="00DE5F42">
                              <w:rPr>
                                <w:sz w:val="20"/>
                                <w:szCs w:val="20"/>
                              </w:rPr>
                              <w:t>Kotchen</w:t>
                            </w:r>
                            <w:proofErr w:type="spellEnd"/>
                            <w:r w:rsidRPr="00DE5F42">
                              <w:rPr>
                                <w:sz w:val="20"/>
                                <w:szCs w:val="20"/>
                              </w:rPr>
                              <w:t>*, The Review of Economics and Statistics, March 2013, 95(1): 34–49</w:t>
                            </w:r>
                          </w:p>
                          <w:p w14:paraId="35F1B99D" w14:textId="77777777" w:rsidR="00133485" w:rsidRPr="00DE5F42" w:rsidRDefault="00133485" w:rsidP="008A6056">
                            <w:pPr>
                              <w:pStyle w:val="BulletLevel1"/>
                              <w:spacing w:after="80"/>
                              <w:ind w:left="180" w:hanging="180"/>
                              <w:rPr>
                                <w:sz w:val="20"/>
                                <w:szCs w:val="20"/>
                              </w:rPr>
                            </w:pPr>
                            <w:r w:rsidRPr="00DE5F42">
                              <w:rPr>
                                <w:sz w:val="20"/>
                                <w:szCs w:val="20"/>
                              </w:rPr>
                              <w:t>Analysis of Energy Saving Impacts of New Residential Energy Codes for the Gulf Coast. Lucas, R., ‘’’ The Pacific Northwest National Laboratory contract DE-AC05-76RL01830 (2007)</w:t>
                            </w:r>
                          </w:p>
                          <w:p w14:paraId="156A9E1F" w14:textId="77777777" w:rsidR="00133485" w:rsidRPr="00DE5F42" w:rsidRDefault="00133485" w:rsidP="008A6056">
                            <w:pPr>
                              <w:pStyle w:val="BulletLevel1"/>
                              <w:spacing w:after="80"/>
                              <w:ind w:left="180" w:hanging="180"/>
                              <w:rPr>
                                <w:sz w:val="20"/>
                                <w:szCs w:val="20"/>
                              </w:rPr>
                            </w:pPr>
                            <w:r w:rsidRPr="00DE5F42">
                              <w:rPr>
                                <w:sz w:val="20"/>
                                <w:szCs w:val="20"/>
                              </w:rPr>
                              <w:t xml:space="preserve">Why Has California’s Residential Electricity Consumption Been So Flat </w:t>
                            </w:r>
                            <w:proofErr w:type="gramStart"/>
                            <w:r>
                              <w:rPr>
                                <w:sz w:val="20"/>
                                <w:szCs w:val="20"/>
                              </w:rPr>
                              <w:t>S</w:t>
                            </w:r>
                            <w:r w:rsidRPr="00DE5F42">
                              <w:rPr>
                                <w:sz w:val="20"/>
                                <w:szCs w:val="20"/>
                              </w:rPr>
                              <w:t>ince</w:t>
                            </w:r>
                            <w:proofErr w:type="gramEnd"/>
                            <w:r w:rsidRPr="00DE5F42">
                              <w:rPr>
                                <w:sz w:val="20"/>
                                <w:szCs w:val="20"/>
                              </w:rPr>
                              <w:t xml:space="preserve"> the 1980s? A Micro-econometric Approach, Costa, D.L., and M.E. Kahn, NBER working paper 15978 (2010)</w:t>
                            </w:r>
                            <w:r>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5EB4A" id="Text Box 33" o:spid="_x0000_s1041" type="#_x0000_t202" style="position:absolute;left:0;text-align:left;margin-left:0;margin-top:2in;width:450pt;height:427.7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" fillcolor="#a7bfde [1620]" strokecolor="#4579b8 [3044]">
                <v:fill color2="#e4ecf5 [500]" rotate="t" angle="180" colors="0 #a3c4ff;22938f #bfd5ff;1 #e5eeff" focus="100%" type="gradient"/>
                <v:shadow on="t" color="black" opacity="24903f" origin=",.5" offset="0,.55556mm"/>
                <v:path arrowok="t"/>
                <o:lock v:ext="edit" aspectratio="t"/>
                <v:textbox>
                  <w:txbxContent>
                    <w:p w14:paraId="6C0C3FE6" w14:textId="77777777" w:rsidR="00133485" w:rsidRPr="009F2C48" w:rsidRDefault="00133485" w:rsidP="004F346E">
                      <w:pPr>
                        <w:spacing w:before="120" w:after="120"/>
                        <w:jc w:val="center"/>
                        <w:rPr>
                          <w:rFonts w:asciiTheme="majorHAnsi" w:hAnsiTheme="majorHAnsi"/>
                          <w:b/>
                          <w:sz w:val="20"/>
                          <w:szCs w:val="20"/>
                        </w:rPr>
                      </w:pPr>
                      <w:r>
                        <w:rPr>
                          <w:rFonts w:asciiTheme="majorHAnsi" w:hAnsiTheme="majorHAnsi"/>
                          <w:b/>
                          <w:sz w:val="20"/>
                          <w:szCs w:val="20"/>
                        </w:rPr>
                        <w:t>Select EM&amp;V Resources for Quantifying Savings from Building Codes</w:t>
                      </w:r>
                    </w:p>
                    <w:p w14:paraId="2CFC5CA2" w14:textId="77777777" w:rsidR="00133485" w:rsidRDefault="00133485" w:rsidP="00057B95">
                      <w:pPr>
                        <w:pStyle w:val="BulletLevel1"/>
                        <w:numPr>
                          <w:ilvl w:val="0"/>
                          <w:numId w:val="0"/>
                        </w:numPr>
                        <w:ind w:left="360" w:hanging="360"/>
                        <w:rPr>
                          <w:sz w:val="20"/>
                          <w:szCs w:val="20"/>
                        </w:rPr>
                      </w:pPr>
                      <w:r w:rsidRPr="00A22298">
                        <w:rPr>
                          <w:sz w:val="20"/>
                          <w:szCs w:val="20"/>
                        </w:rPr>
                        <w:t>The following studies reflect the state-of-the-art regarding ex-post impact evaluation for building codes:</w:t>
                      </w:r>
                      <w:r>
                        <w:rPr>
                          <w:sz w:val="20"/>
                          <w:szCs w:val="20"/>
                        </w:rPr>
                        <w:t xml:space="preserve"> </w:t>
                      </w:r>
                    </w:p>
                    <w:p w14:paraId="687A72EA" w14:textId="77777777" w:rsidR="00133485" w:rsidRPr="00DE5F42" w:rsidRDefault="00133485" w:rsidP="008A6056">
                      <w:pPr>
                        <w:pStyle w:val="BulletLevel1"/>
                        <w:spacing w:after="80"/>
                        <w:ind w:left="180" w:hanging="180"/>
                        <w:rPr>
                          <w:sz w:val="20"/>
                          <w:szCs w:val="20"/>
                        </w:rPr>
                      </w:pPr>
                      <w:r w:rsidRPr="00DE5F42">
                        <w:rPr>
                          <w:sz w:val="20"/>
                          <w:szCs w:val="20"/>
                        </w:rPr>
                        <w:t xml:space="preserve">Building Energy Codes Program: National Benefits Assessment, 1992–2040. 2014. Pacific Northwest National Laboratory </w:t>
                      </w:r>
                    </w:p>
                    <w:p w14:paraId="3C976076" w14:textId="77777777" w:rsidR="00133485" w:rsidRPr="00DE5F42" w:rsidRDefault="00133485" w:rsidP="008A6056">
                      <w:pPr>
                        <w:pStyle w:val="BulletLevel1"/>
                        <w:spacing w:after="80"/>
                        <w:ind w:left="180" w:hanging="180"/>
                        <w:rPr>
                          <w:sz w:val="20"/>
                          <w:szCs w:val="20"/>
                        </w:rPr>
                      </w:pPr>
                      <w:r w:rsidRPr="00DE5F42">
                        <w:rPr>
                          <w:sz w:val="20"/>
                          <w:szCs w:val="20"/>
                        </w:rPr>
                        <w:t xml:space="preserve">Measuring State Energy Code Compliance. 2010. Pacific Northwest National Laboratory </w:t>
                      </w:r>
                    </w:p>
                    <w:p w14:paraId="165C6676" w14:textId="77777777" w:rsidR="00133485" w:rsidRPr="00DE5F42" w:rsidRDefault="00133485" w:rsidP="008A6056">
                      <w:pPr>
                        <w:pStyle w:val="BulletLevel1"/>
                        <w:spacing w:after="80"/>
                        <w:ind w:left="180" w:hanging="180"/>
                        <w:rPr>
                          <w:sz w:val="20"/>
                          <w:szCs w:val="20"/>
                        </w:rPr>
                      </w:pPr>
                      <w:r w:rsidRPr="00DE5F42">
                        <w:rPr>
                          <w:sz w:val="20"/>
                          <w:szCs w:val="20"/>
                        </w:rPr>
                        <w:t>Residential Energy Code Compliance Evaluation: Guidance for Project Teams, Draft. November 2014. Pacific Northwest National Laboratory. PNNL-23538</w:t>
                      </w:r>
                    </w:p>
                    <w:p w14:paraId="71D37D4E" w14:textId="77777777" w:rsidR="00133485" w:rsidRPr="00DE5F42" w:rsidRDefault="00133485" w:rsidP="008A6056">
                      <w:pPr>
                        <w:pStyle w:val="BulletLevel1"/>
                        <w:spacing w:after="80"/>
                        <w:ind w:left="180" w:hanging="180"/>
                        <w:rPr>
                          <w:sz w:val="20"/>
                          <w:szCs w:val="20"/>
                        </w:rPr>
                      </w:pPr>
                      <w:r w:rsidRPr="00DE5F42">
                        <w:rPr>
                          <w:sz w:val="20"/>
                          <w:szCs w:val="20"/>
                        </w:rPr>
                        <w:t xml:space="preserve">California Energy Efficiency Evaluation Protocols: Technical, Methodological, and Reporting Requirements for Evaluation Professionals, Codes And Standards And Compliance Enhancement Evaluation Protocol, April 2006, Prepared for the California Public Utilities Commission by The </w:t>
                      </w:r>
                      <w:proofErr w:type="spellStart"/>
                      <w:r w:rsidRPr="00DE5F42">
                        <w:rPr>
                          <w:sz w:val="20"/>
                          <w:szCs w:val="20"/>
                        </w:rPr>
                        <w:t>TecMarket</w:t>
                      </w:r>
                      <w:proofErr w:type="spellEnd"/>
                      <w:r w:rsidRPr="00DE5F42">
                        <w:rPr>
                          <w:sz w:val="20"/>
                          <w:szCs w:val="20"/>
                        </w:rPr>
                        <w:t xml:space="preserve"> Works Team</w:t>
                      </w:r>
                    </w:p>
                    <w:p w14:paraId="597AFB44" w14:textId="77777777" w:rsidR="00133485" w:rsidRPr="00DE5F42" w:rsidRDefault="00133485" w:rsidP="008A6056">
                      <w:pPr>
                        <w:pStyle w:val="BulletLevel1"/>
                        <w:spacing w:after="80"/>
                        <w:ind w:left="180" w:hanging="180"/>
                        <w:rPr>
                          <w:sz w:val="20"/>
                          <w:szCs w:val="20"/>
                        </w:rPr>
                      </w:pPr>
                      <w:r w:rsidRPr="00DE5F42">
                        <w:rPr>
                          <w:sz w:val="20"/>
                          <w:szCs w:val="20"/>
                        </w:rPr>
                        <w:t>Attributing Building Energy Code Savings to Energy Efficiency Programs, Prepared by The Cadmus Group, Inc., Energy Futures Group, NMR, and Optimal Energy for the Northeast Energy Efficiency Partnerships (NEEP) and its funding partners, the Institute for Market Transformation (IMT) and IEE. February 2013</w:t>
                      </w:r>
                    </w:p>
                    <w:p w14:paraId="5E064920" w14:textId="77777777" w:rsidR="00133485" w:rsidRPr="00DE5F42" w:rsidRDefault="00133485" w:rsidP="008A6056">
                      <w:pPr>
                        <w:pStyle w:val="BulletLevel1"/>
                        <w:spacing w:after="80"/>
                        <w:ind w:left="180" w:hanging="180"/>
                        <w:rPr>
                          <w:sz w:val="20"/>
                          <w:szCs w:val="20"/>
                        </w:rPr>
                      </w:pPr>
                      <w:r w:rsidRPr="00DE5F42">
                        <w:rPr>
                          <w:sz w:val="20"/>
                          <w:szCs w:val="20"/>
                        </w:rPr>
                        <w:t xml:space="preserve">Statewide Codes and Standards Program Impact Evaluation Report </w:t>
                      </w:r>
                      <w:r>
                        <w:rPr>
                          <w:sz w:val="20"/>
                          <w:szCs w:val="20"/>
                        </w:rPr>
                        <w:t>f</w:t>
                      </w:r>
                      <w:r w:rsidRPr="00DE5F42">
                        <w:rPr>
                          <w:sz w:val="20"/>
                          <w:szCs w:val="20"/>
                        </w:rPr>
                        <w:t>or Program Years 2010-2012. August 2014. Prepared for: California Public Utilities Commission Prepared by Cadmus, Energy Services Division and DNV GL</w:t>
                      </w:r>
                    </w:p>
                    <w:p w14:paraId="32304045" w14:textId="77777777" w:rsidR="00133485" w:rsidRPr="00DE5F42" w:rsidRDefault="00133485" w:rsidP="008A6056">
                      <w:pPr>
                        <w:pStyle w:val="BulletLevel1"/>
                        <w:spacing w:after="80"/>
                        <w:ind w:left="180" w:hanging="180"/>
                        <w:rPr>
                          <w:sz w:val="20"/>
                          <w:szCs w:val="20"/>
                        </w:rPr>
                      </w:pPr>
                      <w:r w:rsidRPr="00DE5F42">
                        <w:rPr>
                          <w:sz w:val="20"/>
                          <w:szCs w:val="20"/>
                        </w:rPr>
                        <w:t>Resource Guide for Policy Makers. June 2011. U</w:t>
                      </w:r>
                      <w:r>
                        <w:rPr>
                          <w:sz w:val="20"/>
                          <w:szCs w:val="20"/>
                        </w:rPr>
                        <w:t>.</w:t>
                      </w:r>
                      <w:r w:rsidRPr="00DE5F42">
                        <w:rPr>
                          <w:sz w:val="20"/>
                          <w:szCs w:val="20"/>
                        </w:rPr>
                        <w:t>S</w:t>
                      </w:r>
                      <w:r>
                        <w:rPr>
                          <w:sz w:val="20"/>
                          <w:szCs w:val="20"/>
                        </w:rPr>
                        <w:t>.</w:t>
                      </w:r>
                      <w:r w:rsidRPr="00DE5F42">
                        <w:rPr>
                          <w:sz w:val="20"/>
                          <w:szCs w:val="20"/>
                        </w:rPr>
                        <w:t xml:space="preserve"> DOE Building Energy Codes Program</w:t>
                      </w:r>
                    </w:p>
                    <w:p w14:paraId="001E6346" w14:textId="77777777" w:rsidR="00133485" w:rsidRPr="00DE5F42" w:rsidRDefault="00133485" w:rsidP="008A6056">
                      <w:pPr>
                        <w:pStyle w:val="BodyText"/>
                        <w:spacing w:after="80"/>
                        <w:rPr>
                          <w:sz w:val="20"/>
                          <w:szCs w:val="20"/>
                        </w:rPr>
                      </w:pPr>
                      <w:r w:rsidRPr="00DE5F42">
                        <w:rPr>
                          <w:sz w:val="20"/>
                          <w:szCs w:val="20"/>
                        </w:rPr>
                        <w:t xml:space="preserve">The following are reports that </w:t>
                      </w:r>
                      <w:r>
                        <w:rPr>
                          <w:sz w:val="20"/>
                          <w:szCs w:val="20"/>
                        </w:rPr>
                        <w:t>use</w:t>
                      </w:r>
                      <w:r w:rsidRPr="00DE5F42">
                        <w:rPr>
                          <w:sz w:val="20"/>
                          <w:szCs w:val="20"/>
                        </w:rPr>
                        <w:t xml:space="preserve"> or discuss </w:t>
                      </w:r>
                      <w:r>
                        <w:rPr>
                          <w:sz w:val="20"/>
                          <w:szCs w:val="20"/>
                        </w:rPr>
                        <w:t>“</w:t>
                      </w:r>
                      <w:r w:rsidRPr="00DE5F42">
                        <w:rPr>
                          <w:sz w:val="20"/>
                          <w:szCs w:val="20"/>
                        </w:rPr>
                        <w:t>top down</w:t>
                      </w:r>
                      <w:r>
                        <w:rPr>
                          <w:sz w:val="20"/>
                          <w:szCs w:val="20"/>
                        </w:rPr>
                        <w:t>” (econometric)</w:t>
                      </w:r>
                      <w:r w:rsidRPr="00DE5F42">
                        <w:rPr>
                          <w:sz w:val="20"/>
                          <w:szCs w:val="20"/>
                        </w:rPr>
                        <w:t xml:space="preserve"> evaluation of codes:</w:t>
                      </w:r>
                    </w:p>
                    <w:p w14:paraId="28D31D7E" w14:textId="77777777" w:rsidR="00133485" w:rsidRPr="00DE5F42" w:rsidRDefault="00133485" w:rsidP="008A6056">
                      <w:pPr>
                        <w:pStyle w:val="BulletLevel1"/>
                        <w:spacing w:after="80"/>
                        <w:ind w:left="180" w:hanging="180"/>
                        <w:rPr>
                          <w:sz w:val="20"/>
                          <w:szCs w:val="20"/>
                        </w:rPr>
                      </w:pPr>
                      <w:r w:rsidRPr="00DE5F42">
                        <w:rPr>
                          <w:sz w:val="20"/>
                          <w:szCs w:val="20"/>
                        </w:rPr>
                        <w:t xml:space="preserve">The Impact of State Level Building Codes on Residential Electricity Consumption, </w:t>
                      </w:r>
                      <w:proofErr w:type="spellStart"/>
                      <w:r w:rsidRPr="00DE5F42">
                        <w:rPr>
                          <w:sz w:val="20"/>
                          <w:szCs w:val="20"/>
                        </w:rPr>
                        <w:t>Anin</w:t>
                      </w:r>
                      <w:proofErr w:type="spellEnd"/>
                      <w:r w:rsidRPr="00DE5F42">
                        <w:rPr>
                          <w:sz w:val="20"/>
                          <w:szCs w:val="20"/>
                        </w:rPr>
                        <w:t xml:space="preserve"> </w:t>
                      </w:r>
                      <w:proofErr w:type="spellStart"/>
                      <w:r w:rsidRPr="00DE5F42">
                        <w:rPr>
                          <w:sz w:val="20"/>
                          <w:szCs w:val="20"/>
                        </w:rPr>
                        <w:t>Aroonruengsawat</w:t>
                      </w:r>
                      <w:proofErr w:type="spellEnd"/>
                      <w:r>
                        <w:rPr>
                          <w:sz w:val="20"/>
                          <w:szCs w:val="20"/>
                        </w:rPr>
                        <w:t>,</w:t>
                      </w:r>
                      <w:r w:rsidRPr="00DE5F42">
                        <w:rPr>
                          <w:sz w:val="20"/>
                          <w:szCs w:val="20"/>
                        </w:rPr>
                        <w:t xml:space="preserve">* Maximilian </w:t>
                      </w:r>
                      <w:proofErr w:type="spellStart"/>
                      <w:r w:rsidRPr="00DE5F42">
                        <w:rPr>
                          <w:sz w:val="20"/>
                          <w:szCs w:val="20"/>
                        </w:rPr>
                        <w:t>Auffhammer</w:t>
                      </w:r>
                      <w:proofErr w:type="spellEnd"/>
                      <w:r>
                        <w:rPr>
                          <w:sz w:val="20"/>
                          <w:szCs w:val="20"/>
                        </w:rPr>
                        <w:t>,</w:t>
                      </w:r>
                      <w:r w:rsidRPr="00DE5F42">
                        <w:rPr>
                          <w:sz w:val="20"/>
                          <w:szCs w:val="20"/>
                        </w:rPr>
                        <w:t xml:space="preserve">** and Alan H. </w:t>
                      </w:r>
                      <w:proofErr w:type="spellStart"/>
                      <w:r w:rsidRPr="00DE5F42">
                        <w:rPr>
                          <w:sz w:val="20"/>
                          <w:szCs w:val="20"/>
                        </w:rPr>
                        <w:t>Sanstad</w:t>
                      </w:r>
                      <w:proofErr w:type="spellEnd"/>
                      <w:r w:rsidRPr="00DE5F42">
                        <w:rPr>
                          <w:sz w:val="20"/>
                          <w:szCs w:val="20"/>
                        </w:rPr>
                        <w:t>, Energy Journal 2012, Volume 33, Number 1</w:t>
                      </w:r>
                    </w:p>
                    <w:p w14:paraId="461F32EE" w14:textId="77777777" w:rsidR="00133485" w:rsidRPr="00DE5F42" w:rsidRDefault="00133485" w:rsidP="008A6056">
                      <w:pPr>
                        <w:pStyle w:val="BulletLevel1"/>
                        <w:spacing w:after="80"/>
                        <w:ind w:left="180" w:hanging="180"/>
                        <w:rPr>
                          <w:sz w:val="20"/>
                          <w:szCs w:val="20"/>
                        </w:rPr>
                      </w:pPr>
                      <w:r w:rsidRPr="00DE5F42">
                        <w:rPr>
                          <w:sz w:val="20"/>
                          <w:szCs w:val="20"/>
                        </w:rPr>
                        <w:t xml:space="preserve">Are Building Codes Effective </w:t>
                      </w:r>
                      <w:r>
                        <w:rPr>
                          <w:sz w:val="20"/>
                          <w:szCs w:val="20"/>
                        </w:rPr>
                        <w:t>a</w:t>
                      </w:r>
                      <w:r w:rsidRPr="00DE5F42">
                        <w:rPr>
                          <w:sz w:val="20"/>
                          <w:szCs w:val="20"/>
                        </w:rPr>
                        <w:t xml:space="preserve">t Saving Energy? Evidence From Residential Billing Data In Florida, Grant D. Jacobsen and Matthew J. </w:t>
                      </w:r>
                      <w:proofErr w:type="spellStart"/>
                      <w:r w:rsidRPr="00DE5F42">
                        <w:rPr>
                          <w:sz w:val="20"/>
                          <w:szCs w:val="20"/>
                        </w:rPr>
                        <w:t>Kotchen</w:t>
                      </w:r>
                      <w:proofErr w:type="spellEnd"/>
                      <w:r w:rsidRPr="00DE5F42">
                        <w:rPr>
                          <w:sz w:val="20"/>
                          <w:szCs w:val="20"/>
                        </w:rPr>
                        <w:t>*, The Review of Economics and Statistics, March 2013, 95(1): 34–49</w:t>
                      </w:r>
                    </w:p>
                    <w:p w14:paraId="35F1B99D" w14:textId="77777777" w:rsidR="00133485" w:rsidRPr="00DE5F42" w:rsidRDefault="00133485" w:rsidP="008A6056">
                      <w:pPr>
                        <w:pStyle w:val="BulletLevel1"/>
                        <w:spacing w:after="80"/>
                        <w:ind w:left="180" w:hanging="180"/>
                        <w:rPr>
                          <w:sz w:val="20"/>
                          <w:szCs w:val="20"/>
                        </w:rPr>
                      </w:pPr>
                      <w:r w:rsidRPr="00DE5F42">
                        <w:rPr>
                          <w:sz w:val="20"/>
                          <w:szCs w:val="20"/>
                        </w:rPr>
                        <w:t>Analysis of Energy Saving Impacts of New Residential Energy Codes for the Gulf Coast. Lucas, R., ‘’’ The Pacific Northwest National Laboratory contract DE-AC05-76RL01830 (2007)</w:t>
                      </w:r>
                    </w:p>
                    <w:p w14:paraId="156A9E1F" w14:textId="77777777" w:rsidR="00133485" w:rsidRPr="00DE5F42" w:rsidRDefault="00133485" w:rsidP="008A6056">
                      <w:pPr>
                        <w:pStyle w:val="BulletLevel1"/>
                        <w:spacing w:after="80"/>
                        <w:ind w:left="180" w:hanging="180"/>
                        <w:rPr>
                          <w:sz w:val="20"/>
                          <w:szCs w:val="20"/>
                        </w:rPr>
                      </w:pPr>
                      <w:r w:rsidRPr="00DE5F42">
                        <w:rPr>
                          <w:sz w:val="20"/>
                          <w:szCs w:val="20"/>
                        </w:rPr>
                        <w:t xml:space="preserve">Why Has California’s Residential Electricity Consumption Been So Flat </w:t>
                      </w:r>
                      <w:proofErr w:type="gramStart"/>
                      <w:r>
                        <w:rPr>
                          <w:sz w:val="20"/>
                          <w:szCs w:val="20"/>
                        </w:rPr>
                        <w:t>S</w:t>
                      </w:r>
                      <w:r w:rsidRPr="00DE5F42">
                        <w:rPr>
                          <w:sz w:val="20"/>
                          <w:szCs w:val="20"/>
                        </w:rPr>
                        <w:t>ince</w:t>
                      </w:r>
                      <w:proofErr w:type="gramEnd"/>
                      <w:r w:rsidRPr="00DE5F42">
                        <w:rPr>
                          <w:sz w:val="20"/>
                          <w:szCs w:val="20"/>
                        </w:rPr>
                        <w:t xml:space="preserve"> the 1980s? A Micro-econometric Approach, Costa, D.L., and M.E. Kahn, NBER working paper 15978 (2010)</w:t>
                      </w:r>
                      <w:r>
                        <w:rPr>
                          <w:sz w:val="20"/>
                          <w:szCs w:val="20"/>
                        </w:rPr>
                        <w:t xml:space="preserve"> </w:t>
                      </w:r>
                    </w:p>
                  </w:txbxContent>
                </v:textbox>
                <w10:wrap type="square" anchorx="margin"/>
              </v:shape>
            </w:pict>
          </mc:Fallback>
        </mc:AlternateContent>
      </w:r>
      <w:r w:rsidR="004F346E" w:rsidRPr="007B0115">
        <w:rPr>
          <w:b/>
        </w:rPr>
        <w:t xml:space="preserve">Effective useful life and persistence of savings </w:t>
      </w:r>
      <w:r w:rsidR="004F346E" w:rsidRPr="007B0115">
        <w:t xml:space="preserve">– At a minimum, code savings can be assumed to continue until at least the time at which a new </w:t>
      </w:r>
      <w:r w:rsidR="00EC6835">
        <w:t>state</w:t>
      </w:r>
      <w:r w:rsidR="004F346E" w:rsidRPr="007B0115">
        <w:t xml:space="preserve"> or local code is put into place. More realistically, however, savings from structural measures in a building built under a new code may be assumed to continue up to the time of the next natural major renovation of the building.</w:t>
      </w:r>
    </w:p>
    <w:p w14:paraId="1EF505C4" w14:textId="77777777" w:rsidR="0046545C" w:rsidRPr="00703A52" w:rsidRDefault="0046545C" w:rsidP="0046545C"/>
    <w:p w14:paraId="38EAEA46" w14:textId="2E588E74" w:rsidR="004F346E" w:rsidRPr="00F75E11" w:rsidRDefault="00867725" w:rsidP="00703A52">
      <w:pPr>
        <w:pStyle w:val="BulletLevel1"/>
        <w:rPr>
          <w:rFonts w:eastAsia="Times New Roman"/>
          <w:b/>
          <w:szCs w:val="20"/>
        </w:rPr>
      </w:pPr>
      <w:r>
        <w:rPr>
          <w:b/>
        </w:rPr>
        <w:t>Avoiding</w:t>
      </w:r>
      <w:r w:rsidR="004F346E" w:rsidRPr="007B0115">
        <w:rPr>
          <w:b/>
        </w:rPr>
        <w:t xml:space="preserve"> double counting – </w:t>
      </w:r>
      <w:r w:rsidR="004F346E" w:rsidRPr="00EB2D4E">
        <w:t xml:space="preserve">Procedures to avoid double counting particularly between code </w:t>
      </w:r>
      <w:r w:rsidR="00B54F43" w:rsidRPr="00EB2D4E">
        <w:t>initiatives</w:t>
      </w:r>
      <w:r w:rsidR="004F346E" w:rsidRPr="00EB2D4E">
        <w:t xml:space="preserve"> and programs or projects are described in Section </w:t>
      </w:r>
      <w:r w:rsidR="00B24B72">
        <w:t>2</w:t>
      </w:r>
      <w:r w:rsidR="00772C60">
        <w:t>.7</w:t>
      </w:r>
      <w:r w:rsidR="004F346E" w:rsidRPr="00EB2D4E">
        <w:t xml:space="preserve">. </w:t>
      </w:r>
      <w:r w:rsidR="004F346E" w:rsidRPr="007B0115">
        <w:t>To avoid double counting among multiple code efforts</w:t>
      </w:r>
      <w:r w:rsidR="00256221">
        <w:t>,</w:t>
      </w:r>
      <w:r w:rsidR="004F346E" w:rsidRPr="007B0115">
        <w:t xml:space="preserve"> a simple way may be to assume the baseline for the new code is the prior code, assuming NOMAD has not moved building efficiency practices beyond the prior code.</w:t>
      </w:r>
    </w:p>
    <w:p w14:paraId="272A5081" w14:textId="77777777" w:rsidR="004F346E" w:rsidRPr="008D6F4E" w:rsidRDefault="004F346E" w:rsidP="00AB6C96">
      <w:pPr>
        <w:pStyle w:val="Heading2"/>
        <w:pageBreakBefore/>
        <w:numPr>
          <w:ilvl w:val="1"/>
          <w:numId w:val="69"/>
        </w:numPr>
      </w:pPr>
      <w:bookmarkStart w:id="480" w:name="_Toc422317041"/>
      <w:bookmarkStart w:id="481" w:name="_Toc426044672"/>
      <w:r w:rsidRPr="008D6F4E">
        <w:lastRenderedPageBreak/>
        <w:t>Incremental Product Energy Standards</w:t>
      </w:r>
      <w:bookmarkEnd w:id="480"/>
      <w:bookmarkEnd w:id="481"/>
    </w:p>
    <w:p w14:paraId="1D5F2CDF" w14:textId="77777777" w:rsidR="004F346E" w:rsidRPr="00F5016E" w:rsidRDefault="004F346E" w:rsidP="00AB6C96">
      <w:pPr>
        <w:pStyle w:val="Heading3"/>
        <w:numPr>
          <w:ilvl w:val="2"/>
          <w:numId w:val="69"/>
        </w:numPr>
        <w:ind w:left="0"/>
      </w:pPr>
      <w:bookmarkStart w:id="482" w:name="_Toc422317042"/>
      <w:bookmarkStart w:id="483" w:name="_Toc426044673"/>
      <w:r w:rsidRPr="005F633A">
        <w:rPr>
          <w:rStyle w:val="Heading4Char"/>
          <w:rFonts w:ascii="Calibri" w:eastAsiaTheme="minorEastAsia" w:hAnsi="Calibri" w:cs="Times New Roman"/>
          <w:b/>
          <w:bCs w:val="0"/>
          <w:i w:val="0"/>
          <w:iCs w:val="0"/>
          <w:color w:val="auto"/>
        </w:rPr>
        <w:t>Description</w:t>
      </w:r>
      <w:bookmarkEnd w:id="482"/>
      <w:bookmarkEnd w:id="483"/>
      <w:r w:rsidRPr="00F5016E">
        <w:t xml:space="preserve"> </w:t>
      </w:r>
    </w:p>
    <w:p w14:paraId="67492FD7" w14:textId="77777777" w:rsidR="004F346E" w:rsidRDefault="004F346E" w:rsidP="00AB6C96">
      <w:pPr>
        <w:pStyle w:val="BodyText"/>
        <w:widowControl/>
      </w:pPr>
      <w:r>
        <w:t>Appliance and equipment (p</w:t>
      </w:r>
      <w:r w:rsidRPr="008D6F4E">
        <w:t>roduct</w:t>
      </w:r>
      <w:r>
        <w:t>)</w:t>
      </w:r>
      <w:r w:rsidRPr="008D6F4E">
        <w:t xml:space="preserve"> energy standards are </w:t>
      </w:r>
      <w:r>
        <w:t xml:space="preserve">EE </w:t>
      </w:r>
      <w:r w:rsidRPr="008D6F4E">
        <w:t>requirements that specify the minimum efficiency levels of specific products. Federal standards</w:t>
      </w:r>
      <w:r>
        <w:rPr>
          <w:rStyle w:val="FootnoteReference"/>
          <w:rFonts w:asciiTheme="majorHAnsi" w:hAnsiTheme="majorHAnsi"/>
          <w:szCs w:val="22"/>
        </w:rPr>
        <w:footnoteReference w:id="59"/>
      </w:r>
      <w:r w:rsidRPr="008D6F4E">
        <w:t xml:space="preserve"> currently apply to about 55 categories of appliances and equipment sold in the </w:t>
      </w:r>
      <w:r>
        <w:t xml:space="preserve">United </w:t>
      </w:r>
      <w:r w:rsidRPr="008D6F4E">
        <w:t>S</w:t>
      </w:r>
      <w:r>
        <w:t>tates</w:t>
      </w:r>
      <w:r w:rsidRPr="008D6F4E">
        <w:t>.</w:t>
      </w:r>
      <w:r w:rsidRPr="00643014">
        <w:rPr>
          <w:rStyle w:val="FootnoteReference"/>
          <w:rFonts w:ascii="Palatino Linotype" w:hAnsi="Palatino Linotype" w:cs="Arial"/>
        </w:rPr>
        <w:t xml:space="preserve"> </w:t>
      </w:r>
      <w:r w:rsidRPr="008720F7">
        <w:rPr>
          <w:rStyle w:val="FootnoteReference"/>
          <w:rFonts w:ascii="Palatino Linotype" w:hAnsi="Palatino Linotype" w:cs="Arial"/>
        </w:rPr>
        <w:footnoteReference w:id="60"/>
      </w:r>
      <w:r>
        <w:t xml:space="preserve"> </w:t>
      </w:r>
      <w:r w:rsidRPr="008D6F4E">
        <w:t xml:space="preserve">For products not subject to existing national standards (and thus not subject to </w:t>
      </w:r>
      <w:r w:rsidR="007B541A">
        <w:t>federal</w:t>
      </w:r>
      <w:r w:rsidRPr="008D6F4E">
        <w:t xml:space="preserve"> pre-emption</w:t>
      </w:r>
      <w:r w:rsidRPr="008D6F4E">
        <w:rPr>
          <w:rStyle w:val="FootnoteReference"/>
          <w:rFonts w:asciiTheme="majorHAnsi" w:hAnsiTheme="majorHAnsi"/>
          <w:szCs w:val="22"/>
        </w:rPr>
        <w:footnoteReference w:id="61"/>
      </w:r>
      <w:r w:rsidRPr="008D6F4E">
        <w:t>)</w:t>
      </w:r>
      <w:r>
        <w:t xml:space="preserve">, </w:t>
      </w:r>
      <w:r w:rsidR="00EC6835">
        <w:t>state</w:t>
      </w:r>
      <w:r w:rsidRPr="008D6F4E">
        <w:t>s may adopt their own product standards for sales within their borders.</w:t>
      </w:r>
      <w:r w:rsidR="007B6120">
        <w:t xml:space="preserve"> </w:t>
      </w:r>
      <w:r w:rsidRPr="009F2C48">
        <w:t xml:space="preserve">Within the </w:t>
      </w:r>
      <w:r>
        <w:t>p</w:t>
      </w:r>
      <w:r w:rsidRPr="009F2C48">
        <w:t>ast decade</w:t>
      </w:r>
      <w:r>
        <w:t>,</w:t>
      </w:r>
      <w:r w:rsidRPr="009F2C48">
        <w:t xml:space="preserve"> </w:t>
      </w:r>
      <w:r w:rsidR="00EC6835">
        <w:t>state</w:t>
      </w:r>
      <w:r w:rsidRPr="009F2C48">
        <w:t xml:space="preserve">s have set standards for products ranging from DVD players to swimming pool pumps to water dispensers. Since 2001, Arizona, </w:t>
      </w:r>
      <w:r w:rsidR="00E733E0">
        <w:t xml:space="preserve">California, </w:t>
      </w:r>
      <w:r w:rsidRPr="009F2C48">
        <w:t xml:space="preserve">Connecticut, Maryland, Massachusetts, New York, Oregon, Rhode Island, and Washington have each passed several rounds of </w:t>
      </w:r>
      <w:r w:rsidR="00EC6835">
        <w:t>state</w:t>
      </w:r>
      <w:r w:rsidRPr="009F2C48">
        <w:t xml:space="preserve"> </w:t>
      </w:r>
      <w:r>
        <w:t xml:space="preserve">product </w:t>
      </w:r>
      <w:r w:rsidRPr="009F2C48">
        <w:t>standards</w:t>
      </w:r>
      <w:proofErr w:type="gramStart"/>
      <w:r w:rsidRPr="009F2C48">
        <w:t>.</w:t>
      </w:r>
      <w:r w:rsidRPr="00CB6FBA">
        <w:rPr>
          <w:rStyle w:val="FootnoteReference"/>
        </w:rPr>
        <w:footnoteReference w:id="62"/>
      </w:r>
      <w:r w:rsidRPr="00CB6FBA">
        <w:rPr>
          <w:vertAlign w:val="superscript"/>
        </w:rPr>
        <w:t>,</w:t>
      </w:r>
      <w:proofErr w:type="gramEnd"/>
      <w:r w:rsidRPr="00CB6FBA">
        <w:rPr>
          <w:rStyle w:val="FootnoteReference"/>
        </w:rPr>
        <w:footnoteReference w:id="63"/>
      </w:r>
      <w:r w:rsidRPr="00CB6FBA">
        <w:rPr>
          <w:rStyle w:val="FootnoteReference"/>
        </w:rPr>
        <w:t xml:space="preserve"> </w:t>
      </w:r>
    </w:p>
    <w:p w14:paraId="7DBD3A38" w14:textId="77777777" w:rsidR="004F346E" w:rsidRDefault="004F346E" w:rsidP="00AB6C96">
      <w:pPr>
        <w:pStyle w:val="BodyText"/>
        <w:widowControl/>
      </w:pPr>
      <w:r>
        <w:t xml:space="preserve">In </w:t>
      </w:r>
      <w:r w:rsidRPr="009F2C48">
        <w:t>set</w:t>
      </w:r>
      <w:r>
        <w:t>ting</w:t>
      </w:r>
      <w:r w:rsidRPr="009F2C48">
        <w:t xml:space="preserve"> </w:t>
      </w:r>
      <w:r>
        <w:t xml:space="preserve">the actual </w:t>
      </w:r>
      <w:r w:rsidRPr="009F2C48">
        <w:t>product</w:t>
      </w:r>
      <w:r>
        <w:t xml:space="preserve"> </w:t>
      </w:r>
      <w:r w:rsidRPr="009F2C48">
        <w:t>standards</w:t>
      </w:r>
      <w:r>
        <w:t>, t</w:t>
      </w:r>
      <w:r w:rsidRPr="009F2C48">
        <w:t xml:space="preserve">he U.S. DOE and </w:t>
      </w:r>
      <w:r w:rsidR="00EC6835">
        <w:t>state</w:t>
      </w:r>
      <w:r w:rsidRPr="009F2C48">
        <w:t xml:space="preserve"> energy offices </w:t>
      </w:r>
      <w:r>
        <w:t xml:space="preserve">adhere to an extensive and robust </w:t>
      </w:r>
      <w:r w:rsidRPr="009F2C48">
        <w:t>analytical process</w:t>
      </w:r>
      <w:r>
        <w:t xml:space="preserve">. This typically involves conducting </w:t>
      </w:r>
      <w:r w:rsidRPr="009F2C48">
        <w:t xml:space="preserve">detailed energy savings (and economic impact) potential studies </w:t>
      </w:r>
      <w:r>
        <w:t>of the anticipated future effects of these standards. In contrast, only a</w:t>
      </w:r>
      <w:r w:rsidRPr="009F2C48">
        <w:t xml:space="preserve"> limited number of ex-post energy saving </w:t>
      </w:r>
      <w:r>
        <w:t xml:space="preserve">studies have been completed. California has </w:t>
      </w:r>
      <w:r w:rsidRPr="009F2C48">
        <w:t>conducted three cycles of energy code and appliance standard evaluations for the statewide Codes and Standards Program</w:t>
      </w:r>
      <w:r>
        <w:t xml:space="preserve"> (</w:t>
      </w:r>
      <w:r w:rsidRPr="009F2C48">
        <w:t>implemented by four utility program administrators</w:t>
      </w:r>
      <w:r>
        <w:t>)</w:t>
      </w:r>
      <w:r w:rsidRPr="009F2C48">
        <w:t>.</w:t>
      </w:r>
      <w:r w:rsidRPr="0008677F">
        <w:rPr>
          <w:rStyle w:val="FootnoteReference"/>
          <w:rFonts w:asciiTheme="majorHAnsi" w:hAnsiTheme="majorHAnsi"/>
          <w:color w:val="000000" w:themeColor="text1"/>
          <w:szCs w:val="22"/>
        </w:rPr>
        <w:t xml:space="preserve"> </w:t>
      </w:r>
      <w:r w:rsidRPr="009F2C48">
        <w:t xml:space="preserve">The evaluation approach used in California is based on bottom-up analyses </w:t>
      </w:r>
      <w:r>
        <w:t>and is the primary basis for the following suggested EM&amp;V approaches.</w:t>
      </w:r>
    </w:p>
    <w:p w14:paraId="5F6F84DB" w14:textId="77777777" w:rsidR="004F346E" w:rsidRDefault="0040560D" w:rsidP="00AB6C96">
      <w:pPr>
        <w:pStyle w:val="Heading3"/>
        <w:keepNext w:val="0"/>
        <w:numPr>
          <w:ilvl w:val="2"/>
          <w:numId w:val="69"/>
        </w:numPr>
        <w:ind w:left="0"/>
        <w:jc w:val="left"/>
      </w:pPr>
      <w:bookmarkStart w:id="484" w:name="_Toc423539703"/>
      <w:bookmarkStart w:id="485" w:name="_Toc423540098"/>
      <w:bookmarkStart w:id="486" w:name="_Toc422317043"/>
      <w:bookmarkStart w:id="487" w:name="_Toc426044674"/>
      <w:bookmarkEnd w:id="484"/>
      <w:bookmarkEnd w:id="485"/>
      <w:r>
        <w:t>Applicable Guidance</w:t>
      </w:r>
      <w:r>
        <w:rPr>
          <w:rStyle w:val="Heading4Char"/>
          <w:rFonts w:ascii="Calibri" w:hAnsi="Calibri" w:cs="Times New Roman"/>
          <w:b/>
          <w:bCs w:val="0"/>
          <w:i w:val="0"/>
          <w:iCs w:val="0"/>
          <w:color w:val="auto"/>
        </w:rPr>
        <w:t xml:space="preserve"> </w:t>
      </w:r>
      <w:r w:rsidR="004F346E">
        <w:t>–</w:t>
      </w:r>
      <w:r w:rsidR="004F346E" w:rsidRPr="00433A66">
        <w:t xml:space="preserve"> </w:t>
      </w:r>
      <w:r w:rsidR="004F346E" w:rsidRPr="008D6F4E">
        <w:t>State and Local Government Incremental Product Energy Standards</w:t>
      </w:r>
      <w:bookmarkEnd w:id="486"/>
      <w:bookmarkEnd w:id="487"/>
    </w:p>
    <w:p w14:paraId="5448B1FB" w14:textId="77777777" w:rsidR="00CD226F" w:rsidRPr="00CD226F" w:rsidRDefault="004F346E" w:rsidP="00AB6C96">
      <w:pPr>
        <w:pStyle w:val="BulletLevel1"/>
        <w:rPr>
          <w:b/>
        </w:rPr>
      </w:pPr>
      <w:r w:rsidRPr="009F2C48">
        <w:rPr>
          <w:b/>
        </w:rPr>
        <w:t xml:space="preserve">Electricity Savings Metrics </w:t>
      </w:r>
      <w:r w:rsidRPr="00505740">
        <w:rPr>
          <w:b/>
        </w:rPr>
        <w:t xml:space="preserve">and Baselines – </w:t>
      </w:r>
      <w:r w:rsidR="00CD226F">
        <w:t>Determine s</w:t>
      </w:r>
      <w:r w:rsidRPr="00505740">
        <w:t xml:space="preserve">avings from product energy standards </w:t>
      </w:r>
      <w:r>
        <w:t xml:space="preserve">with respect to a </w:t>
      </w:r>
      <w:r w:rsidRPr="00505740">
        <w:t>CPB</w:t>
      </w:r>
      <w:r>
        <w:t>.</w:t>
      </w:r>
      <w:r w:rsidRPr="00505740">
        <w:t xml:space="preserve"> </w:t>
      </w:r>
      <w:r>
        <w:t>For</w:t>
      </w:r>
      <w:r w:rsidRPr="00505740">
        <w:t xml:space="preserve"> product standards</w:t>
      </w:r>
      <w:r>
        <w:t>,</w:t>
      </w:r>
      <w:r w:rsidRPr="00505740">
        <w:t xml:space="preserve"> </w:t>
      </w:r>
      <w:r w:rsidR="00CD226F">
        <w:t xml:space="preserve">determine </w:t>
      </w:r>
      <w:r w:rsidRPr="00505740">
        <w:t>CPB with consideration of NOMAD of higher efficiency products in the absence of a standard</w:t>
      </w:r>
      <w:r w:rsidRPr="009F2C48">
        <w:t>.</w:t>
      </w:r>
      <w:r>
        <w:t xml:space="preserve"> </w:t>
      </w:r>
    </w:p>
    <w:p w14:paraId="03E0BDA8" w14:textId="77777777" w:rsidR="00CD226F" w:rsidRPr="00CD226F" w:rsidRDefault="004F346E" w:rsidP="00CD226F">
      <w:pPr>
        <w:pStyle w:val="BulletLevel2"/>
        <w:rPr>
          <w:b/>
        </w:rPr>
      </w:pPr>
      <w:r w:rsidRPr="009F2C48">
        <w:t>NOMAD is a projection of what the annual sales</w:t>
      </w:r>
      <w:r>
        <w:t>,</w:t>
      </w:r>
      <w:r w:rsidRPr="00505740">
        <w:rPr>
          <w:rStyle w:val="FootnoteReference"/>
          <w:rFonts w:asciiTheme="majorHAnsi" w:hAnsiTheme="majorHAnsi" w:cstheme="majorHAnsi"/>
          <w:szCs w:val="22"/>
        </w:rPr>
        <w:footnoteReference w:id="64"/>
      </w:r>
      <w:r w:rsidRPr="009F2C48">
        <w:t xml:space="preserve"> over time, of products meeting the standards would have been if the standards had not been adopted.</w:t>
      </w:r>
    </w:p>
    <w:p w14:paraId="5FD896D8" w14:textId="77777777" w:rsidR="004F346E" w:rsidRPr="009F2C48" w:rsidRDefault="00CD226F" w:rsidP="00CD226F">
      <w:pPr>
        <w:pStyle w:val="BulletLevel2"/>
        <w:rPr>
          <w:b/>
        </w:rPr>
      </w:pPr>
      <w:r>
        <w:lastRenderedPageBreak/>
        <w:t>O</w:t>
      </w:r>
      <w:r w:rsidR="004F346E" w:rsidRPr="009F2C48">
        <w:t xml:space="preserve">nce the standard is in effect, the natural market no longer exists or can exist in reality. </w:t>
      </w:r>
      <w:r>
        <w:t xml:space="preserve">Methods for </w:t>
      </w:r>
      <w:r w:rsidR="004F346E" w:rsidRPr="009F2C48">
        <w:t>determin</w:t>
      </w:r>
      <w:r>
        <w:t>ing</w:t>
      </w:r>
      <w:r w:rsidR="004F346E" w:rsidRPr="009F2C48">
        <w:t xml:space="preserve"> NOMAD are discussed in the next item on EM&amp;V </w:t>
      </w:r>
      <w:r w:rsidR="004F346E">
        <w:t>method</w:t>
      </w:r>
      <w:r w:rsidR="004F346E" w:rsidRPr="009F2C48">
        <w:t>s.</w:t>
      </w:r>
      <w:r w:rsidR="004F346E" w:rsidRPr="00505740">
        <w:t xml:space="preserve"> </w:t>
      </w:r>
    </w:p>
    <w:p w14:paraId="131FBAE2" w14:textId="77777777" w:rsidR="004F346E" w:rsidRPr="00E479C6" w:rsidRDefault="004F346E" w:rsidP="00AB6C96">
      <w:pPr>
        <w:pStyle w:val="BulletLevel1"/>
        <w:rPr>
          <w:rFonts w:asciiTheme="majorHAnsi" w:hAnsiTheme="majorHAnsi"/>
        </w:rPr>
      </w:pPr>
      <w:r w:rsidRPr="00E479C6">
        <w:rPr>
          <w:b/>
          <w:szCs w:val="22"/>
        </w:rPr>
        <w:t>EM&amp;V methods</w:t>
      </w:r>
      <w:r w:rsidRPr="00E479C6">
        <w:rPr>
          <w:szCs w:val="22"/>
        </w:rPr>
        <w:t xml:space="preserve"> – </w:t>
      </w:r>
      <w:r w:rsidRPr="009F2C48">
        <w:t>Achieved electricity savings from product standards should be determined on a product-by-product basis using a bottom</w:t>
      </w:r>
      <w:r>
        <w:t>-</w:t>
      </w:r>
      <w:r w:rsidRPr="009F2C48">
        <w:t>up approach and this equation:</w:t>
      </w:r>
    </w:p>
    <w:p w14:paraId="43511E7B" w14:textId="77777777" w:rsidR="004F346E" w:rsidRDefault="004F346E" w:rsidP="00AB6C96">
      <w:pPr>
        <w:pStyle w:val="BodyTextIndent"/>
        <w:widowControl/>
      </w:pPr>
      <w:r w:rsidRPr="005F633A">
        <w:t>Annual</w:t>
      </w:r>
      <w:r>
        <w:t xml:space="preserve"> electricity </w:t>
      </w:r>
      <w:r w:rsidRPr="009F2C48">
        <w:t xml:space="preserve">savings = </w:t>
      </w:r>
      <w:r>
        <w:br/>
        <w:t>(</w:t>
      </w:r>
      <w:r w:rsidRPr="009F2C48">
        <w:t>products sales volume</w:t>
      </w:r>
      <w:r>
        <w:t xml:space="preserve"> per year)</w:t>
      </w:r>
      <w:r w:rsidRPr="009F2C48">
        <w:t xml:space="preserve"> </w:t>
      </w:r>
      <w:r>
        <w:t>×</w:t>
      </w:r>
      <w:r w:rsidRPr="009F2C48">
        <w:t xml:space="preserve"> (per unit </w:t>
      </w:r>
      <w:r>
        <w:t>electricity</w:t>
      </w:r>
      <w:r w:rsidRPr="009F2C48">
        <w:t xml:space="preserve"> savings</w:t>
      </w:r>
      <w:r w:rsidR="002A356E">
        <w:t xml:space="preserve"> of sold products subject to standard</w:t>
      </w:r>
      <w:r w:rsidRPr="009F2C48">
        <w:t xml:space="preserve">) </w:t>
      </w:r>
    </w:p>
    <w:p w14:paraId="1A0B3F3C" w14:textId="77777777" w:rsidR="004F346E" w:rsidRPr="00505740" w:rsidRDefault="004F346E" w:rsidP="00AB6C96">
      <w:pPr>
        <w:pStyle w:val="BodyTextIndent"/>
        <w:widowControl/>
      </w:pPr>
      <w:r>
        <w:t>T</w:t>
      </w:r>
      <w:r w:rsidRPr="00505740">
        <w:t xml:space="preserve">here are two </w:t>
      </w:r>
      <w:r>
        <w:t>approaches that can be appl</w:t>
      </w:r>
      <w:r w:rsidR="005C06EA">
        <w:t>ied</w:t>
      </w:r>
      <w:r>
        <w:t xml:space="preserve">, each with a different metric for sales </w:t>
      </w:r>
      <w:r w:rsidRPr="00505740">
        <w:t>volume</w:t>
      </w:r>
      <w:r>
        <w:t>:</w:t>
      </w:r>
    </w:p>
    <w:p w14:paraId="3C859F83" w14:textId="77777777" w:rsidR="004F346E" w:rsidRDefault="004F346E" w:rsidP="00AB6C96">
      <w:pPr>
        <w:pStyle w:val="BulletLevel2"/>
      </w:pPr>
      <w:r w:rsidRPr="00505740">
        <w:t>Th</w:t>
      </w:r>
      <w:r>
        <w:t xml:space="preserve">e first approach </w:t>
      </w:r>
      <w:r w:rsidRPr="00505740">
        <w:t xml:space="preserve">is based on the view that a standard moves the </w:t>
      </w:r>
      <w:r>
        <w:t>entire</w:t>
      </w:r>
      <w:r w:rsidRPr="00505740">
        <w:t xml:space="preserve"> market</w:t>
      </w:r>
      <w:r>
        <w:t>, with:</w:t>
      </w:r>
      <w:r w:rsidR="007B6120">
        <w:t xml:space="preserve"> </w:t>
      </w:r>
    </w:p>
    <w:p w14:paraId="6D453FB3" w14:textId="77777777" w:rsidR="004F346E" w:rsidRDefault="004F346E" w:rsidP="002603D6">
      <w:pPr>
        <w:pStyle w:val="BulletLevel3"/>
      </w:pPr>
      <w:r>
        <w:t>Product sales volume = total applicable market sales</w:t>
      </w:r>
    </w:p>
    <w:p w14:paraId="14A9B170" w14:textId="77777777" w:rsidR="004F346E" w:rsidRPr="00505740" w:rsidRDefault="004F346E" w:rsidP="002603D6">
      <w:pPr>
        <w:pStyle w:val="BulletLevel3"/>
      </w:pPr>
      <w:r>
        <w:t xml:space="preserve">Per unit electricity savings </w:t>
      </w:r>
      <w:r w:rsidRPr="00A22298">
        <w:t>=</w:t>
      </w:r>
      <w:r w:rsidR="00A22298" w:rsidRPr="00A22298">
        <w:t xml:space="preserve"> the </w:t>
      </w:r>
      <w:r w:rsidRPr="00A22298">
        <w:t>difference</w:t>
      </w:r>
      <w:r>
        <w:t xml:space="preserve"> in sales-weighted average energy use of products sold </w:t>
      </w:r>
      <w:r w:rsidRPr="00EB2D4E">
        <w:t>under NOMAD</w:t>
      </w:r>
      <w:r>
        <w:t xml:space="preserve"> vs after the new standard.</w:t>
      </w:r>
      <w:r w:rsidR="007B6120">
        <w:t xml:space="preserve"> </w:t>
      </w:r>
    </w:p>
    <w:p w14:paraId="4D08CF75" w14:textId="77777777" w:rsidR="004F346E" w:rsidRDefault="004F346E" w:rsidP="00AB6C96">
      <w:pPr>
        <w:pStyle w:val="BulletLevel2"/>
      </w:pPr>
      <w:r w:rsidRPr="00505740">
        <w:t xml:space="preserve">The second </w:t>
      </w:r>
      <w:r>
        <w:t xml:space="preserve">approach </w:t>
      </w:r>
      <w:r w:rsidRPr="009F2C48">
        <w:t xml:space="preserve">is based on the view that the standard eliminates </w:t>
      </w:r>
      <w:r w:rsidR="005C06EA">
        <w:t xml:space="preserve">only </w:t>
      </w:r>
      <w:r w:rsidRPr="009F2C48">
        <w:t>the least efficient units</w:t>
      </w:r>
      <w:r>
        <w:t xml:space="preserve">, with: </w:t>
      </w:r>
    </w:p>
    <w:p w14:paraId="660B9710" w14:textId="77777777" w:rsidR="004F346E" w:rsidRDefault="004F346E" w:rsidP="00C4243F">
      <w:pPr>
        <w:pStyle w:val="BulletLevel3"/>
      </w:pPr>
      <w:r>
        <w:t>Product sales volume = applicable market sales currently below the new standard</w:t>
      </w:r>
    </w:p>
    <w:p w14:paraId="65AF3FAA" w14:textId="77777777" w:rsidR="004F346E" w:rsidRDefault="004F346E" w:rsidP="00C4243F">
      <w:pPr>
        <w:pStyle w:val="BulletLevel3"/>
      </w:pPr>
      <w:r>
        <w:t xml:space="preserve">Per unit electricity savings = difference between the new standard and sales-weighted average energy use of products </w:t>
      </w:r>
      <w:r w:rsidRPr="00EB2D4E">
        <w:t xml:space="preserve">that </w:t>
      </w:r>
      <w:r w:rsidRPr="007B0115">
        <w:t>would not meet the new standard under NOMAD</w:t>
      </w:r>
      <w:r w:rsidRPr="009F2C48">
        <w:t>.</w:t>
      </w:r>
    </w:p>
    <w:p w14:paraId="0F2A4A75" w14:textId="77777777" w:rsidR="004F346E" w:rsidRPr="00505740" w:rsidRDefault="004F346E" w:rsidP="00AB6C96">
      <w:pPr>
        <w:pStyle w:val="BodyTextIndent"/>
        <w:widowControl/>
      </w:pPr>
      <w:r w:rsidRPr="00505740">
        <w:t>Sources of product sales data are:</w:t>
      </w:r>
    </w:p>
    <w:p w14:paraId="64771AFB" w14:textId="77777777" w:rsidR="004F346E" w:rsidRPr="009F2C48" w:rsidRDefault="004F346E" w:rsidP="00AB6C96">
      <w:pPr>
        <w:pStyle w:val="BulletLevel2"/>
      </w:pPr>
      <w:r w:rsidRPr="009F2C48">
        <w:t xml:space="preserve">Industry statistics published by product-manufacturing trade organizations </w:t>
      </w:r>
    </w:p>
    <w:p w14:paraId="4852FD07" w14:textId="77777777" w:rsidR="004F346E" w:rsidRPr="009F2C48" w:rsidRDefault="004F346E" w:rsidP="00AB6C96">
      <w:pPr>
        <w:pStyle w:val="BulletLevel2"/>
      </w:pPr>
      <w:r w:rsidRPr="009F2C48">
        <w:t xml:space="preserve">Publicly available market characterization reports </w:t>
      </w:r>
    </w:p>
    <w:p w14:paraId="32C1DA53" w14:textId="77777777" w:rsidR="004F346E" w:rsidRPr="009F2C48" w:rsidRDefault="004F346E" w:rsidP="00AB6C96">
      <w:pPr>
        <w:pStyle w:val="BulletLevel2"/>
      </w:pPr>
      <w:r w:rsidRPr="009F2C48">
        <w:t>Data purchased from market research firms, such a point-of-sale data and surveys of vendors, retailers, and contractors</w:t>
      </w:r>
    </w:p>
    <w:p w14:paraId="51E16164" w14:textId="77777777" w:rsidR="004F346E" w:rsidRPr="009F2C48" w:rsidRDefault="004F346E" w:rsidP="00AB6C96">
      <w:pPr>
        <w:pStyle w:val="BulletLevel2"/>
      </w:pPr>
      <w:r w:rsidRPr="009F2C48">
        <w:t xml:space="preserve">U.S. </w:t>
      </w:r>
      <w:r>
        <w:t>DOE</w:t>
      </w:r>
      <w:r w:rsidRPr="009F2C48">
        <w:t xml:space="preserve"> Technical Support Documents for appliance and equipment standards </w:t>
      </w:r>
    </w:p>
    <w:p w14:paraId="4E621EDB" w14:textId="77777777" w:rsidR="004F346E" w:rsidRPr="009F2C48" w:rsidRDefault="004F346E" w:rsidP="00AB6C96">
      <w:pPr>
        <w:pStyle w:val="BulletLevel2"/>
      </w:pPr>
      <w:r w:rsidRPr="009F2C48">
        <w:t xml:space="preserve">U.S. Census data (used to scale national numbers to </w:t>
      </w:r>
      <w:r w:rsidR="00EC6835">
        <w:t>state</w:t>
      </w:r>
      <w:r w:rsidRPr="009F2C48">
        <w:t>-specific values)</w:t>
      </w:r>
    </w:p>
    <w:p w14:paraId="2546961F" w14:textId="77777777" w:rsidR="004F346E" w:rsidRPr="00505740" w:rsidRDefault="004F346E" w:rsidP="00AB6C96">
      <w:pPr>
        <w:pStyle w:val="BodyTextIndent"/>
        <w:widowControl/>
        <w:rPr>
          <w:rFonts w:asciiTheme="majorHAnsi" w:hAnsiTheme="majorHAnsi"/>
        </w:rPr>
      </w:pPr>
      <w:r w:rsidRPr="009F2C48">
        <w:t xml:space="preserve">Caution should be used when applying these data as they can be based on limited market surveys or </w:t>
      </w:r>
      <w:r>
        <w:t>might</w:t>
      </w:r>
      <w:r w:rsidRPr="009F2C48">
        <w:t xml:space="preserve"> be missing certain products or models subject to the standard, but not necessarily tracked.</w:t>
      </w:r>
      <w:r w:rsidRPr="009F2C48">
        <w:rPr>
          <w:rFonts w:asciiTheme="majorHAnsi" w:hAnsiTheme="majorHAnsi"/>
        </w:rPr>
        <w:t xml:space="preserve"> </w:t>
      </w:r>
    </w:p>
    <w:p w14:paraId="1FF9DF95" w14:textId="77777777" w:rsidR="004F346E" w:rsidRPr="00505740" w:rsidRDefault="004F346E" w:rsidP="00AB6C96">
      <w:pPr>
        <w:pStyle w:val="BodyTextIndent"/>
        <w:widowControl/>
      </w:pPr>
      <w:r w:rsidRPr="00505740">
        <w:t>Per</w:t>
      </w:r>
      <w:r>
        <w:t>-</w:t>
      </w:r>
      <w:r w:rsidRPr="00505740">
        <w:t xml:space="preserve">unit electricity savings </w:t>
      </w:r>
      <w:r>
        <w:t xml:space="preserve">should </w:t>
      </w:r>
      <w:r w:rsidRPr="00505740">
        <w:t>be based on:</w:t>
      </w:r>
    </w:p>
    <w:p w14:paraId="50031312" w14:textId="77777777" w:rsidR="004F346E" w:rsidRPr="009F2C48" w:rsidRDefault="004F346E" w:rsidP="00AB6C96">
      <w:pPr>
        <w:pStyle w:val="BulletLevel2"/>
      </w:pPr>
      <w:r w:rsidRPr="009F2C48">
        <w:t xml:space="preserve">Established laboratory-based test methods to determine </w:t>
      </w:r>
      <w:r w:rsidRPr="009F2C48">
        <w:rPr>
          <w:i/>
        </w:rPr>
        <w:t xml:space="preserve">average </w:t>
      </w:r>
      <w:r w:rsidRPr="009F2C48">
        <w:t>unit energy savings. A source of laboratory-testing requirements could be those established by industry groups, DOE</w:t>
      </w:r>
      <w:r w:rsidR="00C4243F">
        <w:t>,</w:t>
      </w:r>
      <w:r w:rsidRPr="009F2C48">
        <w:t xml:space="preserve"> and the California Energy Commission.</w:t>
      </w:r>
      <w:r w:rsidRPr="009F2C48">
        <w:rPr>
          <w:rStyle w:val="FootnoteReference"/>
          <w:rFonts w:asciiTheme="majorHAnsi" w:hAnsiTheme="majorHAnsi"/>
        </w:rPr>
        <w:footnoteReference w:id="65"/>
      </w:r>
      <w:r w:rsidRPr="009F2C48">
        <w:t xml:space="preserve"> The baseline should include assumption</w:t>
      </w:r>
      <w:r w:rsidR="00C4243F">
        <w:t>s</w:t>
      </w:r>
      <w:r w:rsidRPr="009F2C48">
        <w:t xml:space="preserve"> about NOMAD to calculate a conservative correction factor for the unit-energy savings.</w:t>
      </w:r>
    </w:p>
    <w:p w14:paraId="20FF7F5E" w14:textId="77777777" w:rsidR="004F346E" w:rsidRPr="009F2C48" w:rsidRDefault="004F346E" w:rsidP="00AB6C96">
      <w:pPr>
        <w:pStyle w:val="BulletLevel2"/>
      </w:pPr>
      <w:r w:rsidRPr="009F2C48">
        <w:t xml:space="preserve">Use </w:t>
      </w:r>
      <w:r>
        <w:t xml:space="preserve">of </w:t>
      </w:r>
      <w:r w:rsidRPr="009F2C48">
        <w:t>field measurements with NOMAD adjustments.</w:t>
      </w:r>
    </w:p>
    <w:p w14:paraId="04C60D39" w14:textId="77777777" w:rsidR="004F346E" w:rsidRPr="009F2C48" w:rsidRDefault="005A36F0" w:rsidP="00AB6C96">
      <w:pPr>
        <w:pStyle w:val="BodyTextIndent"/>
        <w:widowControl/>
        <w:rPr>
          <w:rFonts w:asciiTheme="majorHAnsi" w:hAnsiTheme="majorHAnsi"/>
          <w:szCs w:val="22"/>
        </w:rPr>
      </w:pPr>
      <w:r w:rsidRPr="006D78FC">
        <w:rPr>
          <w:noProof/>
        </w:rPr>
        <w:lastRenderedPageBreak/>
        <mc:AlternateContent>
          <mc:Choice Requires="wps">
            <w:drawing>
              <wp:anchor distT="0" distB="0" distL="114300" distR="114300" simplePos="0" relativeHeight="251650560" behindDoc="0" locked="0" layoutInCell="1" allowOverlap="1" wp14:anchorId="20211A97" wp14:editId="3105E667">
                <wp:simplePos x="0" y="0"/>
                <wp:positionH relativeFrom="margin">
                  <wp:align>right</wp:align>
                </wp:positionH>
                <wp:positionV relativeFrom="margin">
                  <wp:align>top</wp:align>
                </wp:positionV>
                <wp:extent cx="2825496" cy="5952744"/>
                <wp:effectExtent l="57150" t="38100" r="70485" b="86360"/>
                <wp:wrapSquare wrapText="bothSides"/>
                <wp:docPr id="34" name="Text Box 34"/>
                <wp:cNvGraphicFramePr/>
                <a:graphic xmlns:a="http://schemas.openxmlformats.org/drawingml/2006/main">
                  <a:graphicData uri="http://schemas.microsoft.com/office/word/2010/wordprocessingShape">
                    <wps:wsp>
                      <wps:cNvSpPr txBox="1"/>
                      <wps:spPr>
                        <a:xfrm>
                          <a:off x="0" y="0"/>
                          <a:ext cx="2825496" cy="5952744"/>
                        </a:xfrm>
                        <a:prstGeom prst="rect">
                          <a:avLst/>
                        </a:prstGeom>
                        <a:gradFill>
                          <a:gsLst>
                            <a:gs pos="0">
                              <a:srgbClr val="A3C4FF"/>
                            </a:gs>
                            <a:gs pos="35000">
                              <a:schemeClr val="accent1">
                                <a:tint val="37000"/>
                                <a:satMod val="300000"/>
                              </a:schemeClr>
                            </a:gs>
                            <a:gs pos="100000">
                              <a:schemeClr val="accent1">
                                <a:tint val="15000"/>
                                <a:satMod val="350000"/>
                              </a:schemeClr>
                            </a:gs>
                          </a:gsLst>
                        </a:gra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6B8C19B8" w14:textId="77777777" w:rsidR="00133485" w:rsidRDefault="00133485" w:rsidP="005A36F0">
                            <w:pPr>
                              <w:spacing w:after="120"/>
                              <w:jc w:val="center"/>
                              <w:rPr>
                                <w:b/>
                                <w:sz w:val="20"/>
                                <w:szCs w:val="20"/>
                              </w:rPr>
                            </w:pPr>
                            <w:r w:rsidRPr="001D3B41">
                              <w:rPr>
                                <w:b/>
                                <w:sz w:val="20"/>
                                <w:szCs w:val="20"/>
                              </w:rPr>
                              <w:t>Relevant EM&amp;V protocols</w:t>
                            </w:r>
                          </w:p>
                          <w:p w14:paraId="78C39F47" w14:textId="77777777" w:rsidR="00133485" w:rsidRPr="00836232" w:rsidRDefault="00133485" w:rsidP="005A36F0">
                            <w:pPr>
                              <w:pStyle w:val="BulletLevel1"/>
                              <w:numPr>
                                <w:ilvl w:val="0"/>
                                <w:numId w:val="33"/>
                              </w:numPr>
                              <w:ind w:left="180" w:hanging="216"/>
                              <w:rPr>
                                <w:sz w:val="20"/>
                                <w:szCs w:val="20"/>
                              </w:rPr>
                            </w:pPr>
                            <w:r w:rsidRPr="00836232">
                              <w:rPr>
                                <w:sz w:val="20"/>
                                <w:szCs w:val="20"/>
                              </w:rPr>
                              <w:t>Following are a protocol and a guidebook that can be consulted for guidance on product standard EM&amp;V:</w:t>
                            </w:r>
                          </w:p>
                          <w:p w14:paraId="03C25551" w14:textId="77777777" w:rsidR="00133485" w:rsidRPr="00C550E5" w:rsidRDefault="00133485">
                            <w:pPr>
                              <w:pStyle w:val="BulletLevel2"/>
                              <w:ind w:left="360" w:hanging="180"/>
                              <w:rPr>
                                <w:sz w:val="20"/>
                                <w:szCs w:val="20"/>
                              </w:rPr>
                            </w:pPr>
                            <w:r w:rsidRPr="00C550E5">
                              <w:rPr>
                                <w:sz w:val="20"/>
                                <w:szCs w:val="20"/>
                              </w:rPr>
                              <w:t xml:space="preserve">California Energy Efficiency Evaluation Protocols: Technical, Methodological, and Reporting Requirements for Evaluation Professionals, Codes And Standards And Compliance Enhancement Evaluation Protocol, April 2006, Prepared for the California Public Utilities Commission by The </w:t>
                            </w:r>
                            <w:proofErr w:type="spellStart"/>
                            <w:r w:rsidRPr="00C550E5">
                              <w:rPr>
                                <w:sz w:val="20"/>
                                <w:szCs w:val="20"/>
                              </w:rPr>
                              <w:t>TecMarket</w:t>
                            </w:r>
                            <w:proofErr w:type="spellEnd"/>
                            <w:r w:rsidRPr="00C550E5">
                              <w:rPr>
                                <w:sz w:val="20"/>
                                <w:szCs w:val="20"/>
                              </w:rPr>
                              <w:t xml:space="preserve"> Works Team</w:t>
                            </w:r>
                          </w:p>
                          <w:p w14:paraId="514FB4E7" w14:textId="77777777" w:rsidR="00133485" w:rsidRPr="00C550E5" w:rsidRDefault="00133485">
                            <w:pPr>
                              <w:pStyle w:val="BulletLevel2"/>
                              <w:ind w:left="360" w:hanging="180"/>
                              <w:rPr>
                                <w:sz w:val="20"/>
                                <w:szCs w:val="20"/>
                              </w:rPr>
                            </w:pPr>
                            <w:r w:rsidRPr="00C550E5">
                              <w:rPr>
                                <w:sz w:val="20"/>
                                <w:szCs w:val="20"/>
                              </w:rPr>
                              <w:t xml:space="preserve">Section 9 of this document: Energy-Efficiency Labels </w:t>
                            </w:r>
                            <w:r>
                              <w:rPr>
                                <w:sz w:val="20"/>
                                <w:szCs w:val="20"/>
                              </w:rPr>
                              <w:t>a</w:t>
                            </w:r>
                            <w:r w:rsidRPr="00C550E5">
                              <w:rPr>
                                <w:sz w:val="20"/>
                                <w:szCs w:val="20"/>
                              </w:rPr>
                              <w:t xml:space="preserve">nd Standards: A Guidebook For Appliances, Equipment, And Lighting 2nd Edition, Stephen </w:t>
                            </w:r>
                            <w:proofErr w:type="spellStart"/>
                            <w:r w:rsidRPr="00C550E5">
                              <w:rPr>
                                <w:sz w:val="20"/>
                                <w:szCs w:val="20"/>
                              </w:rPr>
                              <w:t>Wiel</w:t>
                            </w:r>
                            <w:proofErr w:type="spellEnd"/>
                            <w:r w:rsidRPr="00C550E5">
                              <w:rPr>
                                <w:sz w:val="20"/>
                                <w:szCs w:val="20"/>
                              </w:rPr>
                              <w:t xml:space="preserve"> and </w:t>
                            </w:r>
                            <w:r w:rsidRPr="00C550E5">
                              <w:rPr>
                                <w:rFonts w:eastAsiaTheme="minorEastAsia"/>
                                <w:sz w:val="20"/>
                                <w:szCs w:val="20"/>
                              </w:rPr>
                              <w:t>James</w:t>
                            </w:r>
                            <w:r w:rsidRPr="00C550E5">
                              <w:rPr>
                                <w:sz w:val="20"/>
                                <w:szCs w:val="20"/>
                              </w:rPr>
                              <w:t xml:space="preserve"> E. McMahon, Collaborative Labeling And Appliance Standards Program (CLASP) Washington, D.C.</w:t>
                            </w:r>
                            <w:r w:rsidRPr="00C550E5">
                              <w:rPr>
                                <w:rFonts w:ascii="MS Gothic" w:hAnsi="MS Gothic" w:cs="MS Gothic"/>
                                <w:sz w:val="20"/>
                                <w:szCs w:val="20"/>
                              </w:rPr>
                              <w:t> </w:t>
                            </w:r>
                            <w:r w:rsidRPr="00C550E5">
                              <w:rPr>
                                <w:sz w:val="20"/>
                                <w:szCs w:val="20"/>
                              </w:rPr>
                              <w:t xml:space="preserve">USA, February 2005. LBNL Report Number: </w:t>
                            </w:r>
                            <w:r w:rsidRPr="00C550E5">
                              <w:rPr>
                                <w:rFonts w:cs="Helvetica"/>
                                <w:sz w:val="20"/>
                                <w:szCs w:val="20"/>
                              </w:rPr>
                              <w:t>LBNL-45387(A)</w:t>
                            </w:r>
                          </w:p>
                          <w:p w14:paraId="79DBEFC2" w14:textId="77777777" w:rsidR="00133485" w:rsidRPr="00B637A4" w:rsidRDefault="00133485" w:rsidP="00C550E5">
                            <w:pPr>
                              <w:pStyle w:val="BulletLevel2"/>
                              <w:ind w:left="360" w:hanging="180"/>
                              <w:rPr>
                                <w:sz w:val="20"/>
                                <w:szCs w:val="20"/>
                              </w:rPr>
                            </w:pPr>
                            <w:r w:rsidRPr="00C550E5">
                              <w:rPr>
                                <w:sz w:val="20"/>
                                <w:szCs w:val="20"/>
                              </w:rPr>
                              <w:t>Related</w:t>
                            </w:r>
                            <w:r w:rsidRPr="00B637A4">
                              <w:rPr>
                                <w:i/>
                                <w:sz w:val="20"/>
                                <w:szCs w:val="20"/>
                              </w:rPr>
                              <w:t xml:space="preserve"> EM&amp;V reports</w:t>
                            </w:r>
                            <w:r w:rsidRPr="00B637A4">
                              <w:rPr>
                                <w:sz w:val="20"/>
                                <w:szCs w:val="20"/>
                              </w:rPr>
                              <w:t xml:space="preserve"> that can provide valuable information are:</w:t>
                            </w:r>
                          </w:p>
                          <w:p w14:paraId="0589F09F" w14:textId="77777777" w:rsidR="00133485" w:rsidRPr="00C550E5" w:rsidRDefault="00133485">
                            <w:pPr>
                              <w:pStyle w:val="BulletLevel2"/>
                              <w:ind w:left="360" w:hanging="180"/>
                              <w:rPr>
                                <w:sz w:val="20"/>
                                <w:szCs w:val="20"/>
                              </w:rPr>
                            </w:pPr>
                            <w:r w:rsidRPr="00C550E5">
                              <w:rPr>
                                <w:i/>
                                <w:sz w:val="20"/>
                                <w:szCs w:val="20"/>
                              </w:rPr>
                              <w:t xml:space="preserve">Statewide Codes and Standards Program Impact Evaluation Report for Program Years 2010–2012. </w:t>
                            </w:r>
                            <w:r w:rsidRPr="00C550E5">
                              <w:rPr>
                                <w:sz w:val="20"/>
                                <w:szCs w:val="20"/>
                              </w:rPr>
                              <w:t>August 2014. California Public Utilities Commission Prepared by Cadmus, Energy Services Division, and DNV GL.</w:t>
                            </w:r>
                          </w:p>
                          <w:p w14:paraId="17E0C314" w14:textId="77777777" w:rsidR="00133485" w:rsidRPr="00C550E5" w:rsidRDefault="00133485">
                            <w:pPr>
                              <w:pStyle w:val="BulletLevel2"/>
                              <w:ind w:left="360" w:hanging="180"/>
                              <w:rPr>
                                <w:sz w:val="20"/>
                                <w:szCs w:val="20"/>
                              </w:rPr>
                            </w:pPr>
                            <w:r w:rsidRPr="00C550E5">
                              <w:rPr>
                                <w:i/>
                                <w:sz w:val="20"/>
                                <w:szCs w:val="20"/>
                              </w:rPr>
                              <w:t>Realized and Prospective Impacts</w:t>
                            </w:r>
                            <w:r w:rsidRPr="00B54F43">
                              <w:rPr>
                                <w:rFonts w:ascii="MS Gothic" w:hAnsi="MS Gothic" w:cs="MS Gothic"/>
                                <w:i/>
                                <w:sz w:val="20"/>
                                <w:szCs w:val="20"/>
                              </w:rPr>
                              <w:t xml:space="preserve"> </w:t>
                            </w:r>
                            <w:r w:rsidRPr="00C550E5">
                              <w:rPr>
                                <w:i/>
                                <w:sz w:val="20"/>
                                <w:szCs w:val="20"/>
                              </w:rPr>
                              <w:t xml:space="preserve">of U.S. Energy </w:t>
                            </w:r>
                            <w:r w:rsidRPr="00C550E5">
                              <w:rPr>
                                <w:sz w:val="20"/>
                                <w:szCs w:val="20"/>
                              </w:rPr>
                              <w:t>Efficiency</w:t>
                            </w:r>
                            <w:r w:rsidRPr="00C550E5">
                              <w:rPr>
                                <w:i/>
                                <w:sz w:val="20"/>
                                <w:szCs w:val="20"/>
                              </w:rPr>
                              <w:t xml:space="preserve"> Standards for Residential Appliances,</w:t>
                            </w:r>
                            <w:r w:rsidRPr="00C550E5">
                              <w:rPr>
                                <w:sz w:val="20"/>
                                <w:szCs w:val="20"/>
                              </w:rPr>
                              <w:t xml:space="preserve"> Stephen Meyers, James McMahon, Michael McNeil, </w:t>
                            </w:r>
                            <w:proofErr w:type="spellStart"/>
                            <w:r w:rsidRPr="00C550E5">
                              <w:rPr>
                                <w:sz w:val="20"/>
                                <w:szCs w:val="20"/>
                              </w:rPr>
                              <w:t>Xiaomin</w:t>
                            </w:r>
                            <w:proofErr w:type="spellEnd"/>
                            <w:r w:rsidRPr="00C550E5">
                              <w:rPr>
                                <w:sz w:val="20"/>
                                <w:szCs w:val="20"/>
                              </w:rPr>
                              <w:t xml:space="preserve"> Liu, Environmental Energy Technologies Division Lawrence Berkeley National Laboratory, LBNL-49504, June 2002.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11A97" id="Text Box 34" o:spid="_x0000_s1042" type="#_x0000_t202" style="position:absolute;left:0;text-align:left;margin-left:171.3pt;margin-top:0;width:222.5pt;height:468.7pt;z-index:25165056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" fillcolor="#a3c4ff" strokecolor="#4579b8 [3044]">
                <v:fill color2="#e4ecf5 [500]" rotate="t" angle="180" colors="0 #a3c4ff;22938f #bfd5ff;1 #e5eeff" focus="100%" type="gradient"/>
                <v:shadow on="t" color="black" opacity="24903f" origin=",.5" offset="0,.55556mm"/>
                <v:textbox>
                  <w:txbxContent>
                    <w:p w14:paraId="6B8C19B8" w14:textId="77777777" w:rsidR="00133485" w:rsidRDefault="00133485" w:rsidP="005A36F0">
                      <w:pPr>
                        <w:spacing w:after="120"/>
                        <w:jc w:val="center"/>
                        <w:rPr>
                          <w:b/>
                          <w:sz w:val="20"/>
                          <w:szCs w:val="20"/>
                        </w:rPr>
                      </w:pPr>
                      <w:r w:rsidRPr="001D3B41">
                        <w:rPr>
                          <w:b/>
                          <w:sz w:val="20"/>
                          <w:szCs w:val="20"/>
                        </w:rPr>
                        <w:t>Relevant EM&amp;V protocols</w:t>
                      </w:r>
                    </w:p>
                    <w:p w14:paraId="78C39F47" w14:textId="77777777" w:rsidR="00133485" w:rsidRPr="00836232" w:rsidRDefault="00133485" w:rsidP="005A36F0">
                      <w:pPr>
                        <w:pStyle w:val="BulletLevel1"/>
                        <w:numPr>
                          <w:ilvl w:val="0"/>
                          <w:numId w:val="33"/>
                        </w:numPr>
                        <w:ind w:left="180" w:hanging="216"/>
                        <w:rPr>
                          <w:sz w:val="20"/>
                          <w:szCs w:val="20"/>
                        </w:rPr>
                      </w:pPr>
                      <w:r w:rsidRPr="00836232">
                        <w:rPr>
                          <w:sz w:val="20"/>
                          <w:szCs w:val="20"/>
                        </w:rPr>
                        <w:t>Following are a protocol and a guidebook that can be consulted for guidance on product standard EM&amp;V:</w:t>
                      </w:r>
                    </w:p>
                    <w:p w14:paraId="03C25551" w14:textId="77777777" w:rsidR="00133485" w:rsidRPr="00C550E5" w:rsidRDefault="00133485">
                      <w:pPr>
                        <w:pStyle w:val="BulletLevel2"/>
                        <w:ind w:left="360" w:hanging="180"/>
                        <w:rPr>
                          <w:sz w:val="20"/>
                          <w:szCs w:val="20"/>
                        </w:rPr>
                      </w:pPr>
                      <w:r w:rsidRPr="00C550E5">
                        <w:rPr>
                          <w:sz w:val="20"/>
                          <w:szCs w:val="20"/>
                        </w:rPr>
                        <w:t xml:space="preserve">California Energy Efficiency Evaluation Protocols: Technical, Methodological, and Reporting Requirements for Evaluation Professionals, Codes And Standards And Compliance Enhancement Evaluation Protocol, April 2006, Prepared for the California Public Utilities Commission by The </w:t>
                      </w:r>
                      <w:proofErr w:type="spellStart"/>
                      <w:r w:rsidRPr="00C550E5">
                        <w:rPr>
                          <w:sz w:val="20"/>
                          <w:szCs w:val="20"/>
                        </w:rPr>
                        <w:t>TecMarket</w:t>
                      </w:r>
                      <w:proofErr w:type="spellEnd"/>
                      <w:r w:rsidRPr="00C550E5">
                        <w:rPr>
                          <w:sz w:val="20"/>
                          <w:szCs w:val="20"/>
                        </w:rPr>
                        <w:t xml:space="preserve"> Works Team</w:t>
                      </w:r>
                    </w:p>
                    <w:p w14:paraId="514FB4E7" w14:textId="77777777" w:rsidR="00133485" w:rsidRPr="00C550E5" w:rsidRDefault="00133485">
                      <w:pPr>
                        <w:pStyle w:val="BulletLevel2"/>
                        <w:ind w:left="360" w:hanging="180"/>
                        <w:rPr>
                          <w:sz w:val="20"/>
                          <w:szCs w:val="20"/>
                        </w:rPr>
                      </w:pPr>
                      <w:r w:rsidRPr="00C550E5">
                        <w:rPr>
                          <w:sz w:val="20"/>
                          <w:szCs w:val="20"/>
                        </w:rPr>
                        <w:t xml:space="preserve">Section 9 of this document: Energy-Efficiency Labels </w:t>
                      </w:r>
                      <w:r>
                        <w:rPr>
                          <w:sz w:val="20"/>
                          <w:szCs w:val="20"/>
                        </w:rPr>
                        <w:t>a</w:t>
                      </w:r>
                      <w:r w:rsidRPr="00C550E5">
                        <w:rPr>
                          <w:sz w:val="20"/>
                          <w:szCs w:val="20"/>
                        </w:rPr>
                        <w:t xml:space="preserve">nd Standards: A Guidebook For Appliances, Equipment, And Lighting 2nd Edition, Stephen </w:t>
                      </w:r>
                      <w:proofErr w:type="spellStart"/>
                      <w:r w:rsidRPr="00C550E5">
                        <w:rPr>
                          <w:sz w:val="20"/>
                          <w:szCs w:val="20"/>
                        </w:rPr>
                        <w:t>Wiel</w:t>
                      </w:r>
                      <w:proofErr w:type="spellEnd"/>
                      <w:r w:rsidRPr="00C550E5">
                        <w:rPr>
                          <w:sz w:val="20"/>
                          <w:szCs w:val="20"/>
                        </w:rPr>
                        <w:t xml:space="preserve"> and </w:t>
                      </w:r>
                      <w:r w:rsidRPr="00C550E5">
                        <w:rPr>
                          <w:rFonts w:eastAsiaTheme="minorEastAsia"/>
                          <w:sz w:val="20"/>
                          <w:szCs w:val="20"/>
                        </w:rPr>
                        <w:t>James</w:t>
                      </w:r>
                      <w:r w:rsidRPr="00C550E5">
                        <w:rPr>
                          <w:sz w:val="20"/>
                          <w:szCs w:val="20"/>
                        </w:rPr>
                        <w:t xml:space="preserve"> E. McMahon, Collaborative Labeling And Appliance Standards Program (CLASP) Washington, D.C.</w:t>
                      </w:r>
                      <w:r w:rsidRPr="00C550E5">
                        <w:rPr>
                          <w:rFonts w:ascii="MS Gothic" w:hAnsi="MS Gothic" w:cs="MS Gothic"/>
                          <w:sz w:val="20"/>
                          <w:szCs w:val="20"/>
                        </w:rPr>
                        <w:t> </w:t>
                      </w:r>
                      <w:r w:rsidRPr="00C550E5">
                        <w:rPr>
                          <w:sz w:val="20"/>
                          <w:szCs w:val="20"/>
                        </w:rPr>
                        <w:t xml:space="preserve">USA, February 2005. LBNL Report Number: </w:t>
                      </w:r>
                      <w:r w:rsidRPr="00C550E5">
                        <w:rPr>
                          <w:rFonts w:cs="Helvetica"/>
                          <w:sz w:val="20"/>
                          <w:szCs w:val="20"/>
                        </w:rPr>
                        <w:t>LBNL-45387(A)</w:t>
                      </w:r>
                    </w:p>
                    <w:p w14:paraId="79DBEFC2" w14:textId="77777777" w:rsidR="00133485" w:rsidRPr="00B637A4" w:rsidRDefault="00133485" w:rsidP="00C550E5">
                      <w:pPr>
                        <w:pStyle w:val="BulletLevel2"/>
                        <w:ind w:left="360" w:hanging="180"/>
                        <w:rPr>
                          <w:sz w:val="20"/>
                          <w:szCs w:val="20"/>
                        </w:rPr>
                      </w:pPr>
                      <w:r w:rsidRPr="00C550E5">
                        <w:rPr>
                          <w:sz w:val="20"/>
                          <w:szCs w:val="20"/>
                        </w:rPr>
                        <w:t>Related</w:t>
                      </w:r>
                      <w:r w:rsidRPr="00B637A4">
                        <w:rPr>
                          <w:i/>
                          <w:sz w:val="20"/>
                          <w:szCs w:val="20"/>
                        </w:rPr>
                        <w:t xml:space="preserve"> EM&amp;V reports</w:t>
                      </w:r>
                      <w:r w:rsidRPr="00B637A4">
                        <w:rPr>
                          <w:sz w:val="20"/>
                          <w:szCs w:val="20"/>
                        </w:rPr>
                        <w:t xml:space="preserve"> that can provide valuable information are:</w:t>
                      </w:r>
                    </w:p>
                    <w:p w14:paraId="0589F09F" w14:textId="77777777" w:rsidR="00133485" w:rsidRPr="00C550E5" w:rsidRDefault="00133485">
                      <w:pPr>
                        <w:pStyle w:val="BulletLevel2"/>
                        <w:ind w:left="360" w:hanging="180"/>
                        <w:rPr>
                          <w:sz w:val="20"/>
                          <w:szCs w:val="20"/>
                        </w:rPr>
                      </w:pPr>
                      <w:r w:rsidRPr="00C550E5">
                        <w:rPr>
                          <w:i/>
                          <w:sz w:val="20"/>
                          <w:szCs w:val="20"/>
                        </w:rPr>
                        <w:t xml:space="preserve">Statewide Codes and Standards Program Impact Evaluation Report for Program Years 2010–2012. </w:t>
                      </w:r>
                      <w:r w:rsidRPr="00C550E5">
                        <w:rPr>
                          <w:sz w:val="20"/>
                          <w:szCs w:val="20"/>
                        </w:rPr>
                        <w:t>August 2014. California Public Utilities Commission Prepared by Cadmus, Energy Services Division, and DNV GL.</w:t>
                      </w:r>
                    </w:p>
                    <w:p w14:paraId="17E0C314" w14:textId="77777777" w:rsidR="00133485" w:rsidRPr="00C550E5" w:rsidRDefault="00133485">
                      <w:pPr>
                        <w:pStyle w:val="BulletLevel2"/>
                        <w:ind w:left="360" w:hanging="180"/>
                        <w:rPr>
                          <w:sz w:val="20"/>
                          <w:szCs w:val="20"/>
                        </w:rPr>
                      </w:pPr>
                      <w:r w:rsidRPr="00C550E5">
                        <w:rPr>
                          <w:i/>
                          <w:sz w:val="20"/>
                          <w:szCs w:val="20"/>
                        </w:rPr>
                        <w:t>Realized and Prospective Impacts</w:t>
                      </w:r>
                      <w:r w:rsidRPr="00B54F43">
                        <w:rPr>
                          <w:rFonts w:ascii="MS Gothic" w:hAnsi="MS Gothic" w:cs="MS Gothic"/>
                          <w:i/>
                          <w:sz w:val="20"/>
                          <w:szCs w:val="20"/>
                        </w:rPr>
                        <w:t xml:space="preserve"> </w:t>
                      </w:r>
                      <w:r w:rsidRPr="00C550E5">
                        <w:rPr>
                          <w:i/>
                          <w:sz w:val="20"/>
                          <w:szCs w:val="20"/>
                        </w:rPr>
                        <w:t xml:space="preserve">of U.S. Energy </w:t>
                      </w:r>
                      <w:r w:rsidRPr="00C550E5">
                        <w:rPr>
                          <w:sz w:val="20"/>
                          <w:szCs w:val="20"/>
                        </w:rPr>
                        <w:t>Efficiency</w:t>
                      </w:r>
                      <w:r w:rsidRPr="00C550E5">
                        <w:rPr>
                          <w:i/>
                          <w:sz w:val="20"/>
                          <w:szCs w:val="20"/>
                        </w:rPr>
                        <w:t xml:space="preserve"> Standards for Residential Appliances,</w:t>
                      </w:r>
                      <w:r w:rsidRPr="00C550E5">
                        <w:rPr>
                          <w:sz w:val="20"/>
                          <w:szCs w:val="20"/>
                        </w:rPr>
                        <w:t xml:space="preserve"> Stephen Meyers, James McMahon, Michael McNeil, </w:t>
                      </w:r>
                      <w:proofErr w:type="spellStart"/>
                      <w:r w:rsidRPr="00C550E5">
                        <w:rPr>
                          <w:sz w:val="20"/>
                          <w:szCs w:val="20"/>
                        </w:rPr>
                        <w:t>Xiaomin</w:t>
                      </w:r>
                      <w:proofErr w:type="spellEnd"/>
                      <w:r w:rsidRPr="00C550E5">
                        <w:rPr>
                          <w:sz w:val="20"/>
                          <w:szCs w:val="20"/>
                        </w:rPr>
                        <w:t xml:space="preserve"> Liu, Environmental Energy Technologies Division Lawrence Berkeley National Laboratory, LBNL-49504, June 2002.</w:t>
                      </w:r>
                    </w:p>
                  </w:txbxContent>
                </v:textbox>
                <w10:wrap type="square" anchorx="margin" anchory="margin"/>
              </v:shape>
            </w:pict>
          </mc:Fallback>
        </mc:AlternateContent>
      </w:r>
      <w:r w:rsidR="004F346E" w:rsidRPr="009F2C48">
        <w:t>At this time</w:t>
      </w:r>
      <w:r w:rsidR="004F346E">
        <w:t>,</w:t>
      </w:r>
      <w:r w:rsidR="004F346E" w:rsidRPr="009F2C48">
        <w:t xml:space="preserve"> NOMAD estimates </w:t>
      </w:r>
      <w:r w:rsidR="004F346E" w:rsidRPr="00505740">
        <w:t>are typically determined</w:t>
      </w:r>
      <w:r w:rsidR="004F346E" w:rsidRPr="009F2C48">
        <w:t xml:space="preserve"> </w:t>
      </w:r>
      <w:r w:rsidR="004F346E">
        <w:t>by</w:t>
      </w:r>
      <w:r w:rsidR="004F346E" w:rsidRPr="009F2C48">
        <w:t xml:space="preserve"> us</w:t>
      </w:r>
      <w:r w:rsidR="004F346E">
        <w:t>ing</w:t>
      </w:r>
      <w:r w:rsidR="004F346E" w:rsidRPr="009F2C48">
        <w:t xml:space="preserve"> a Delphi </w:t>
      </w:r>
      <w:r w:rsidR="004F346E">
        <w:t xml:space="preserve">technique. </w:t>
      </w:r>
      <w:r w:rsidR="004F346E" w:rsidRPr="00505740">
        <w:t xml:space="preserve">These NOMAD estimates should include consideration of </w:t>
      </w:r>
      <w:r w:rsidR="004F346E" w:rsidRPr="009F2C48">
        <w:t>effect</w:t>
      </w:r>
      <w:r w:rsidR="004F346E" w:rsidRPr="00505740">
        <w:t>s</w:t>
      </w:r>
      <w:r w:rsidR="004F346E" w:rsidRPr="009F2C48">
        <w:t xml:space="preserve"> of prior</w:t>
      </w:r>
      <w:r w:rsidR="004F346E">
        <w:t>-</w:t>
      </w:r>
      <w:r w:rsidR="004F346E" w:rsidRPr="009F2C48">
        <w:t>year standards and standards support programs</w:t>
      </w:r>
      <w:r w:rsidR="004F346E" w:rsidRPr="00505740">
        <w:t>.</w:t>
      </w:r>
      <w:r w:rsidR="004F346E" w:rsidRPr="009F2C48">
        <w:t xml:space="preserve"> </w:t>
      </w:r>
    </w:p>
    <w:p w14:paraId="3CF5EF8A" w14:textId="77777777" w:rsidR="004F346E" w:rsidRPr="004A1694" w:rsidRDefault="00B63F1F" w:rsidP="00AB6C96">
      <w:pPr>
        <w:pStyle w:val="BulletLevel1"/>
        <w:rPr>
          <w:rFonts w:asciiTheme="majorHAnsi" w:hAnsiTheme="majorHAnsi"/>
          <w:b/>
          <w:szCs w:val="22"/>
        </w:rPr>
      </w:pPr>
      <w:r>
        <w:rPr>
          <w:b/>
        </w:rPr>
        <w:t>Accuracy</w:t>
      </w:r>
      <w:r w:rsidR="004F346E" w:rsidRPr="004A1694">
        <w:rPr>
          <w:b/>
        </w:rPr>
        <w:t xml:space="preserve"> and reliability of reported savings values </w:t>
      </w:r>
      <w:r w:rsidR="004F346E" w:rsidRPr="005B0881">
        <w:t>–</w:t>
      </w:r>
      <w:r w:rsidR="004F346E">
        <w:t xml:space="preserve"> </w:t>
      </w:r>
      <w:r w:rsidR="004F346E" w:rsidRPr="00946690">
        <w:t xml:space="preserve">As discussed in Section </w:t>
      </w:r>
      <w:r w:rsidR="00480A89">
        <w:t>2</w:t>
      </w:r>
      <w:r w:rsidR="004F346E" w:rsidRPr="00946690">
        <w:t xml:space="preserve">.6, </w:t>
      </w:r>
      <w:r w:rsidR="004F346E" w:rsidRPr="004A1694">
        <w:rPr>
          <w:rFonts w:cstheme="majorHAnsi"/>
        </w:rPr>
        <w:t>the certainty</w:t>
      </w:r>
      <w:r w:rsidR="004F346E" w:rsidRPr="004A1694">
        <w:rPr>
          <w:rFonts w:cstheme="majorHAnsi"/>
          <w:vertAlign w:val="superscript"/>
        </w:rPr>
        <w:t xml:space="preserve"> </w:t>
      </w:r>
      <w:r w:rsidR="004F346E" w:rsidRPr="004A1694">
        <w:rPr>
          <w:rFonts w:cstheme="majorHAnsi"/>
        </w:rPr>
        <w:t>of reported savings values should be described in monitoring and verification reports with a discussion of the E</w:t>
      </w:r>
      <w:r w:rsidR="004F346E" w:rsidRPr="00535456">
        <w:rPr>
          <w:rFonts w:cstheme="majorHAnsi"/>
        </w:rPr>
        <w:t>M&amp;V method(s) used, potential risks and biases, and related quality</w:t>
      </w:r>
      <w:r w:rsidR="00C86DF5">
        <w:rPr>
          <w:rFonts w:cstheme="majorHAnsi"/>
        </w:rPr>
        <w:t>-</w:t>
      </w:r>
      <w:r w:rsidR="004F346E" w:rsidRPr="00535456">
        <w:rPr>
          <w:rFonts w:cstheme="majorHAnsi"/>
        </w:rPr>
        <w:t xml:space="preserve">control measures that were </w:t>
      </w:r>
      <w:r w:rsidR="004F346E">
        <w:rPr>
          <w:rFonts w:cstheme="majorHAnsi"/>
        </w:rPr>
        <w:t>used</w:t>
      </w:r>
      <w:r w:rsidR="004F346E" w:rsidRPr="00535456">
        <w:rPr>
          <w:rFonts w:cstheme="majorHAnsi"/>
        </w:rPr>
        <w:t xml:space="preserve">. Particularly important to indicate are the source(s) </w:t>
      </w:r>
      <w:r w:rsidR="004F346E" w:rsidRPr="005F633A">
        <w:rPr>
          <w:rFonts w:cstheme="majorHAnsi"/>
        </w:rPr>
        <w:t>of product sales data, per</w:t>
      </w:r>
      <w:r w:rsidR="004F346E">
        <w:rPr>
          <w:rFonts w:cstheme="majorHAnsi"/>
        </w:rPr>
        <w:t>-</w:t>
      </w:r>
      <w:r w:rsidR="004F346E" w:rsidRPr="005F633A">
        <w:rPr>
          <w:rFonts w:cstheme="majorHAnsi"/>
        </w:rPr>
        <w:t xml:space="preserve">unit savings estimates, and NOMAD. </w:t>
      </w:r>
      <w:r w:rsidR="004F346E">
        <w:rPr>
          <w:rFonts w:cstheme="majorHAnsi"/>
        </w:rPr>
        <w:t>I</w:t>
      </w:r>
      <w:r w:rsidR="004F346E" w:rsidRPr="005F633A">
        <w:rPr>
          <w:rFonts w:cstheme="majorHAnsi"/>
        </w:rPr>
        <w:t xml:space="preserve">f sampling is used in the process of determining savings, </w:t>
      </w:r>
      <w:r w:rsidR="004F346E">
        <w:rPr>
          <w:rFonts w:cstheme="majorHAnsi"/>
        </w:rPr>
        <w:t xml:space="preserve">however, </w:t>
      </w:r>
      <w:r w:rsidR="004F346E" w:rsidRPr="005F633A">
        <w:rPr>
          <w:rFonts w:cstheme="majorHAnsi"/>
        </w:rPr>
        <w:t>the confidence and precision of the sample’s metric (e.g., field measured electricity consumption) can and should be reported.</w:t>
      </w:r>
      <w:r w:rsidR="004F346E">
        <w:rPr>
          <w:rFonts w:cstheme="majorHAnsi"/>
        </w:rPr>
        <w:t xml:space="preserve"> </w:t>
      </w:r>
    </w:p>
    <w:p w14:paraId="41F364F0" w14:textId="77777777" w:rsidR="004F346E" w:rsidRPr="002C27B4" w:rsidRDefault="004F346E" w:rsidP="00AB6C96">
      <w:pPr>
        <w:pStyle w:val="BulletLevel1"/>
        <w:rPr>
          <w:rFonts w:cstheme="majorHAnsi"/>
          <w:bCs/>
        </w:rPr>
      </w:pPr>
      <w:r w:rsidRPr="005B0881">
        <w:rPr>
          <w:b/>
        </w:rPr>
        <w:t>Evaluation cycles</w:t>
      </w:r>
      <w:r w:rsidRPr="00CD5A50">
        <w:t xml:space="preserve"> –</w:t>
      </w:r>
      <w:r>
        <w:t xml:space="preserve"> Electricity savings values, which are reported for each year, are based on per-unit electricity savings values and sales volume data. Sales volume data should be updated at least biennially and per-unit electricity savings values updated at least once every 4 years or whenever new standards are put in place for the same product(s), whichever is more often. The principal metrics that </w:t>
      </w:r>
      <w:r w:rsidRPr="002F1890">
        <w:t xml:space="preserve">likely </w:t>
      </w:r>
      <w:r>
        <w:t>would be updated at least every 4 years are baselines with respect to:</w:t>
      </w:r>
    </w:p>
    <w:p w14:paraId="317422EE" w14:textId="77777777" w:rsidR="004F346E" w:rsidRPr="002C27B4" w:rsidRDefault="004F346E" w:rsidP="00AB6C96">
      <w:pPr>
        <w:pStyle w:val="BulletLevel2"/>
        <w:rPr>
          <w:rFonts w:cstheme="majorHAnsi"/>
          <w:bCs/>
        </w:rPr>
      </w:pPr>
      <w:r>
        <w:t xml:space="preserve">Any new </w:t>
      </w:r>
      <w:r w:rsidR="00EC6835">
        <w:t>s</w:t>
      </w:r>
      <w:r w:rsidR="005A36F0">
        <w:t>tate</w:t>
      </w:r>
      <w:r>
        <w:t xml:space="preserve"> or </w:t>
      </w:r>
      <w:r w:rsidR="00EC6835">
        <w:t>f</w:t>
      </w:r>
      <w:r w:rsidR="005A36F0">
        <w:t>ederal</w:t>
      </w:r>
      <w:r>
        <w:t xml:space="preserve"> product standards that have come into force.</w:t>
      </w:r>
    </w:p>
    <w:p w14:paraId="4F6CD2D6" w14:textId="77777777" w:rsidR="004F346E" w:rsidRPr="004A1694" w:rsidRDefault="004F346E" w:rsidP="00AB6C96">
      <w:pPr>
        <w:pStyle w:val="BulletLevel2"/>
      </w:pPr>
      <w:r>
        <w:t xml:space="preserve">NOMAD – </w:t>
      </w:r>
      <w:r w:rsidR="000E7141">
        <w:t xml:space="preserve">it is </w:t>
      </w:r>
      <w:r>
        <w:t xml:space="preserve">expected that product efficiencies </w:t>
      </w:r>
      <w:r w:rsidR="000E7141">
        <w:t xml:space="preserve">will </w:t>
      </w:r>
      <w:r>
        <w:t>change over time, in the absence of the standard, so that the CPB in, for example, 2029 might be much more “efficient” than in 2025.</w:t>
      </w:r>
    </w:p>
    <w:p w14:paraId="1CE1356F" w14:textId="77777777" w:rsidR="004F346E" w:rsidRPr="004A1694" w:rsidRDefault="004F346E" w:rsidP="00AB6C96">
      <w:pPr>
        <w:pStyle w:val="BulletLevel1"/>
        <w:rPr>
          <w:rFonts w:asciiTheme="majorHAnsi" w:hAnsiTheme="majorHAnsi"/>
          <w:szCs w:val="22"/>
        </w:rPr>
      </w:pPr>
      <w:r w:rsidRPr="004A1694">
        <w:rPr>
          <w:b/>
        </w:rPr>
        <w:t>Effective useful life and persistence of savings</w:t>
      </w:r>
      <w:r w:rsidRPr="00E466C1">
        <w:t xml:space="preserve"> – At a minimum</w:t>
      </w:r>
      <w:r>
        <w:t>,</w:t>
      </w:r>
      <w:r w:rsidRPr="00E466C1">
        <w:t xml:space="preserve"> </w:t>
      </w:r>
      <w:r>
        <w:t>s</w:t>
      </w:r>
      <w:r w:rsidRPr="00E466C1">
        <w:t xml:space="preserve">avings </w:t>
      </w:r>
      <w:r>
        <w:t xml:space="preserve">should </w:t>
      </w:r>
      <w:r w:rsidRPr="00E466C1">
        <w:t xml:space="preserve">be assumed to continue until at least a new </w:t>
      </w:r>
      <w:r w:rsidR="00105AE1">
        <w:t xml:space="preserve">federal, </w:t>
      </w:r>
      <w:r w:rsidR="00EC6835">
        <w:t>state</w:t>
      </w:r>
      <w:r w:rsidRPr="00E466C1">
        <w:t xml:space="preserve"> or local standard is put into place.</w:t>
      </w:r>
      <w:r>
        <w:t xml:space="preserve"> </w:t>
      </w:r>
    </w:p>
    <w:p w14:paraId="06CBA710" w14:textId="77777777" w:rsidR="009F278D" w:rsidRDefault="00867725" w:rsidP="00AB6C96">
      <w:pPr>
        <w:pStyle w:val="BulletLevel1"/>
        <w:sectPr w:rsidR="009F278D" w:rsidSect="009F278D">
          <w:footerReference w:type="default" r:id="rId27"/>
          <w:pgSz w:w="12240" w:h="15840"/>
          <w:pgMar w:top="1440" w:right="1440" w:bottom="1440" w:left="1440" w:header="720" w:footer="720" w:gutter="0"/>
          <w:pgNumType w:start="1"/>
          <w:cols w:space="720"/>
        </w:sectPr>
      </w:pPr>
      <w:r>
        <w:rPr>
          <w:b/>
        </w:rPr>
        <w:t>Avoiding</w:t>
      </w:r>
      <w:r w:rsidR="004F346E" w:rsidRPr="00C023F3">
        <w:rPr>
          <w:b/>
        </w:rPr>
        <w:t xml:space="preserve"> double counting</w:t>
      </w:r>
      <w:r>
        <w:rPr>
          <w:b/>
        </w:rPr>
        <w:t xml:space="preserve"> </w:t>
      </w:r>
      <w:r w:rsidR="004F346E" w:rsidRPr="00D91221">
        <w:rPr>
          <w:b/>
        </w:rPr>
        <w:t>–</w:t>
      </w:r>
      <w:r w:rsidR="004F346E" w:rsidRPr="00EB2D4E">
        <w:rPr>
          <w:b/>
        </w:rPr>
        <w:t xml:space="preserve"> </w:t>
      </w:r>
      <w:r w:rsidR="004F346E" w:rsidRPr="00EB2D4E">
        <w:rPr>
          <w:bCs/>
        </w:rPr>
        <w:t xml:space="preserve">Procedures to avoid double counting particularly between code </w:t>
      </w:r>
      <w:r w:rsidR="005A36F0" w:rsidRPr="00EB2D4E">
        <w:rPr>
          <w:bCs/>
        </w:rPr>
        <w:t>initiatives</w:t>
      </w:r>
      <w:r w:rsidR="004F346E" w:rsidRPr="00EB2D4E">
        <w:rPr>
          <w:bCs/>
        </w:rPr>
        <w:t xml:space="preserve"> and programs or projects are described in Section </w:t>
      </w:r>
      <w:r w:rsidR="009C3D40">
        <w:rPr>
          <w:bCs/>
        </w:rPr>
        <w:t>2</w:t>
      </w:r>
      <w:r w:rsidR="004F346E" w:rsidRPr="00EB2D4E">
        <w:rPr>
          <w:bCs/>
        </w:rPr>
        <w:t>.7.</w:t>
      </w:r>
      <w:r>
        <w:rPr>
          <w:bCs/>
        </w:rPr>
        <w:t xml:space="preserve"> </w:t>
      </w:r>
      <w:r w:rsidR="004F346E" w:rsidRPr="007B0115">
        <w:t xml:space="preserve">Updated product standards should be considered so that prior and new </w:t>
      </w:r>
      <w:r w:rsidR="00EC6835">
        <w:t>state</w:t>
      </w:r>
      <w:r w:rsidR="004F346E" w:rsidRPr="007B0115">
        <w:t xml:space="preserve"> or local standards</w:t>
      </w:r>
      <w:r w:rsidR="004F346E">
        <w:t xml:space="preserve"> for the same product(s) do not double count the same increments of savings. </w:t>
      </w:r>
    </w:p>
    <w:p w14:paraId="4DD4CC15" w14:textId="38A3012E" w:rsidR="00F82B6A" w:rsidRPr="00161904" w:rsidRDefault="008F1CC5" w:rsidP="00AB6C96">
      <w:pPr>
        <w:pStyle w:val="Heading6"/>
      </w:pPr>
      <w:bookmarkStart w:id="488" w:name="_Toc423539706"/>
      <w:bookmarkStart w:id="489" w:name="_Toc423540101"/>
      <w:bookmarkStart w:id="490" w:name="_Toc423539707"/>
      <w:bookmarkStart w:id="491" w:name="_Toc423540102"/>
      <w:bookmarkStart w:id="492" w:name="_Toc423539708"/>
      <w:bookmarkStart w:id="493" w:name="_Toc423540103"/>
      <w:bookmarkStart w:id="494" w:name="_Toc423539711"/>
      <w:bookmarkStart w:id="495" w:name="_Toc423540106"/>
      <w:bookmarkStart w:id="496" w:name="_Toc423539715"/>
      <w:bookmarkStart w:id="497" w:name="_Toc423540110"/>
      <w:bookmarkStart w:id="498" w:name="_Toc423539717"/>
      <w:bookmarkStart w:id="499" w:name="_Toc423540112"/>
      <w:bookmarkStart w:id="500" w:name="_Toc423539718"/>
      <w:bookmarkStart w:id="501" w:name="_Toc423540113"/>
      <w:bookmarkStart w:id="502" w:name="_Toc423539720"/>
      <w:bookmarkStart w:id="503" w:name="_Toc423540115"/>
      <w:bookmarkStart w:id="504" w:name="_Toc423539723"/>
      <w:bookmarkStart w:id="505" w:name="_Toc423540118"/>
      <w:bookmarkStart w:id="506" w:name="_Toc423539724"/>
      <w:bookmarkStart w:id="507" w:name="_Toc423540119"/>
      <w:bookmarkStart w:id="508" w:name="_Toc423539725"/>
      <w:bookmarkStart w:id="509" w:name="_Toc423540120"/>
      <w:bookmarkStart w:id="510" w:name="_Toc423539729"/>
      <w:bookmarkStart w:id="511" w:name="_Toc423540124"/>
      <w:bookmarkStart w:id="512" w:name="_Toc423539735"/>
      <w:bookmarkStart w:id="513" w:name="_Toc423540130"/>
      <w:bookmarkStart w:id="514" w:name="_Toc423539736"/>
      <w:bookmarkStart w:id="515" w:name="_Toc423540131"/>
      <w:bookmarkStart w:id="516" w:name="_Toc423539737"/>
      <w:bookmarkStart w:id="517" w:name="_Toc423540132"/>
      <w:bookmarkStart w:id="518" w:name="_Toc423539739"/>
      <w:bookmarkStart w:id="519" w:name="_Toc423540134"/>
      <w:bookmarkStart w:id="520" w:name="_Toc423539740"/>
      <w:bookmarkStart w:id="521" w:name="_Toc423540135"/>
      <w:bookmarkStart w:id="522" w:name="_Toc423539748"/>
      <w:bookmarkStart w:id="523" w:name="_Toc423540143"/>
      <w:bookmarkStart w:id="524" w:name="_Toc423539750"/>
      <w:bookmarkStart w:id="525" w:name="_Toc423540145"/>
      <w:bookmarkStart w:id="526" w:name="_Toc423539751"/>
      <w:bookmarkStart w:id="527" w:name="_Toc423540146"/>
      <w:bookmarkStart w:id="528" w:name="_Toc423539752"/>
      <w:bookmarkStart w:id="529" w:name="_Toc423540147"/>
      <w:bookmarkStart w:id="530" w:name="_Toc423539753"/>
      <w:bookmarkStart w:id="531" w:name="_Toc423540148"/>
      <w:bookmarkStart w:id="532" w:name="_Toc423539754"/>
      <w:bookmarkStart w:id="533" w:name="_Toc423540149"/>
      <w:bookmarkStart w:id="534" w:name="_Toc423539756"/>
      <w:bookmarkStart w:id="535" w:name="_Toc423540151"/>
      <w:bookmarkStart w:id="536" w:name="_Toc423539763"/>
      <w:bookmarkStart w:id="537" w:name="_Toc423540158"/>
      <w:bookmarkStart w:id="538" w:name="_Toc423539767"/>
      <w:bookmarkStart w:id="539" w:name="_Toc423540162"/>
      <w:bookmarkStart w:id="540" w:name="_Toc423539768"/>
      <w:bookmarkStart w:id="541" w:name="_Toc423540163"/>
      <w:bookmarkStart w:id="542" w:name="_Toc423539771"/>
      <w:bookmarkStart w:id="543" w:name="_Toc423540166"/>
      <w:bookmarkStart w:id="544" w:name="_Toc423539801"/>
      <w:bookmarkStart w:id="545" w:name="_Toc423540196"/>
      <w:bookmarkStart w:id="546" w:name="_Toc423539805"/>
      <w:bookmarkStart w:id="547" w:name="_Toc423540200"/>
      <w:bookmarkStart w:id="548" w:name="_Toc423539808"/>
      <w:bookmarkStart w:id="549" w:name="_Toc423540203"/>
      <w:bookmarkStart w:id="550" w:name="_Toc423539838"/>
      <w:bookmarkStart w:id="551" w:name="_Toc423540233"/>
      <w:bookmarkStart w:id="552" w:name="_Toc423539841"/>
      <w:bookmarkStart w:id="553" w:name="_Toc423540236"/>
      <w:bookmarkStart w:id="554" w:name="_Toc423539843"/>
      <w:bookmarkStart w:id="555" w:name="_Toc423540238"/>
      <w:bookmarkStart w:id="556" w:name="_Toc423539846"/>
      <w:bookmarkStart w:id="557" w:name="_Toc423540241"/>
      <w:bookmarkStart w:id="558" w:name="_Toc423539870"/>
      <w:bookmarkStart w:id="559" w:name="_Toc423540265"/>
      <w:bookmarkStart w:id="560" w:name="_Toc423539873"/>
      <w:bookmarkStart w:id="561" w:name="_Toc423540268"/>
      <w:bookmarkStart w:id="562" w:name="_Toc423539875"/>
      <w:bookmarkStart w:id="563" w:name="_Toc423540270"/>
      <w:bookmarkStart w:id="564" w:name="_Toc423539878"/>
      <w:bookmarkStart w:id="565" w:name="_Toc423540273"/>
      <w:bookmarkStart w:id="566" w:name="_Toc423539908"/>
      <w:bookmarkStart w:id="567" w:name="_Toc423540303"/>
      <w:bookmarkStart w:id="568" w:name="_Toc423539909"/>
      <w:bookmarkStart w:id="569" w:name="_Toc423540304"/>
      <w:bookmarkStart w:id="570" w:name="_Toc423539910"/>
      <w:bookmarkStart w:id="571" w:name="_Toc423540305"/>
      <w:bookmarkStart w:id="572" w:name="_Toc423539911"/>
      <w:bookmarkStart w:id="573" w:name="_Toc423540306"/>
      <w:bookmarkStart w:id="574" w:name="_Toc423539914"/>
      <w:bookmarkStart w:id="575" w:name="_Toc423540309"/>
      <w:bookmarkStart w:id="576" w:name="_Toc423539915"/>
      <w:bookmarkStart w:id="577" w:name="_Toc423540310"/>
      <w:bookmarkStart w:id="578" w:name="_Toc423539917"/>
      <w:bookmarkStart w:id="579" w:name="_Toc423540312"/>
      <w:bookmarkStart w:id="580" w:name="_Toc423539923"/>
      <w:bookmarkStart w:id="581" w:name="_Toc423540318"/>
      <w:bookmarkStart w:id="582" w:name="_Toc423539962"/>
      <w:bookmarkStart w:id="583" w:name="_Toc423540357"/>
      <w:bookmarkStart w:id="584" w:name="_Toc423539963"/>
      <w:bookmarkStart w:id="585" w:name="_Toc423540358"/>
      <w:bookmarkStart w:id="586" w:name="_Toc423539970"/>
      <w:bookmarkStart w:id="587" w:name="_Toc423540365"/>
      <w:bookmarkStart w:id="588" w:name="_Toc423539972"/>
      <w:bookmarkStart w:id="589" w:name="_Toc423540367"/>
      <w:bookmarkStart w:id="590" w:name="_Toc423539974"/>
      <w:bookmarkStart w:id="591" w:name="_Toc423540369"/>
      <w:bookmarkStart w:id="592" w:name="_Toc423539982"/>
      <w:bookmarkStart w:id="593" w:name="_Toc423540377"/>
      <w:bookmarkStart w:id="594" w:name="_Toc423539984"/>
      <w:bookmarkStart w:id="595" w:name="_Toc423540379"/>
      <w:bookmarkStart w:id="596" w:name="_Toc423539985"/>
      <w:bookmarkStart w:id="597" w:name="_Toc423540380"/>
      <w:bookmarkStart w:id="598" w:name="_Toc423539986"/>
      <w:bookmarkStart w:id="599" w:name="_Toc423540381"/>
      <w:bookmarkStart w:id="600" w:name="_Toc423539988"/>
      <w:bookmarkStart w:id="601" w:name="_Toc423540383"/>
      <w:bookmarkStart w:id="602" w:name="_Toc423539989"/>
      <w:bookmarkStart w:id="603" w:name="_Toc423540384"/>
      <w:bookmarkStart w:id="604" w:name="_Toc423539994"/>
      <w:bookmarkStart w:id="605" w:name="_Toc423540389"/>
      <w:bookmarkStart w:id="606" w:name="_Toc423539995"/>
      <w:bookmarkStart w:id="607" w:name="_Toc423540390"/>
      <w:bookmarkStart w:id="608" w:name="_Toc423539996"/>
      <w:bookmarkStart w:id="609" w:name="_Toc423540391"/>
      <w:bookmarkStart w:id="610" w:name="_Toc423539997"/>
      <w:bookmarkStart w:id="611" w:name="_Toc423540392"/>
      <w:bookmarkStart w:id="612" w:name="_Toc422306794"/>
      <w:bookmarkStart w:id="613" w:name="_Toc422307031"/>
      <w:bookmarkStart w:id="614" w:name="_Toc422307172"/>
      <w:bookmarkStart w:id="615" w:name="_Toc422307304"/>
      <w:bookmarkStart w:id="616" w:name="_Toc422311409"/>
      <w:bookmarkStart w:id="617" w:name="_Toc422311543"/>
      <w:bookmarkStart w:id="618" w:name="_Toc426044675"/>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161904">
        <w:lastRenderedPageBreak/>
        <w:t xml:space="preserve">Optional </w:t>
      </w:r>
      <w:r w:rsidR="00F82B6A" w:rsidRPr="00161904">
        <w:t xml:space="preserve">EM&amp;V Plan </w:t>
      </w:r>
      <w:r w:rsidRPr="00161904">
        <w:t>Template</w:t>
      </w:r>
      <w:bookmarkEnd w:id="618"/>
      <w:r w:rsidR="00EB74B1">
        <w:t xml:space="preserve"> for Demand-Side EE</w:t>
      </w:r>
    </w:p>
    <w:p w14:paraId="77A60F1A" w14:textId="0279E8D7" w:rsidR="003179D5" w:rsidRPr="008D6F4E" w:rsidRDefault="000F54FA" w:rsidP="00703A52">
      <w:pPr>
        <w:pStyle w:val="BodyText"/>
      </w:pPr>
      <w:bookmarkStart w:id="619" w:name="_Toc415668667"/>
      <w:r w:rsidRPr="00190CFB">
        <w:t>The following guidance</w:t>
      </w:r>
      <w:r w:rsidR="00EB74B1">
        <w:t>, in the form of an optional EE EM&amp;V Plan template</w:t>
      </w:r>
      <w:r w:rsidRPr="00190CFB">
        <w:t xml:space="preserve"> is provided to help EE providers develop EM&amp;V plans that document how the</w:t>
      </w:r>
      <w:r w:rsidR="00EB74B1">
        <w:t xml:space="preserve"> applicable requirements in the final emission guidelines </w:t>
      </w:r>
      <w:r w:rsidRPr="00190CFB">
        <w:t>will be implemented</w:t>
      </w:r>
      <w:r>
        <w:t>.</w:t>
      </w:r>
      <w:r w:rsidR="001A5A18">
        <w:t xml:space="preserve"> </w:t>
      </w:r>
      <w:r w:rsidR="00E226BF">
        <w:t xml:space="preserve">Such </w:t>
      </w:r>
      <w:r w:rsidR="00E226BF" w:rsidRPr="00E226BF">
        <w:t xml:space="preserve">plans should be completed for each individual EE program or project to be used to generate ERCs or otherwise adjust an emission rate. For program-level EM&amp;V plans, any one or more of the EM&amp;V methods addressed in Section 2.1 above may be applied. Plans for EE projects must apply PB-MV, </w:t>
      </w:r>
      <w:r w:rsidR="00E226BF">
        <w:t xml:space="preserve">which is also </w:t>
      </w:r>
      <w:r w:rsidR="00E226BF" w:rsidRPr="00E226BF">
        <w:t>defined and described in</w:t>
      </w:r>
      <w:r w:rsidR="00E226BF">
        <w:t xml:space="preserve"> 2.1</w:t>
      </w:r>
      <w:r w:rsidR="00E226BF" w:rsidRPr="00E226BF">
        <w:t xml:space="preserve">. </w:t>
      </w:r>
      <w:r w:rsidR="0015547C">
        <w:t xml:space="preserve">Completion of the </w:t>
      </w:r>
      <w:r w:rsidR="00E226BF">
        <w:t xml:space="preserve">following </w:t>
      </w:r>
      <w:r w:rsidR="0015547C">
        <w:t>template results in a stand-</w:t>
      </w:r>
      <w:r w:rsidR="003179D5" w:rsidRPr="008D6F4E">
        <w:t xml:space="preserve">alone </w:t>
      </w:r>
      <w:r w:rsidR="0015547C">
        <w:t>EM&amp;V plan that</w:t>
      </w:r>
      <w:r w:rsidR="003179D5" w:rsidRPr="008D6F4E">
        <w:t xml:space="preserve"> contains </w:t>
      </w:r>
      <w:r w:rsidR="00E226BF">
        <w:t xml:space="preserve">complete </w:t>
      </w:r>
      <w:r w:rsidR="003179D5" w:rsidRPr="008D6F4E">
        <w:t xml:space="preserve">information </w:t>
      </w:r>
      <w:r w:rsidR="00E226BF">
        <w:t xml:space="preserve">regarding </w:t>
      </w:r>
      <w:r w:rsidR="0015547C">
        <w:t xml:space="preserve">the EM&amp;V </w:t>
      </w:r>
      <w:r w:rsidR="003179D5" w:rsidRPr="008D6F4E">
        <w:t>to be undertaken, why, when,</w:t>
      </w:r>
      <w:r w:rsidR="003179D5">
        <w:t xml:space="preserve"> </w:t>
      </w:r>
      <w:r w:rsidR="0015547C">
        <w:t>and how.</w:t>
      </w:r>
      <w:r w:rsidR="001A5A18">
        <w:t xml:space="preserve"> </w:t>
      </w:r>
    </w:p>
    <w:p w14:paraId="2CAD7636" w14:textId="77777777" w:rsidR="003179D5" w:rsidRPr="00161904" w:rsidRDefault="00323871" w:rsidP="003179D5">
      <w:pPr>
        <w:pStyle w:val="Heading7"/>
        <w:numPr>
          <w:ilvl w:val="6"/>
          <w:numId w:val="69"/>
        </w:numPr>
        <w:ind w:left="0"/>
        <w:rPr>
          <w:rFonts w:cs="Calibri"/>
          <w:szCs w:val="22"/>
        </w:rPr>
      </w:pPr>
      <w:r>
        <w:t xml:space="preserve">EM&amp;V </w:t>
      </w:r>
      <w:r w:rsidR="003179D5" w:rsidRPr="00161904">
        <w:t xml:space="preserve">Plan </w:t>
      </w:r>
      <w:r>
        <w:t>Template</w:t>
      </w:r>
    </w:p>
    <w:p w14:paraId="159CB35C" w14:textId="77777777" w:rsidR="003179D5" w:rsidRPr="008D6F4E" w:rsidRDefault="003179D5" w:rsidP="003179D5">
      <w:pPr>
        <w:autoSpaceDE w:val="0"/>
        <w:autoSpaceDN w:val="0"/>
        <w:adjustRightInd w:val="0"/>
        <w:contextualSpacing/>
        <w:rPr>
          <w:rFonts w:asciiTheme="majorHAnsi" w:hAnsiTheme="majorHAnsi" w:cs="Times"/>
          <w:szCs w:val="22"/>
        </w:rPr>
      </w:pPr>
      <w:r w:rsidRPr="008D6F4E">
        <w:rPr>
          <w:rFonts w:asciiTheme="majorHAnsi" w:hAnsiTheme="majorHAnsi" w:cs="Calibri"/>
          <w:b/>
          <w:bCs/>
          <w:szCs w:val="22"/>
        </w:rPr>
        <w:t>Part A. Document Information</w:t>
      </w:r>
    </w:p>
    <w:p w14:paraId="37999DAC" w14:textId="77777777" w:rsidR="003179D5" w:rsidRPr="008D6F4E" w:rsidRDefault="003179D5" w:rsidP="003179D5">
      <w:pPr>
        <w:pStyle w:val="ListParagraph"/>
        <w:numPr>
          <w:ilvl w:val="0"/>
          <w:numId w:val="18"/>
        </w:numPr>
        <w:autoSpaceDE w:val="0"/>
        <w:autoSpaceDN w:val="0"/>
        <w:adjustRightInd w:val="0"/>
        <w:rPr>
          <w:rFonts w:asciiTheme="majorHAnsi" w:hAnsiTheme="majorHAnsi" w:cs="Calibri"/>
          <w:bCs/>
          <w:szCs w:val="22"/>
        </w:rPr>
      </w:pPr>
      <w:r w:rsidRPr="008D6F4E">
        <w:rPr>
          <w:rFonts w:asciiTheme="majorHAnsi" w:hAnsiTheme="majorHAnsi" w:cs="Calibri"/>
          <w:bCs/>
          <w:szCs w:val="22"/>
        </w:rPr>
        <w:t>Program</w:t>
      </w:r>
      <w:r w:rsidR="000F7B9B">
        <w:rPr>
          <w:rFonts w:asciiTheme="majorHAnsi" w:hAnsiTheme="majorHAnsi" w:cs="Calibri"/>
          <w:bCs/>
          <w:szCs w:val="22"/>
        </w:rPr>
        <w:t>/project</w:t>
      </w:r>
      <w:r w:rsidRPr="008D6F4E">
        <w:rPr>
          <w:rFonts w:asciiTheme="majorHAnsi" w:hAnsiTheme="majorHAnsi" w:cs="Calibri"/>
          <w:bCs/>
          <w:szCs w:val="22"/>
        </w:rPr>
        <w:t xml:space="preserve"> name and jurisdiction (e.g., </w:t>
      </w:r>
      <w:r>
        <w:rPr>
          <w:rFonts w:asciiTheme="majorHAnsi" w:hAnsiTheme="majorHAnsi" w:cs="Calibri"/>
          <w:bCs/>
          <w:szCs w:val="22"/>
        </w:rPr>
        <w:t>state</w:t>
      </w:r>
      <w:r w:rsidRPr="008D6F4E">
        <w:rPr>
          <w:rFonts w:asciiTheme="majorHAnsi" w:hAnsiTheme="majorHAnsi" w:cs="Calibri"/>
          <w:bCs/>
          <w:szCs w:val="22"/>
        </w:rPr>
        <w:t xml:space="preserve"> </w:t>
      </w:r>
      <w:r>
        <w:rPr>
          <w:rFonts w:asciiTheme="majorHAnsi" w:hAnsiTheme="majorHAnsi" w:cs="Calibri"/>
          <w:bCs/>
          <w:szCs w:val="22"/>
        </w:rPr>
        <w:t>where the</w:t>
      </w:r>
      <w:r w:rsidR="006E2877">
        <w:rPr>
          <w:rFonts w:asciiTheme="majorHAnsi" w:hAnsiTheme="majorHAnsi" w:cs="Calibri"/>
          <w:bCs/>
          <w:szCs w:val="22"/>
        </w:rPr>
        <w:t xml:space="preserve"> program will be implemented)</w:t>
      </w:r>
    </w:p>
    <w:p w14:paraId="1B42B3BE" w14:textId="77777777" w:rsidR="006E2877" w:rsidRDefault="006E2877" w:rsidP="003179D5">
      <w:pPr>
        <w:pStyle w:val="ListParagraph"/>
        <w:numPr>
          <w:ilvl w:val="0"/>
          <w:numId w:val="18"/>
        </w:numPr>
        <w:autoSpaceDE w:val="0"/>
        <w:autoSpaceDN w:val="0"/>
        <w:adjustRightInd w:val="0"/>
        <w:rPr>
          <w:rFonts w:asciiTheme="majorHAnsi" w:hAnsiTheme="majorHAnsi" w:cs="Calibri"/>
          <w:bCs/>
          <w:szCs w:val="22"/>
        </w:rPr>
      </w:pPr>
      <w:r>
        <w:rPr>
          <w:rFonts w:asciiTheme="majorHAnsi" w:hAnsiTheme="majorHAnsi" w:cs="Calibri"/>
          <w:bCs/>
          <w:szCs w:val="22"/>
        </w:rPr>
        <w:t>EE provider and EM&amp;V p</w:t>
      </w:r>
      <w:r w:rsidR="003179D5" w:rsidRPr="008D6F4E">
        <w:rPr>
          <w:rFonts w:asciiTheme="majorHAnsi" w:hAnsiTheme="majorHAnsi" w:cs="Calibri"/>
          <w:bCs/>
          <w:szCs w:val="22"/>
        </w:rPr>
        <w:t>lan author</w:t>
      </w:r>
    </w:p>
    <w:p w14:paraId="68F634D9" w14:textId="77777777" w:rsidR="003179D5" w:rsidRDefault="003179D5" w:rsidP="003179D5">
      <w:pPr>
        <w:pStyle w:val="ListParagraph"/>
        <w:numPr>
          <w:ilvl w:val="0"/>
          <w:numId w:val="18"/>
        </w:numPr>
        <w:autoSpaceDE w:val="0"/>
        <w:autoSpaceDN w:val="0"/>
        <w:adjustRightInd w:val="0"/>
        <w:rPr>
          <w:rFonts w:asciiTheme="majorHAnsi" w:hAnsiTheme="majorHAnsi" w:cs="Calibri"/>
          <w:bCs/>
          <w:szCs w:val="22"/>
        </w:rPr>
      </w:pPr>
      <w:r w:rsidRPr="008D6F4E">
        <w:rPr>
          <w:rFonts w:asciiTheme="majorHAnsi" w:hAnsiTheme="majorHAnsi" w:cs="Calibri"/>
          <w:bCs/>
          <w:szCs w:val="22"/>
        </w:rPr>
        <w:t xml:space="preserve">Contact person for information about </w:t>
      </w:r>
      <w:r w:rsidR="00FA182E">
        <w:rPr>
          <w:rFonts w:asciiTheme="majorHAnsi" w:hAnsiTheme="majorHAnsi" w:cs="Calibri"/>
          <w:bCs/>
          <w:szCs w:val="22"/>
        </w:rPr>
        <w:t xml:space="preserve">the EM&amp;V </w:t>
      </w:r>
      <w:r w:rsidRPr="008D6F4E">
        <w:rPr>
          <w:rFonts w:asciiTheme="majorHAnsi" w:hAnsiTheme="majorHAnsi" w:cs="Calibri"/>
          <w:bCs/>
          <w:szCs w:val="22"/>
        </w:rPr>
        <w:t>plan</w:t>
      </w:r>
    </w:p>
    <w:p w14:paraId="485644D8" w14:textId="77777777" w:rsidR="006E2877" w:rsidRPr="008D6F4E" w:rsidRDefault="006E2877" w:rsidP="006E2877">
      <w:pPr>
        <w:pStyle w:val="ListParagraph"/>
        <w:numPr>
          <w:ilvl w:val="0"/>
          <w:numId w:val="18"/>
        </w:numPr>
        <w:autoSpaceDE w:val="0"/>
        <w:autoSpaceDN w:val="0"/>
        <w:adjustRightInd w:val="0"/>
        <w:rPr>
          <w:rFonts w:asciiTheme="majorHAnsi" w:hAnsiTheme="majorHAnsi" w:cs="Calibri"/>
          <w:bCs/>
          <w:szCs w:val="22"/>
        </w:rPr>
      </w:pPr>
      <w:r w:rsidRPr="008D6F4E">
        <w:rPr>
          <w:rFonts w:asciiTheme="majorHAnsi" w:hAnsiTheme="majorHAnsi" w:cs="Calibri"/>
          <w:bCs/>
          <w:szCs w:val="22"/>
        </w:rPr>
        <w:t xml:space="preserve">Date and version of </w:t>
      </w:r>
      <w:r w:rsidR="00FA182E">
        <w:rPr>
          <w:rFonts w:asciiTheme="majorHAnsi" w:hAnsiTheme="majorHAnsi" w:cs="Calibri"/>
          <w:bCs/>
          <w:szCs w:val="22"/>
        </w:rPr>
        <w:t xml:space="preserve">the EM&amp;V </w:t>
      </w:r>
      <w:r w:rsidRPr="008D6F4E">
        <w:rPr>
          <w:rFonts w:asciiTheme="majorHAnsi" w:hAnsiTheme="majorHAnsi" w:cs="Calibri"/>
          <w:bCs/>
          <w:szCs w:val="22"/>
        </w:rPr>
        <w:t>plan</w:t>
      </w:r>
    </w:p>
    <w:p w14:paraId="309BEE68" w14:textId="77777777" w:rsidR="00867725" w:rsidRDefault="00867725" w:rsidP="003179D5">
      <w:pPr>
        <w:autoSpaceDE w:val="0"/>
        <w:autoSpaceDN w:val="0"/>
        <w:adjustRightInd w:val="0"/>
        <w:contextualSpacing/>
        <w:rPr>
          <w:rFonts w:asciiTheme="majorHAnsi" w:hAnsiTheme="majorHAnsi" w:cs="Calibri"/>
          <w:b/>
          <w:bCs/>
          <w:szCs w:val="22"/>
        </w:rPr>
      </w:pPr>
    </w:p>
    <w:p w14:paraId="6915E0BF" w14:textId="77777777" w:rsidR="003179D5" w:rsidRPr="008D6F4E" w:rsidRDefault="003179D5" w:rsidP="003179D5">
      <w:pPr>
        <w:autoSpaceDE w:val="0"/>
        <w:autoSpaceDN w:val="0"/>
        <w:adjustRightInd w:val="0"/>
        <w:contextualSpacing/>
        <w:rPr>
          <w:rFonts w:asciiTheme="majorHAnsi" w:hAnsiTheme="majorHAnsi" w:cs="Times"/>
          <w:szCs w:val="22"/>
        </w:rPr>
      </w:pPr>
      <w:r w:rsidRPr="008D6F4E">
        <w:rPr>
          <w:rFonts w:asciiTheme="majorHAnsi" w:hAnsiTheme="majorHAnsi" w:cs="Calibri"/>
          <w:b/>
          <w:bCs/>
          <w:szCs w:val="22"/>
        </w:rPr>
        <w:t>Part B. Program</w:t>
      </w:r>
      <w:r w:rsidR="000F7B9B">
        <w:rPr>
          <w:rFonts w:asciiTheme="majorHAnsi" w:hAnsiTheme="majorHAnsi" w:cs="Calibri"/>
          <w:b/>
          <w:bCs/>
          <w:szCs w:val="22"/>
        </w:rPr>
        <w:t>/Project</w:t>
      </w:r>
      <w:r w:rsidRPr="008D6F4E">
        <w:rPr>
          <w:rFonts w:asciiTheme="majorHAnsi" w:hAnsiTheme="majorHAnsi" w:cs="Calibri"/>
          <w:b/>
          <w:bCs/>
          <w:szCs w:val="22"/>
        </w:rPr>
        <w:t xml:space="preserve"> Background</w:t>
      </w:r>
    </w:p>
    <w:p w14:paraId="075BFED8" w14:textId="77777777" w:rsidR="006E2877" w:rsidRPr="006E2877" w:rsidRDefault="003179D5" w:rsidP="00AC2481">
      <w:pPr>
        <w:pStyle w:val="ListParagraph"/>
        <w:numPr>
          <w:ilvl w:val="0"/>
          <w:numId w:val="250"/>
        </w:numPr>
        <w:autoSpaceDE w:val="0"/>
        <w:autoSpaceDN w:val="0"/>
        <w:adjustRightInd w:val="0"/>
        <w:rPr>
          <w:rFonts w:asciiTheme="majorHAnsi" w:hAnsiTheme="majorHAnsi" w:cs="Times"/>
          <w:szCs w:val="22"/>
        </w:rPr>
      </w:pPr>
      <w:r w:rsidRPr="008D6F4E">
        <w:rPr>
          <w:rFonts w:asciiTheme="majorHAnsi" w:hAnsiTheme="majorHAnsi" w:cs="Calibri"/>
          <w:szCs w:val="22"/>
        </w:rPr>
        <w:t>Short description of the program</w:t>
      </w:r>
      <w:r w:rsidR="000F7B9B">
        <w:rPr>
          <w:rFonts w:asciiTheme="majorHAnsi" w:hAnsiTheme="majorHAnsi" w:cs="Calibri"/>
          <w:szCs w:val="22"/>
        </w:rPr>
        <w:t xml:space="preserve"> or project </w:t>
      </w:r>
      <w:r w:rsidRPr="008D6F4E">
        <w:rPr>
          <w:rFonts w:asciiTheme="majorHAnsi" w:hAnsiTheme="majorHAnsi" w:cs="Calibri"/>
          <w:szCs w:val="22"/>
        </w:rPr>
        <w:t>being evaluated</w:t>
      </w:r>
    </w:p>
    <w:p w14:paraId="6F4C56D1" w14:textId="317AB41A" w:rsidR="006E2877" w:rsidRPr="006E2877" w:rsidRDefault="006E2877" w:rsidP="00AC2481">
      <w:pPr>
        <w:pStyle w:val="ListParagraph"/>
        <w:numPr>
          <w:ilvl w:val="1"/>
          <w:numId w:val="250"/>
        </w:numPr>
        <w:autoSpaceDE w:val="0"/>
        <w:autoSpaceDN w:val="0"/>
        <w:adjustRightInd w:val="0"/>
        <w:rPr>
          <w:rFonts w:asciiTheme="majorHAnsi" w:hAnsiTheme="majorHAnsi" w:cs="Times"/>
          <w:szCs w:val="22"/>
        </w:rPr>
      </w:pPr>
      <w:r>
        <w:rPr>
          <w:rFonts w:asciiTheme="majorHAnsi" w:hAnsiTheme="majorHAnsi" w:cs="Calibri"/>
          <w:szCs w:val="22"/>
        </w:rPr>
        <w:t xml:space="preserve">EE </w:t>
      </w:r>
      <w:r w:rsidR="00E226BF">
        <w:rPr>
          <w:rFonts w:asciiTheme="majorHAnsi" w:hAnsiTheme="majorHAnsi" w:cs="Calibri"/>
          <w:szCs w:val="22"/>
        </w:rPr>
        <w:t xml:space="preserve">measures </w:t>
      </w:r>
      <w:bookmarkStart w:id="620" w:name="_GoBack"/>
      <w:bookmarkEnd w:id="620"/>
      <w:r>
        <w:rPr>
          <w:rFonts w:asciiTheme="majorHAnsi" w:hAnsiTheme="majorHAnsi" w:cs="Calibri"/>
          <w:szCs w:val="22"/>
        </w:rPr>
        <w:t xml:space="preserve">offered or strategies implemented </w:t>
      </w:r>
    </w:p>
    <w:p w14:paraId="5EAB9286" w14:textId="77777777" w:rsidR="006E2877" w:rsidRPr="006E2877" w:rsidRDefault="006E2877" w:rsidP="00AC2481">
      <w:pPr>
        <w:pStyle w:val="ListParagraph"/>
        <w:numPr>
          <w:ilvl w:val="0"/>
          <w:numId w:val="250"/>
        </w:numPr>
        <w:autoSpaceDE w:val="0"/>
        <w:autoSpaceDN w:val="0"/>
        <w:adjustRightInd w:val="0"/>
        <w:rPr>
          <w:rFonts w:asciiTheme="majorHAnsi" w:hAnsiTheme="majorHAnsi" w:cs="Times"/>
          <w:szCs w:val="22"/>
        </w:rPr>
      </w:pPr>
      <w:r>
        <w:rPr>
          <w:rFonts w:asciiTheme="majorHAnsi" w:hAnsiTheme="majorHAnsi" w:cs="Calibri"/>
          <w:szCs w:val="22"/>
        </w:rPr>
        <w:t>Entities</w:t>
      </w:r>
    </w:p>
    <w:p w14:paraId="77210F98" w14:textId="77777777" w:rsidR="006E2877" w:rsidRPr="006E2877" w:rsidRDefault="000F7B9B" w:rsidP="00AC2481">
      <w:pPr>
        <w:pStyle w:val="ListParagraph"/>
        <w:numPr>
          <w:ilvl w:val="1"/>
          <w:numId w:val="250"/>
        </w:numPr>
        <w:autoSpaceDE w:val="0"/>
        <w:autoSpaceDN w:val="0"/>
        <w:adjustRightInd w:val="0"/>
        <w:rPr>
          <w:rFonts w:asciiTheme="majorHAnsi" w:hAnsiTheme="majorHAnsi" w:cs="Times"/>
          <w:szCs w:val="22"/>
        </w:rPr>
      </w:pPr>
      <w:r>
        <w:rPr>
          <w:rFonts w:asciiTheme="majorHAnsi" w:hAnsiTheme="majorHAnsi" w:cs="Times"/>
          <w:szCs w:val="22"/>
        </w:rPr>
        <w:t>EE provider</w:t>
      </w:r>
      <w:r w:rsidR="006E2877">
        <w:rPr>
          <w:rFonts w:asciiTheme="majorHAnsi" w:hAnsiTheme="majorHAnsi" w:cs="Times"/>
          <w:szCs w:val="22"/>
        </w:rPr>
        <w:t xml:space="preserve">, including </w:t>
      </w:r>
      <w:r>
        <w:rPr>
          <w:rFonts w:asciiTheme="majorHAnsi" w:hAnsiTheme="majorHAnsi" w:cs="Times"/>
          <w:szCs w:val="22"/>
        </w:rPr>
        <w:t xml:space="preserve">associated </w:t>
      </w:r>
      <w:r w:rsidR="006E2877">
        <w:rPr>
          <w:rFonts w:asciiTheme="majorHAnsi" w:hAnsiTheme="majorHAnsi" w:cs="Times"/>
          <w:szCs w:val="22"/>
        </w:rPr>
        <w:t>implementation contractors (if any)</w:t>
      </w:r>
    </w:p>
    <w:p w14:paraId="4A603028" w14:textId="77777777" w:rsidR="006E2877" w:rsidRPr="006E2877" w:rsidRDefault="006E2877" w:rsidP="00AC2481">
      <w:pPr>
        <w:pStyle w:val="ListParagraph"/>
        <w:numPr>
          <w:ilvl w:val="1"/>
          <w:numId w:val="250"/>
        </w:numPr>
        <w:autoSpaceDE w:val="0"/>
        <w:autoSpaceDN w:val="0"/>
        <w:adjustRightInd w:val="0"/>
        <w:rPr>
          <w:rFonts w:asciiTheme="majorHAnsi" w:hAnsiTheme="majorHAnsi" w:cs="Times"/>
          <w:szCs w:val="22"/>
        </w:rPr>
      </w:pPr>
      <w:r>
        <w:rPr>
          <w:rFonts w:asciiTheme="majorHAnsi" w:hAnsiTheme="majorHAnsi" w:cs="Calibri"/>
          <w:szCs w:val="22"/>
        </w:rPr>
        <w:t>S</w:t>
      </w:r>
      <w:r w:rsidR="003179D5">
        <w:rPr>
          <w:rFonts w:asciiTheme="majorHAnsi" w:hAnsiTheme="majorHAnsi" w:cs="Calibri"/>
          <w:szCs w:val="22"/>
        </w:rPr>
        <w:t>tate agency</w:t>
      </w:r>
      <w:r>
        <w:rPr>
          <w:rFonts w:asciiTheme="majorHAnsi" w:hAnsiTheme="majorHAnsi" w:cs="Calibri"/>
          <w:szCs w:val="22"/>
        </w:rPr>
        <w:t xml:space="preserve"> or other entity with oversight </w:t>
      </w:r>
      <w:r w:rsidR="000F7B9B">
        <w:rPr>
          <w:rFonts w:asciiTheme="majorHAnsi" w:hAnsiTheme="majorHAnsi" w:cs="Calibri"/>
          <w:szCs w:val="22"/>
        </w:rPr>
        <w:t xml:space="preserve">or </w:t>
      </w:r>
      <w:r>
        <w:rPr>
          <w:rFonts w:asciiTheme="majorHAnsi" w:hAnsiTheme="majorHAnsi" w:cs="Calibri"/>
          <w:szCs w:val="22"/>
        </w:rPr>
        <w:t>implementing responsibility</w:t>
      </w:r>
    </w:p>
    <w:p w14:paraId="672444C6" w14:textId="77777777" w:rsidR="003179D5" w:rsidRPr="008D6F4E" w:rsidRDefault="006E2877" w:rsidP="00AC2481">
      <w:pPr>
        <w:pStyle w:val="ListParagraph"/>
        <w:numPr>
          <w:ilvl w:val="1"/>
          <w:numId w:val="250"/>
        </w:numPr>
        <w:autoSpaceDE w:val="0"/>
        <w:autoSpaceDN w:val="0"/>
        <w:adjustRightInd w:val="0"/>
        <w:rPr>
          <w:rFonts w:asciiTheme="majorHAnsi" w:hAnsiTheme="majorHAnsi" w:cs="Times"/>
          <w:szCs w:val="22"/>
        </w:rPr>
      </w:pPr>
      <w:r>
        <w:rPr>
          <w:rFonts w:asciiTheme="majorHAnsi" w:hAnsiTheme="majorHAnsi" w:cs="Calibri"/>
          <w:szCs w:val="22"/>
        </w:rPr>
        <w:t>T</w:t>
      </w:r>
      <w:r w:rsidR="003179D5" w:rsidRPr="008D6F4E">
        <w:rPr>
          <w:rFonts w:asciiTheme="majorHAnsi" w:hAnsiTheme="majorHAnsi" w:cs="Calibri"/>
          <w:szCs w:val="22"/>
        </w:rPr>
        <w:t>arget market sector</w:t>
      </w:r>
      <w:r w:rsidR="000F7B9B">
        <w:rPr>
          <w:rFonts w:asciiTheme="majorHAnsi" w:hAnsiTheme="majorHAnsi" w:cs="Calibri"/>
          <w:szCs w:val="22"/>
        </w:rPr>
        <w:t xml:space="preserve"> and </w:t>
      </w:r>
      <w:r w:rsidR="003179D5" w:rsidRPr="008D6F4E">
        <w:rPr>
          <w:rFonts w:asciiTheme="majorHAnsi" w:hAnsiTheme="majorHAnsi" w:cs="Calibri"/>
          <w:szCs w:val="22"/>
        </w:rPr>
        <w:t>delivery mechanism</w:t>
      </w:r>
      <w:r w:rsidR="003179D5">
        <w:rPr>
          <w:rFonts w:asciiTheme="majorHAnsi" w:hAnsiTheme="majorHAnsi" w:cs="Calibri"/>
          <w:szCs w:val="22"/>
        </w:rPr>
        <w:t xml:space="preserve"> </w:t>
      </w:r>
      <w:r w:rsidR="000F7B9B">
        <w:rPr>
          <w:rFonts w:asciiTheme="majorHAnsi" w:hAnsiTheme="majorHAnsi" w:cs="Calibri"/>
          <w:szCs w:val="22"/>
        </w:rPr>
        <w:t>(for EE programs only)</w:t>
      </w:r>
      <w:r w:rsidR="003179D5" w:rsidRPr="008D6F4E">
        <w:rPr>
          <w:rFonts w:asciiTheme="majorHAnsi" w:hAnsiTheme="majorHAnsi" w:cs="Calibri"/>
          <w:szCs w:val="22"/>
        </w:rPr>
        <w:t xml:space="preserve"> </w:t>
      </w:r>
    </w:p>
    <w:p w14:paraId="756F3C63" w14:textId="77777777" w:rsidR="003179D5" w:rsidRPr="008D6F4E" w:rsidRDefault="000F7B9B" w:rsidP="00AC2481">
      <w:pPr>
        <w:pStyle w:val="ListParagraph"/>
        <w:numPr>
          <w:ilvl w:val="0"/>
          <w:numId w:val="250"/>
        </w:numPr>
        <w:autoSpaceDE w:val="0"/>
        <w:autoSpaceDN w:val="0"/>
        <w:adjustRightInd w:val="0"/>
        <w:rPr>
          <w:rFonts w:asciiTheme="majorHAnsi" w:hAnsiTheme="majorHAnsi" w:cs="Calibri"/>
          <w:szCs w:val="22"/>
        </w:rPr>
      </w:pPr>
      <w:r>
        <w:rPr>
          <w:rFonts w:asciiTheme="majorHAnsi" w:hAnsiTheme="majorHAnsi" w:cs="Calibri"/>
          <w:szCs w:val="22"/>
        </w:rPr>
        <w:t>Implementation schedule</w:t>
      </w:r>
    </w:p>
    <w:p w14:paraId="476CA7B6" w14:textId="77777777" w:rsidR="003179D5" w:rsidRPr="00BC26FB" w:rsidRDefault="003179D5" w:rsidP="00AC2481">
      <w:pPr>
        <w:pStyle w:val="ListParagraph"/>
        <w:numPr>
          <w:ilvl w:val="0"/>
          <w:numId w:val="250"/>
        </w:numPr>
        <w:autoSpaceDE w:val="0"/>
        <w:autoSpaceDN w:val="0"/>
        <w:adjustRightInd w:val="0"/>
        <w:rPr>
          <w:rFonts w:asciiTheme="majorHAnsi" w:hAnsiTheme="majorHAnsi" w:cs="Times"/>
          <w:szCs w:val="22"/>
        </w:rPr>
      </w:pPr>
      <w:r w:rsidRPr="008D6F4E">
        <w:rPr>
          <w:rFonts w:asciiTheme="majorHAnsi" w:hAnsiTheme="majorHAnsi" w:cs="Calibri"/>
          <w:szCs w:val="22"/>
        </w:rPr>
        <w:t xml:space="preserve">Projections for annual electricity savings over </w:t>
      </w:r>
      <w:r w:rsidR="000F7B9B">
        <w:rPr>
          <w:rFonts w:asciiTheme="majorHAnsi" w:hAnsiTheme="majorHAnsi" w:cs="Calibri"/>
          <w:szCs w:val="22"/>
        </w:rPr>
        <w:t xml:space="preserve">the </w:t>
      </w:r>
      <w:r w:rsidRPr="008D6F4E">
        <w:rPr>
          <w:rFonts w:asciiTheme="majorHAnsi" w:hAnsiTheme="majorHAnsi" w:cs="Calibri"/>
          <w:szCs w:val="22"/>
        </w:rPr>
        <w:t>e</w:t>
      </w:r>
      <w:r w:rsidR="000A6623">
        <w:rPr>
          <w:rFonts w:asciiTheme="majorHAnsi" w:hAnsiTheme="majorHAnsi" w:cs="Calibri"/>
          <w:szCs w:val="22"/>
        </w:rPr>
        <w:t xml:space="preserve">ffective </w:t>
      </w:r>
      <w:r w:rsidR="000F7B9B">
        <w:rPr>
          <w:rFonts w:asciiTheme="majorHAnsi" w:hAnsiTheme="majorHAnsi" w:cs="Calibri"/>
          <w:szCs w:val="22"/>
        </w:rPr>
        <w:t xml:space="preserve">useful </w:t>
      </w:r>
      <w:r w:rsidRPr="008D6F4E">
        <w:rPr>
          <w:rFonts w:asciiTheme="majorHAnsi" w:hAnsiTheme="majorHAnsi" w:cs="Calibri"/>
          <w:szCs w:val="22"/>
        </w:rPr>
        <w:t xml:space="preserve">life </w:t>
      </w:r>
      <w:r w:rsidR="000A6623">
        <w:rPr>
          <w:rFonts w:asciiTheme="majorHAnsi" w:hAnsiTheme="majorHAnsi" w:cs="Calibri"/>
          <w:szCs w:val="22"/>
        </w:rPr>
        <w:t xml:space="preserve">(EUL) </w:t>
      </w:r>
      <w:r w:rsidRPr="008D6F4E">
        <w:rPr>
          <w:rFonts w:asciiTheme="majorHAnsi" w:hAnsiTheme="majorHAnsi" w:cs="Calibri"/>
          <w:szCs w:val="22"/>
        </w:rPr>
        <w:t xml:space="preserve">of </w:t>
      </w:r>
      <w:r w:rsidR="000F7B9B">
        <w:rPr>
          <w:rFonts w:asciiTheme="majorHAnsi" w:hAnsiTheme="majorHAnsi" w:cs="Calibri"/>
          <w:szCs w:val="22"/>
        </w:rPr>
        <w:t xml:space="preserve">the EE </w:t>
      </w:r>
      <w:r w:rsidRPr="008D6F4E">
        <w:rPr>
          <w:rFonts w:asciiTheme="majorHAnsi" w:hAnsiTheme="majorHAnsi" w:cs="Calibri"/>
          <w:szCs w:val="22"/>
        </w:rPr>
        <w:t>program</w:t>
      </w:r>
      <w:r w:rsidR="000F7B9B">
        <w:rPr>
          <w:rFonts w:asciiTheme="majorHAnsi" w:hAnsiTheme="majorHAnsi" w:cs="Calibri"/>
          <w:szCs w:val="22"/>
        </w:rPr>
        <w:t>/project</w:t>
      </w:r>
      <w:r>
        <w:rPr>
          <w:rStyle w:val="FootnoteReference"/>
          <w:rFonts w:asciiTheme="majorHAnsi" w:hAnsiTheme="majorHAnsi" w:cs="Calibri"/>
          <w:szCs w:val="22"/>
        </w:rPr>
        <w:footnoteReference w:id="66"/>
      </w:r>
    </w:p>
    <w:p w14:paraId="2E6AD3CD" w14:textId="77777777" w:rsidR="003179D5" w:rsidRPr="008D6F4E" w:rsidRDefault="003179D5" w:rsidP="00AC2481">
      <w:pPr>
        <w:pStyle w:val="ListParagraph"/>
        <w:numPr>
          <w:ilvl w:val="0"/>
          <w:numId w:val="250"/>
        </w:numPr>
        <w:autoSpaceDE w:val="0"/>
        <w:autoSpaceDN w:val="0"/>
        <w:adjustRightInd w:val="0"/>
        <w:rPr>
          <w:rFonts w:asciiTheme="majorHAnsi" w:hAnsiTheme="majorHAnsi" w:cs="Times"/>
          <w:szCs w:val="22"/>
        </w:rPr>
      </w:pPr>
      <w:r>
        <w:rPr>
          <w:rFonts w:asciiTheme="majorHAnsi" w:hAnsiTheme="majorHAnsi" w:cs="Calibri"/>
          <w:szCs w:val="22"/>
        </w:rPr>
        <w:t>Program</w:t>
      </w:r>
      <w:r w:rsidR="000F7B9B">
        <w:rPr>
          <w:rFonts w:asciiTheme="majorHAnsi" w:hAnsiTheme="majorHAnsi" w:cs="Calibri"/>
          <w:szCs w:val="22"/>
        </w:rPr>
        <w:t>/project</w:t>
      </w:r>
      <w:r>
        <w:rPr>
          <w:rFonts w:asciiTheme="majorHAnsi" w:hAnsiTheme="majorHAnsi" w:cs="Calibri"/>
          <w:szCs w:val="22"/>
        </w:rPr>
        <w:t xml:space="preserve"> budget</w:t>
      </w:r>
    </w:p>
    <w:p w14:paraId="534C1B6A" w14:textId="77777777" w:rsidR="00867725" w:rsidRDefault="00867725" w:rsidP="003179D5">
      <w:pPr>
        <w:autoSpaceDE w:val="0"/>
        <w:autoSpaceDN w:val="0"/>
        <w:adjustRightInd w:val="0"/>
        <w:contextualSpacing/>
        <w:rPr>
          <w:rFonts w:asciiTheme="majorHAnsi" w:hAnsiTheme="majorHAnsi" w:cs="Calibri"/>
          <w:b/>
          <w:bCs/>
          <w:szCs w:val="22"/>
        </w:rPr>
      </w:pPr>
    </w:p>
    <w:p w14:paraId="29C49756" w14:textId="77777777" w:rsidR="003179D5" w:rsidRPr="008D6F4E" w:rsidRDefault="003179D5" w:rsidP="003179D5">
      <w:pPr>
        <w:autoSpaceDE w:val="0"/>
        <w:autoSpaceDN w:val="0"/>
        <w:adjustRightInd w:val="0"/>
        <w:contextualSpacing/>
        <w:rPr>
          <w:rFonts w:asciiTheme="majorHAnsi" w:hAnsiTheme="majorHAnsi" w:cs="Times"/>
          <w:szCs w:val="22"/>
        </w:rPr>
      </w:pPr>
      <w:r w:rsidRPr="008D6F4E">
        <w:rPr>
          <w:rFonts w:asciiTheme="majorHAnsi" w:hAnsiTheme="majorHAnsi" w:cs="Calibri"/>
          <w:b/>
          <w:bCs/>
          <w:szCs w:val="22"/>
        </w:rPr>
        <w:t>Part C. EM&amp;V Overview</w:t>
      </w:r>
    </w:p>
    <w:p w14:paraId="75EE924F" w14:textId="77777777" w:rsidR="003179D5" w:rsidRPr="008D6F4E" w:rsidRDefault="003179D5" w:rsidP="00AC2481">
      <w:pPr>
        <w:pStyle w:val="ListParagraph"/>
        <w:numPr>
          <w:ilvl w:val="0"/>
          <w:numId w:val="251"/>
        </w:numPr>
        <w:autoSpaceDE w:val="0"/>
        <w:autoSpaceDN w:val="0"/>
        <w:adjustRightInd w:val="0"/>
        <w:rPr>
          <w:rFonts w:asciiTheme="majorHAnsi" w:hAnsiTheme="majorHAnsi" w:cs="Calibri"/>
          <w:szCs w:val="22"/>
        </w:rPr>
      </w:pPr>
      <w:r>
        <w:rPr>
          <w:rFonts w:asciiTheme="majorHAnsi" w:hAnsiTheme="majorHAnsi" w:cs="Calibri"/>
          <w:szCs w:val="22"/>
        </w:rPr>
        <w:t xml:space="preserve">Savings </w:t>
      </w:r>
      <w:r w:rsidR="006E2877">
        <w:rPr>
          <w:rFonts w:asciiTheme="majorHAnsi" w:hAnsiTheme="majorHAnsi" w:cs="Calibri"/>
          <w:szCs w:val="22"/>
        </w:rPr>
        <w:t>quantification</w:t>
      </w:r>
    </w:p>
    <w:p w14:paraId="5C6FD942" w14:textId="77777777" w:rsidR="003179D5" w:rsidRDefault="003179D5" w:rsidP="003179D5">
      <w:pPr>
        <w:pStyle w:val="ListParagraph"/>
        <w:numPr>
          <w:ilvl w:val="1"/>
          <w:numId w:val="15"/>
        </w:numPr>
        <w:autoSpaceDE w:val="0"/>
        <w:autoSpaceDN w:val="0"/>
        <w:adjustRightInd w:val="0"/>
        <w:rPr>
          <w:rFonts w:asciiTheme="majorHAnsi" w:hAnsiTheme="majorHAnsi" w:cs="Calibri"/>
          <w:szCs w:val="22"/>
        </w:rPr>
      </w:pPr>
      <w:r>
        <w:rPr>
          <w:rFonts w:asciiTheme="majorHAnsi" w:hAnsiTheme="majorHAnsi" w:cs="Calibri"/>
          <w:szCs w:val="22"/>
        </w:rPr>
        <w:t>Metric definition</w:t>
      </w:r>
      <w:r w:rsidR="00F30B20">
        <w:rPr>
          <w:rFonts w:asciiTheme="majorHAnsi" w:hAnsiTheme="majorHAnsi" w:cs="Calibri"/>
          <w:szCs w:val="22"/>
        </w:rPr>
        <w:t xml:space="preserve"> – i.e., </w:t>
      </w:r>
      <w:r>
        <w:rPr>
          <w:rFonts w:asciiTheme="majorHAnsi" w:hAnsiTheme="majorHAnsi" w:cs="Calibri"/>
          <w:szCs w:val="22"/>
        </w:rPr>
        <w:t xml:space="preserve">annual </w:t>
      </w:r>
      <w:proofErr w:type="spellStart"/>
      <w:r>
        <w:rPr>
          <w:rFonts w:asciiTheme="majorHAnsi" w:hAnsiTheme="majorHAnsi" w:cs="Calibri"/>
          <w:szCs w:val="22"/>
        </w:rPr>
        <w:t>MWh</w:t>
      </w:r>
      <w:proofErr w:type="spellEnd"/>
      <w:r>
        <w:rPr>
          <w:rFonts w:asciiTheme="majorHAnsi" w:hAnsiTheme="majorHAnsi" w:cs="Calibri"/>
          <w:szCs w:val="22"/>
        </w:rPr>
        <w:t xml:space="preserve"> </w:t>
      </w:r>
      <w:r w:rsidR="000F7B9B">
        <w:rPr>
          <w:rFonts w:asciiTheme="majorHAnsi" w:hAnsiTheme="majorHAnsi" w:cs="Calibri"/>
          <w:szCs w:val="22"/>
        </w:rPr>
        <w:t xml:space="preserve">of adjusted </w:t>
      </w:r>
      <w:r>
        <w:rPr>
          <w:rFonts w:asciiTheme="majorHAnsi" w:hAnsiTheme="majorHAnsi" w:cs="Calibri"/>
          <w:szCs w:val="22"/>
        </w:rPr>
        <w:t>gross savings</w:t>
      </w:r>
      <w:r w:rsidR="00A835D9">
        <w:rPr>
          <w:rFonts w:asciiTheme="majorHAnsi" w:hAnsiTheme="majorHAnsi" w:cs="Calibri"/>
          <w:szCs w:val="22"/>
        </w:rPr>
        <w:t xml:space="preserve"> based on a CPB</w:t>
      </w:r>
    </w:p>
    <w:p w14:paraId="49EE9CDB" w14:textId="77777777" w:rsidR="003179D5" w:rsidRPr="008D6F4E" w:rsidRDefault="003179D5" w:rsidP="00F30B20">
      <w:pPr>
        <w:pStyle w:val="ListParagraph"/>
        <w:numPr>
          <w:ilvl w:val="1"/>
          <w:numId w:val="15"/>
        </w:numPr>
        <w:autoSpaceDE w:val="0"/>
        <w:autoSpaceDN w:val="0"/>
        <w:adjustRightInd w:val="0"/>
        <w:rPr>
          <w:rFonts w:asciiTheme="majorHAnsi" w:hAnsiTheme="majorHAnsi" w:cs="Calibri"/>
          <w:szCs w:val="22"/>
        </w:rPr>
      </w:pPr>
      <w:r w:rsidRPr="008D6F4E">
        <w:rPr>
          <w:rFonts w:asciiTheme="majorHAnsi" w:hAnsiTheme="majorHAnsi" w:cs="Calibri"/>
          <w:szCs w:val="22"/>
        </w:rPr>
        <w:t xml:space="preserve">EM&amp;V </w:t>
      </w:r>
      <w:r w:rsidR="00F30B20">
        <w:rPr>
          <w:rFonts w:asciiTheme="majorHAnsi" w:hAnsiTheme="majorHAnsi" w:cs="Calibri"/>
          <w:szCs w:val="22"/>
        </w:rPr>
        <w:t xml:space="preserve">method – describe </w:t>
      </w:r>
      <w:r>
        <w:rPr>
          <w:rFonts w:asciiTheme="majorHAnsi" w:hAnsiTheme="majorHAnsi" w:cs="Calibri"/>
          <w:szCs w:val="22"/>
        </w:rPr>
        <w:t xml:space="preserve">the value of the </w:t>
      </w:r>
      <w:r w:rsidRPr="008D6F4E">
        <w:rPr>
          <w:rFonts w:asciiTheme="majorHAnsi" w:hAnsiTheme="majorHAnsi" w:cs="Calibri"/>
          <w:szCs w:val="22"/>
        </w:rPr>
        <w:t>metric(s); include</w:t>
      </w:r>
      <w:r>
        <w:rPr>
          <w:rFonts w:asciiTheme="majorHAnsi" w:hAnsiTheme="majorHAnsi" w:cs="Calibri"/>
          <w:szCs w:val="22"/>
        </w:rPr>
        <w:t xml:space="preserve"> s</w:t>
      </w:r>
      <w:r w:rsidRPr="008D6F4E">
        <w:rPr>
          <w:rFonts w:asciiTheme="majorHAnsi" w:hAnsiTheme="majorHAnsi" w:cs="Calibri"/>
          <w:szCs w:val="22"/>
        </w:rPr>
        <w:t xml:space="preserve">ummary description of data collection approach, </w:t>
      </w:r>
      <w:r>
        <w:rPr>
          <w:rFonts w:asciiTheme="majorHAnsi" w:hAnsiTheme="majorHAnsi" w:cs="Calibri"/>
          <w:szCs w:val="22"/>
        </w:rPr>
        <w:t xml:space="preserve">sample design, </w:t>
      </w:r>
      <w:r w:rsidRPr="008D6F4E">
        <w:rPr>
          <w:rFonts w:asciiTheme="majorHAnsi" w:hAnsiTheme="majorHAnsi" w:cs="Calibri"/>
          <w:szCs w:val="22"/>
        </w:rPr>
        <w:t>analyses methods, and significant assumptions</w:t>
      </w:r>
      <w:r>
        <w:rPr>
          <w:rFonts w:asciiTheme="majorHAnsi" w:hAnsiTheme="majorHAnsi" w:cs="Calibri"/>
          <w:szCs w:val="22"/>
        </w:rPr>
        <w:t xml:space="preserve">; </w:t>
      </w:r>
      <w:r w:rsidRPr="00B83A49">
        <w:rPr>
          <w:rFonts w:asciiTheme="majorHAnsi" w:hAnsiTheme="majorHAnsi" w:cs="Calibri"/>
          <w:szCs w:val="22"/>
        </w:rPr>
        <w:t>indicat</w:t>
      </w:r>
      <w:r>
        <w:rPr>
          <w:rFonts w:asciiTheme="majorHAnsi" w:hAnsiTheme="majorHAnsi" w:cs="Calibri"/>
          <w:szCs w:val="22"/>
        </w:rPr>
        <w:t>e</w:t>
      </w:r>
      <w:r w:rsidRPr="00B83A49">
        <w:rPr>
          <w:rFonts w:asciiTheme="majorHAnsi" w:hAnsiTheme="majorHAnsi" w:cs="Calibri"/>
          <w:szCs w:val="22"/>
        </w:rPr>
        <w:t xml:space="preserve"> </w:t>
      </w:r>
      <w:r>
        <w:rPr>
          <w:rFonts w:asciiTheme="majorHAnsi" w:hAnsiTheme="majorHAnsi" w:cs="Calibri"/>
          <w:szCs w:val="22"/>
        </w:rPr>
        <w:t xml:space="preserve">the </w:t>
      </w:r>
      <w:r w:rsidRPr="00B83A49">
        <w:rPr>
          <w:rFonts w:asciiTheme="majorHAnsi" w:hAnsiTheme="majorHAnsi" w:cs="Calibri"/>
          <w:szCs w:val="22"/>
        </w:rPr>
        <w:t>industry best</w:t>
      </w:r>
      <w:r>
        <w:rPr>
          <w:rFonts w:asciiTheme="majorHAnsi" w:hAnsiTheme="majorHAnsi" w:cs="Calibri"/>
          <w:szCs w:val="22"/>
        </w:rPr>
        <w:t>-</w:t>
      </w:r>
      <w:r w:rsidRPr="00B83A49">
        <w:rPr>
          <w:rFonts w:asciiTheme="majorHAnsi" w:hAnsiTheme="majorHAnsi" w:cs="Calibri"/>
          <w:szCs w:val="22"/>
        </w:rPr>
        <w:t>practices, protocols</w:t>
      </w:r>
      <w:r>
        <w:rPr>
          <w:rFonts w:asciiTheme="majorHAnsi" w:hAnsiTheme="majorHAnsi" w:cs="Calibri"/>
          <w:szCs w:val="22"/>
        </w:rPr>
        <w:t xml:space="preserve"> (e.g. IPMVP and the specific option) being</w:t>
      </w:r>
      <w:r w:rsidRPr="00B83A49">
        <w:rPr>
          <w:rFonts w:asciiTheme="majorHAnsi" w:hAnsiTheme="majorHAnsi" w:cs="Calibri"/>
          <w:szCs w:val="22"/>
        </w:rPr>
        <w:t xml:space="preserve"> applied</w:t>
      </w:r>
    </w:p>
    <w:p w14:paraId="62045C44" w14:textId="77777777" w:rsidR="003179D5" w:rsidRDefault="00F30B20" w:rsidP="003179D5">
      <w:pPr>
        <w:pStyle w:val="ListParagraph"/>
        <w:numPr>
          <w:ilvl w:val="1"/>
          <w:numId w:val="15"/>
        </w:numPr>
        <w:autoSpaceDE w:val="0"/>
        <w:autoSpaceDN w:val="0"/>
        <w:adjustRightInd w:val="0"/>
        <w:rPr>
          <w:rFonts w:asciiTheme="majorHAnsi" w:hAnsiTheme="majorHAnsi" w:cs="Calibri"/>
          <w:szCs w:val="22"/>
        </w:rPr>
      </w:pPr>
      <w:r>
        <w:t>P</w:t>
      </w:r>
      <w:r w:rsidR="003179D5">
        <w:t xml:space="preserve">ersistence of savings </w:t>
      </w:r>
      <w:r>
        <w:t>– if</w:t>
      </w:r>
      <w:r w:rsidR="003179D5">
        <w:t xml:space="preserve"> stipulated EULs are utilized, indicate source of such values and why they are ap</w:t>
      </w:r>
      <w:r>
        <w:t>plicable to the subject program; describe any other approaches utilized.</w:t>
      </w:r>
    </w:p>
    <w:p w14:paraId="5C548D52" w14:textId="77777777" w:rsidR="003179D5" w:rsidRPr="00225F30" w:rsidRDefault="00F30B20" w:rsidP="003179D5">
      <w:pPr>
        <w:pStyle w:val="ListParagraph"/>
        <w:numPr>
          <w:ilvl w:val="1"/>
          <w:numId w:val="15"/>
        </w:numPr>
        <w:autoSpaceDE w:val="0"/>
        <w:autoSpaceDN w:val="0"/>
        <w:adjustRightInd w:val="0"/>
        <w:rPr>
          <w:rFonts w:asciiTheme="majorHAnsi" w:hAnsiTheme="majorHAnsi"/>
        </w:rPr>
      </w:pPr>
      <w:r>
        <w:rPr>
          <w:rFonts w:asciiTheme="majorHAnsi" w:hAnsiTheme="majorHAnsi" w:cs="Calibri"/>
          <w:szCs w:val="22"/>
        </w:rPr>
        <w:t>Independent factors – l</w:t>
      </w:r>
      <w:r w:rsidR="003179D5">
        <w:rPr>
          <w:rFonts w:asciiTheme="majorHAnsi" w:hAnsiTheme="majorHAnsi" w:cs="Calibri"/>
          <w:szCs w:val="22"/>
        </w:rPr>
        <w:t>ist and d</w:t>
      </w:r>
      <w:r w:rsidR="003179D5" w:rsidRPr="008D6F4E">
        <w:rPr>
          <w:rFonts w:asciiTheme="majorHAnsi" w:hAnsiTheme="majorHAnsi" w:cs="Calibri"/>
          <w:szCs w:val="22"/>
        </w:rPr>
        <w:t>escri</w:t>
      </w:r>
      <w:r w:rsidR="003179D5">
        <w:rPr>
          <w:rFonts w:asciiTheme="majorHAnsi" w:hAnsiTheme="majorHAnsi" w:cs="Calibri"/>
          <w:szCs w:val="22"/>
        </w:rPr>
        <w:t>be</w:t>
      </w:r>
      <w:r w:rsidR="003179D5" w:rsidRPr="008D6F4E">
        <w:rPr>
          <w:rFonts w:asciiTheme="majorHAnsi" w:hAnsiTheme="majorHAnsi" w:cs="Calibri"/>
          <w:szCs w:val="22"/>
        </w:rPr>
        <w:t xml:space="preserve"> to be considered and supporting data that will be used to determine these variables’ value</w:t>
      </w:r>
      <w:r w:rsidR="003179D5">
        <w:rPr>
          <w:rFonts w:asciiTheme="majorHAnsi" w:hAnsiTheme="majorHAnsi" w:cs="Calibri"/>
          <w:szCs w:val="22"/>
        </w:rPr>
        <w:t xml:space="preserve">; include </w:t>
      </w:r>
      <w:r w:rsidR="003179D5" w:rsidRPr="00B83A49">
        <w:rPr>
          <w:rFonts w:asciiTheme="majorHAnsi" w:hAnsiTheme="majorHAnsi" w:cs="Calibri"/>
          <w:szCs w:val="22"/>
        </w:rPr>
        <w:t xml:space="preserve">how these factors are analyzed </w:t>
      </w:r>
      <w:r w:rsidR="003179D5" w:rsidRPr="00851E9B">
        <w:rPr>
          <w:rFonts w:asciiTheme="majorHAnsi" w:hAnsiTheme="majorHAnsi" w:cs="Calibri"/>
          <w:szCs w:val="22"/>
        </w:rPr>
        <w:t xml:space="preserve">to </w:t>
      </w:r>
      <w:r w:rsidR="000A6623">
        <w:rPr>
          <w:rFonts w:asciiTheme="majorHAnsi" w:hAnsiTheme="majorHAnsi" w:cs="Calibri"/>
          <w:szCs w:val="22"/>
        </w:rPr>
        <w:t xml:space="preserve">quantify </w:t>
      </w:r>
      <w:r w:rsidR="003179D5" w:rsidRPr="00851E9B">
        <w:rPr>
          <w:rFonts w:asciiTheme="majorHAnsi" w:hAnsiTheme="majorHAnsi" w:cs="Calibri"/>
          <w:szCs w:val="22"/>
        </w:rPr>
        <w:t>savings</w:t>
      </w:r>
      <w:r w:rsidR="003179D5" w:rsidRPr="00B83A49">
        <w:rPr>
          <w:rFonts w:asciiTheme="majorHAnsi" w:hAnsiTheme="majorHAnsi" w:cs="Calibri"/>
          <w:szCs w:val="22"/>
        </w:rPr>
        <w:t>.</w:t>
      </w:r>
    </w:p>
    <w:p w14:paraId="32BE5CDB" w14:textId="77777777" w:rsidR="003179D5" w:rsidRPr="008D6F4E" w:rsidRDefault="003179D5" w:rsidP="003179D5">
      <w:pPr>
        <w:pStyle w:val="ListParagraph"/>
        <w:numPr>
          <w:ilvl w:val="1"/>
          <w:numId w:val="15"/>
        </w:numPr>
        <w:autoSpaceDE w:val="0"/>
        <w:autoSpaceDN w:val="0"/>
        <w:adjustRightInd w:val="0"/>
        <w:spacing w:after="240"/>
        <w:rPr>
          <w:rFonts w:asciiTheme="majorHAnsi" w:hAnsiTheme="majorHAnsi" w:cs="Calibri"/>
          <w:szCs w:val="22"/>
        </w:rPr>
      </w:pPr>
      <w:r w:rsidRPr="008D6F4E">
        <w:rPr>
          <w:rFonts w:asciiTheme="majorHAnsi" w:hAnsiTheme="majorHAnsi" w:cs="Calibri"/>
          <w:szCs w:val="22"/>
        </w:rPr>
        <w:lastRenderedPageBreak/>
        <w:t>Description of whether savings will be based on conditions during performance period or normalized to standard/typical conditions</w:t>
      </w:r>
      <w:r>
        <w:rPr>
          <w:rFonts w:asciiTheme="majorHAnsi" w:hAnsiTheme="majorHAnsi" w:cs="Calibri"/>
          <w:szCs w:val="22"/>
        </w:rPr>
        <w:t xml:space="preserve"> (</w:t>
      </w:r>
      <w:r w:rsidRPr="008D6F4E">
        <w:rPr>
          <w:rFonts w:asciiTheme="majorHAnsi" w:hAnsiTheme="majorHAnsi" w:cs="Calibri"/>
          <w:szCs w:val="22"/>
        </w:rPr>
        <w:t>or other</w:t>
      </w:r>
      <w:r>
        <w:rPr>
          <w:rFonts w:asciiTheme="majorHAnsi" w:hAnsiTheme="majorHAnsi" w:cs="Calibri"/>
          <w:szCs w:val="22"/>
        </w:rPr>
        <w:t xml:space="preserve"> conditions); define standard conditions if applicable</w:t>
      </w:r>
      <w:r w:rsidR="000A6623">
        <w:rPr>
          <w:rFonts w:asciiTheme="majorHAnsi" w:hAnsiTheme="majorHAnsi" w:cs="Calibri"/>
          <w:szCs w:val="22"/>
        </w:rPr>
        <w:t>.</w:t>
      </w:r>
    </w:p>
    <w:p w14:paraId="4BFCFDC6" w14:textId="77777777" w:rsidR="003179D5" w:rsidRPr="00225F30" w:rsidRDefault="00F30B20" w:rsidP="003179D5">
      <w:pPr>
        <w:pStyle w:val="ListParagraph"/>
        <w:numPr>
          <w:ilvl w:val="1"/>
          <w:numId w:val="15"/>
        </w:numPr>
        <w:autoSpaceDE w:val="0"/>
        <w:autoSpaceDN w:val="0"/>
        <w:adjustRightInd w:val="0"/>
        <w:spacing w:after="240"/>
        <w:rPr>
          <w:rFonts w:asciiTheme="majorHAnsi" w:hAnsiTheme="majorHAnsi"/>
        </w:rPr>
      </w:pPr>
      <w:r>
        <w:rPr>
          <w:rFonts w:asciiTheme="majorHAnsi" w:hAnsiTheme="majorHAnsi" w:cs="Calibri"/>
          <w:szCs w:val="22"/>
        </w:rPr>
        <w:t xml:space="preserve">Deemed savings – if used, describe the </w:t>
      </w:r>
      <w:r w:rsidR="003179D5" w:rsidRPr="008D6F4E">
        <w:rPr>
          <w:rFonts w:asciiTheme="majorHAnsi" w:hAnsiTheme="majorHAnsi" w:cs="Calibri"/>
          <w:szCs w:val="22"/>
        </w:rPr>
        <w:t xml:space="preserve">version of the deemed savings database to be </w:t>
      </w:r>
      <w:r>
        <w:rPr>
          <w:rFonts w:asciiTheme="majorHAnsi" w:hAnsiTheme="majorHAnsi" w:cs="Calibri"/>
          <w:szCs w:val="22"/>
        </w:rPr>
        <w:t>applied</w:t>
      </w:r>
      <w:r w:rsidR="003179D5" w:rsidRPr="008D6F4E">
        <w:rPr>
          <w:rFonts w:asciiTheme="majorHAnsi" w:hAnsiTheme="majorHAnsi" w:cs="Calibri"/>
          <w:szCs w:val="22"/>
        </w:rPr>
        <w:t xml:space="preserve"> and/or </w:t>
      </w:r>
      <w:r>
        <w:rPr>
          <w:rFonts w:asciiTheme="majorHAnsi" w:hAnsiTheme="majorHAnsi" w:cs="Calibri"/>
          <w:szCs w:val="22"/>
        </w:rPr>
        <w:t xml:space="preserve">the </w:t>
      </w:r>
      <w:r w:rsidR="003179D5" w:rsidRPr="008D6F4E">
        <w:rPr>
          <w:rFonts w:asciiTheme="majorHAnsi" w:hAnsiTheme="majorHAnsi" w:cs="Calibri"/>
          <w:szCs w:val="22"/>
        </w:rPr>
        <w:t>source of deemed savings</w:t>
      </w:r>
      <w:r w:rsidR="003179D5">
        <w:rPr>
          <w:rFonts w:asciiTheme="majorHAnsi" w:hAnsiTheme="majorHAnsi" w:cs="Calibri"/>
          <w:szCs w:val="22"/>
        </w:rPr>
        <w:t xml:space="preserve">; </w:t>
      </w:r>
      <w:r w:rsidR="003179D5" w:rsidRPr="00B83A49">
        <w:rPr>
          <w:rFonts w:asciiTheme="majorHAnsi" w:hAnsiTheme="majorHAnsi" w:cs="Calibri"/>
          <w:szCs w:val="22"/>
        </w:rPr>
        <w:t>and how correct application</w:t>
      </w:r>
      <w:r w:rsidR="003179D5">
        <w:rPr>
          <w:rFonts w:asciiTheme="majorHAnsi" w:hAnsiTheme="majorHAnsi" w:cs="Calibri"/>
          <w:szCs w:val="22"/>
        </w:rPr>
        <w:t xml:space="preserve"> of deemed savings values</w:t>
      </w:r>
      <w:r w:rsidR="003179D5" w:rsidRPr="00B83A49">
        <w:rPr>
          <w:rFonts w:asciiTheme="majorHAnsi" w:hAnsiTheme="majorHAnsi" w:cs="Calibri"/>
          <w:szCs w:val="22"/>
        </w:rPr>
        <w:t xml:space="preserve"> is ensured.</w:t>
      </w:r>
    </w:p>
    <w:p w14:paraId="43A061F5" w14:textId="77777777" w:rsidR="003179D5" w:rsidRPr="008D6F4E" w:rsidRDefault="00F30B20" w:rsidP="003179D5">
      <w:pPr>
        <w:pStyle w:val="ListParagraph"/>
        <w:numPr>
          <w:ilvl w:val="1"/>
          <w:numId w:val="15"/>
        </w:numPr>
        <w:autoSpaceDE w:val="0"/>
        <w:autoSpaceDN w:val="0"/>
        <w:adjustRightInd w:val="0"/>
        <w:spacing w:after="240"/>
        <w:rPr>
          <w:rFonts w:asciiTheme="majorHAnsi" w:hAnsiTheme="majorHAnsi" w:cs="Calibri"/>
          <w:szCs w:val="22"/>
        </w:rPr>
      </w:pPr>
      <w:r>
        <w:rPr>
          <w:rFonts w:asciiTheme="majorHAnsi" w:hAnsiTheme="majorHAnsi" w:cs="Calibri"/>
          <w:szCs w:val="22"/>
        </w:rPr>
        <w:t xml:space="preserve">Sampling </w:t>
      </w:r>
      <w:r w:rsidR="003179D5" w:rsidRPr="008D6F4E">
        <w:rPr>
          <w:rFonts w:asciiTheme="majorHAnsi" w:hAnsiTheme="majorHAnsi" w:cs="Calibri"/>
          <w:szCs w:val="22"/>
        </w:rPr>
        <w:t xml:space="preserve">– </w:t>
      </w:r>
      <w:r>
        <w:rPr>
          <w:rFonts w:asciiTheme="majorHAnsi" w:hAnsiTheme="majorHAnsi" w:cs="Calibri"/>
          <w:szCs w:val="22"/>
        </w:rPr>
        <w:t>if used, d</w:t>
      </w:r>
      <w:r w:rsidR="003179D5" w:rsidRPr="008D6F4E">
        <w:rPr>
          <w:rFonts w:asciiTheme="majorHAnsi" w:hAnsiTheme="majorHAnsi" w:cs="Calibri"/>
          <w:szCs w:val="22"/>
        </w:rPr>
        <w:t>escri</w:t>
      </w:r>
      <w:r>
        <w:rPr>
          <w:rFonts w:asciiTheme="majorHAnsi" w:hAnsiTheme="majorHAnsi" w:cs="Calibri"/>
          <w:szCs w:val="22"/>
        </w:rPr>
        <w:t>be</w:t>
      </w:r>
      <w:r w:rsidR="000A6623">
        <w:rPr>
          <w:rFonts w:asciiTheme="majorHAnsi" w:hAnsiTheme="majorHAnsi" w:cs="Calibri"/>
          <w:szCs w:val="22"/>
        </w:rPr>
        <w:t xml:space="preserve"> the</w:t>
      </w:r>
      <w:r w:rsidR="003179D5" w:rsidRPr="008D6F4E">
        <w:rPr>
          <w:rFonts w:asciiTheme="majorHAnsi" w:hAnsiTheme="majorHAnsi" w:cs="Calibri"/>
          <w:szCs w:val="22"/>
        </w:rPr>
        <w:t xml:space="preserve"> sampling design and targeted confidence and prec</w:t>
      </w:r>
      <w:r w:rsidR="003179D5">
        <w:rPr>
          <w:rFonts w:asciiTheme="majorHAnsi" w:hAnsiTheme="majorHAnsi" w:cs="Calibri"/>
          <w:szCs w:val="22"/>
        </w:rPr>
        <w:t>i</w:t>
      </w:r>
      <w:r w:rsidR="003179D5" w:rsidRPr="008D6F4E">
        <w:rPr>
          <w:rFonts w:asciiTheme="majorHAnsi" w:hAnsiTheme="majorHAnsi" w:cs="Calibri"/>
          <w:szCs w:val="22"/>
        </w:rPr>
        <w:t xml:space="preserve">sion for resulting </w:t>
      </w:r>
      <w:r w:rsidR="000A6623">
        <w:rPr>
          <w:rFonts w:asciiTheme="majorHAnsi" w:hAnsiTheme="majorHAnsi" w:cs="Calibri"/>
          <w:szCs w:val="22"/>
        </w:rPr>
        <w:t>savings</w:t>
      </w:r>
    </w:p>
    <w:p w14:paraId="7ADAC35A" w14:textId="77777777" w:rsidR="003179D5" w:rsidRPr="008D6F4E" w:rsidRDefault="00F30B20" w:rsidP="003179D5">
      <w:pPr>
        <w:pStyle w:val="ListParagraph"/>
        <w:numPr>
          <w:ilvl w:val="1"/>
          <w:numId w:val="15"/>
        </w:numPr>
        <w:autoSpaceDE w:val="0"/>
        <w:autoSpaceDN w:val="0"/>
        <w:adjustRightInd w:val="0"/>
        <w:spacing w:after="240"/>
        <w:rPr>
          <w:rFonts w:asciiTheme="majorHAnsi" w:hAnsiTheme="majorHAnsi" w:cs="Calibri"/>
          <w:szCs w:val="22"/>
        </w:rPr>
      </w:pPr>
      <w:r>
        <w:rPr>
          <w:rFonts w:asciiTheme="majorHAnsi" w:hAnsiTheme="majorHAnsi" w:cs="Calibri"/>
          <w:szCs w:val="22"/>
        </w:rPr>
        <w:t>T&amp;D losses – if</w:t>
      </w:r>
      <w:r w:rsidR="000A6623">
        <w:rPr>
          <w:rFonts w:asciiTheme="majorHAnsi" w:hAnsiTheme="majorHAnsi" w:cs="Calibri"/>
          <w:szCs w:val="22"/>
        </w:rPr>
        <w:t xml:space="preserve"> applied to</w:t>
      </w:r>
      <w:r w:rsidR="003179D5" w:rsidRPr="008D6F4E">
        <w:rPr>
          <w:rFonts w:asciiTheme="majorHAnsi" w:hAnsiTheme="majorHAnsi" w:cs="Calibri"/>
          <w:szCs w:val="22"/>
        </w:rPr>
        <w:t xml:space="preserve"> savings values, </w:t>
      </w:r>
      <w:r>
        <w:rPr>
          <w:rFonts w:asciiTheme="majorHAnsi" w:hAnsiTheme="majorHAnsi" w:cs="Calibri"/>
          <w:szCs w:val="22"/>
        </w:rPr>
        <w:t>spe</w:t>
      </w:r>
      <w:r w:rsidR="000A6623">
        <w:rPr>
          <w:rFonts w:asciiTheme="majorHAnsi" w:hAnsiTheme="majorHAnsi" w:cs="Calibri"/>
          <w:szCs w:val="22"/>
        </w:rPr>
        <w:t xml:space="preserve">cify </w:t>
      </w:r>
      <w:r>
        <w:rPr>
          <w:rFonts w:asciiTheme="majorHAnsi" w:hAnsiTheme="majorHAnsi" w:cs="Calibri"/>
          <w:szCs w:val="22"/>
        </w:rPr>
        <w:t xml:space="preserve">the </w:t>
      </w:r>
      <w:r w:rsidR="003179D5">
        <w:rPr>
          <w:rFonts w:asciiTheme="majorHAnsi" w:hAnsiTheme="majorHAnsi" w:cs="Calibri"/>
          <w:szCs w:val="22"/>
        </w:rPr>
        <w:t>value of the loss factor, its source</w:t>
      </w:r>
      <w:r>
        <w:rPr>
          <w:rFonts w:asciiTheme="majorHAnsi" w:hAnsiTheme="majorHAnsi" w:cs="Calibri"/>
          <w:szCs w:val="22"/>
        </w:rPr>
        <w:t>,</w:t>
      </w:r>
      <w:r w:rsidR="003179D5">
        <w:rPr>
          <w:rFonts w:asciiTheme="majorHAnsi" w:hAnsiTheme="majorHAnsi" w:cs="Calibri"/>
          <w:szCs w:val="22"/>
        </w:rPr>
        <w:t xml:space="preserve"> and the </w:t>
      </w:r>
      <w:r>
        <w:rPr>
          <w:rFonts w:asciiTheme="majorHAnsi" w:hAnsiTheme="majorHAnsi" w:cs="Calibri"/>
          <w:szCs w:val="22"/>
        </w:rPr>
        <w:t xml:space="preserve">applicable </w:t>
      </w:r>
      <w:r w:rsidR="003179D5">
        <w:rPr>
          <w:rFonts w:asciiTheme="majorHAnsi" w:hAnsiTheme="majorHAnsi" w:cs="Calibri"/>
          <w:szCs w:val="22"/>
        </w:rPr>
        <w:t>method</w:t>
      </w:r>
      <w:r>
        <w:rPr>
          <w:rFonts w:asciiTheme="majorHAnsi" w:hAnsiTheme="majorHAnsi" w:cs="Calibri"/>
          <w:szCs w:val="22"/>
        </w:rPr>
        <w:t>ology</w:t>
      </w:r>
      <w:r w:rsidR="003179D5">
        <w:rPr>
          <w:rFonts w:asciiTheme="majorHAnsi" w:hAnsiTheme="majorHAnsi" w:cs="Calibri"/>
          <w:szCs w:val="22"/>
        </w:rPr>
        <w:t>.</w:t>
      </w:r>
    </w:p>
    <w:p w14:paraId="35853B3F" w14:textId="77777777" w:rsidR="003179D5" w:rsidRPr="008D6F4E" w:rsidRDefault="00F30B20" w:rsidP="003179D5">
      <w:pPr>
        <w:pStyle w:val="ListParagraph"/>
        <w:numPr>
          <w:ilvl w:val="1"/>
          <w:numId w:val="15"/>
        </w:numPr>
        <w:autoSpaceDE w:val="0"/>
        <w:autoSpaceDN w:val="0"/>
        <w:adjustRightInd w:val="0"/>
        <w:spacing w:after="240"/>
        <w:rPr>
          <w:rFonts w:asciiTheme="majorHAnsi" w:hAnsiTheme="majorHAnsi" w:cs="Calibri"/>
          <w:szCs w:val="22"/>
        </w:rPr>
      </w:pPr>
      <w:r>
        <w:rPr>
          <w:rFonts w:asciiTheme="majorHAnsi" w:hAnsiTheme="majorHAnsi" w:cs="Calibri"/>
          <w:szCs w:val="22"/>
        </w:rPr>
        <w:t xml:space="preserve">Interactive effects – describe </w:t>
      </w:r>
      <w:r w:rsidR="003179D5">
        <w:rPr>
          <w:rFonts w:asciiTheme="majorHAnsi" w:hAnsiTheme="majorHAnsi" w:cs="Calibri"/>
          <w:szCs w:val="22"/>
        </w:rPr>
        <w:t xml:space="preserve">how </w:t>
      </w:r>
      <w:r w:rsidR="003179D5" w:rsidRPr="008D6F4E">
        <w:rPr>
          <w:rFonts w:asciiTheme="majorHAnsi" w:hAnsiTheme="majorHAnsi" w:cs="Calibri"/>
          <w:szCs w:val="22"/>
        </w:rPr>
        <w:t xml:space="preserve">interactive effects are </w:t>
      </w:r>
      <w:r w:rsidR="003179D5">
        <w:rPr>
          <w:rFonts w:asciiTheme="majorHAnsi" w:hAnsiTheme="majorHAnsi" w:cs="Calibri"/>
          <w:szCs w:val="22"/>
        </w:rPr>
        <w:t>calculated, their values, data sources and how the values are factored into</w:t>
      </w:r>
      <w:r w:rsidR="003179D5" w:rsidRPr="008D6F4E">
        <w:rPr>
          <w:rFonts w:asciiTheme="majorHAnsi" w:hAnsiTheme="majorHAnsi" w:cs="Calibri"/>
          <w:szCs w:val="22"/>
        </w:rPr>
        <w:t xml:space="preserve"> </w:t>
      </w:r>
      <w:r w:rsidR="003179D5">
        <w:rPr>
          <w:rFonts w:asciiTheme="majorHAnsi" w:hAnsiTheme="majorHAnsi" w:cs="Calibri"/>
          <w:szCs w:val="22"/>
        </w:rPr>
        <w:t xml:space="preserve">measure </w:t>
      </w:r>
      <w:r w:rsidR="003179D5" w:rsidRPr="008D6F4E">
        <w:rPr>
          <w:rFonts w:asciiTheme="majorHAnsi" w:hAnsiTheme="majorHAnsi" w:cs="Calibri"/>
          <w:szCs w:val="22"/>
        </w:rPr>
        <w:t>saving values</w:t>
      </w:r>
      <w:r w:rsidR="003179D5">
        <w:rPr>
          <w:rFonts w:asciiTheme="majorHAnsi" w:hAnsiTheme="majorHAnsi" w:cs="Calibri"/>
          <w:szCs w:val="22"/>
        </w:rPr>
        <w:t xml:space="preserve">; if interactive effects are not included, explain why. </w:t>
      </w:r>
    </w:p>
    <w:p w14:paraId="533EBAEC" w14:textId="77777777" w:rsidR="003179D5" w:rsidRPr="008D6F4E" w:rsidRDefault="003179D5" w:rsidP="00AC2481">
      <w:pPr>
        <w:pStyle w:val="ListParagraph"/>
        <w:numPr>
          <w:ilvl w:val="0"/>
          <w:numId w:val="251"/>
        </w:numPr>
        <w:autoSpaceDE w:val="0"/>
        <w:autoSpaceDN w:val="0"/>
        <w:adjustRightInd w:val="0"/>
        <w:spacing w:after="240"/>
        <w:rPr>
          <w:rFonts w:asciiTheme="majorHAnsi" w:hAnsiTheme="majorHAnsi" w:cs="Calibri"/>
          <w:szCs w:val="22"/>
        </w:rPr>
      </w:pPr>
      <w:r w:rsidRPr="008D6F4E">
        <w:rPr>
          <w:rFonts w:asciiTheme="majorHAnsi" w:hAnsiTheme="majorHAnsi" w:cs="Calibri"/>
          <w:szCs w:val="22"/>
        </w:rPr>
        <w:t>Verification activities – indicate intended verification activities, including:</w:t>
      </w:r>
    </w:p>
    <w:p w14:paraId="2895E42D" w14:textId="77777777" w:rsidR="003179D5" w:rsidRPr="008D6F4E" w:rsidRDefault="003179D5" w:rsidP="003179D5">
      <w:pPr>
        <w:pStyle w:val="ListParagraph"/>
        <w:numPr>
          <w:ilvl w:val="0"/>
          <w:numId w:val="28"/>
        </w:numPr>
        <w:autoSpaceDE w:val="0"/>
        <w:autoSpaceDN w:val="0"/>
        <w:adjustRightInd w:val="0"/>
        <w:spacing w:after="240"/>
        <w:rPr>
          <w:rFonts w:asciiTheme="majorHAnsi" w:hAnsiTheme="majorHAnsi" w:cs="Calibri"/>
          <w:szCs w:val="22"/>
        </w:rPr>
      </w:pPr>
      <w:r w:rsidRPr="008D6F4E">
        <w:rPr>
          <w:rFonts w:asciiTheme="majorHAnsi" w:hAnsiTheme="majorHAnsi" w:cs="Calibri"/>
          <w:szCs w:val="22"/>
        </w:rPr>
        <w:t>When they will occur</w:t>
      </w:r>
      <w:r>
        <w:rPr>
          <w:rFonts w:asciiTheme="majorHAnsi" w:hAnsiTheme="majorHAnsi" w:cs="Calibri"/>
          <w:szCs w:val="22"/>
        </w:rPr>
        <w:t xml:space="preserve"> and who will conduct</w:t>
      </w:r>
    </w:p>
    <w:p w14:paraId="195F502B" w14:textId="77777777" w:rsidR="003179D5" w:rsidRPr="008D6F4E" w:rsidRDefault="003179D5" w:rsidP="003179D5">
      <w:pPr>
        <w:pStyle w:val="ListParagraph"/>
        <w:numPr>
          <w:ilvl w:val="0"/>
          <w:numId w:val="28"/>
        </w:numPr>
        <w:autoSpaceDE w:val="0"/>
        <w:autoSpaceDN w:val="0"/>
        <w:adjustRightInd w:val="0"/>
        <w:spacing w:after="240"/>
        <w:rPr>
          <w:rFonts w:asciiTheme="majorHAnsi" w:hAnsiTheme="majorHAnsi" w:cs="Calibri"/>
          <w:szCs w:val="22"/>
        </w:rPr>
      </w:pPr>
      <w:r w:rsidRPr="008D6F4E">
        <w:rPr>
          <w:rFonts w:asciiTheme="majorHAnsi" w:hAnsiTheme="majorHAnsi" w:cs="Calibri"/>
          <w:szCs w:val="22"/>
        </w:rPr>
        <w:t>How they will be used to adjust savings values as needed</w:t>
      </w:r>
    </w:p>
    <w:p w14:paraId="78932F79" w14:textId="77777777" w:rsidR="003179D5" w:rsidRPr="006A42FF" w:rsidRDefault="00867725" w:rsidP="00AC2481">
      <w:pPr>
        <w:pStyle w:val="ListParagraph"/>
        <w:numPr>
          <w:ilvl w:val="0"/>
          <w:numId w:val="251"/>
        </w:numPr>
        <w:autoSpaceDE w:val="0"/>
        <w:autoSpaceDN w:val="0"/>
        <w:adjustRightInd w:val="0"/>
        <w:spacing w:after="240"/>
        <w:rPr>
          <w:rFonts w:asciiTheme="majorHAnsi" w:hAnsiTheme="majorHAnsi"/>
        </w:rPr>
      </w:pPr>
      <w:r>
        <w:rPr>
          <w:rFonts w:asciiTheme="majorHAnsi" w:hAnsiTheme="majorHAnsi" w:cs="Calibri"/>
          <w:szCs w:val="22"/>
        </w:rPr>
        <w:t>Avoiding d</w:t>
      </w:r>
      <w:r w:rsidR="003179D5" w:rsidRPr="008D6F4E">
        <w:rPr>
          <w:rFonts w:asciiTheme="majorHAnsi" w:hAnsiTheme="majorHAnsi" w:cs="Calibri"/>
          <w:szCs w:val="22"/>
        </w:rPr>
        <w:t>ouble counting</w:t>
      </w:r>
      <w:r>
        <w:rPr>
          <w:rFonts w:asciiTheme="majorHAnsi" w:hAnsiTheme="majorHAnsi" w:cs="Calibri"/>
          <w:szCs w:val="22"/>
        </w:rPr>
        <w:t xml:space="preserve"> </w:t>
      </w:r>
      <w:r w:rsidR="003179D5" w:rsidRPr="008D6F4E">
        <w:rPr>
          <w:rFonts w:asciiTheme="majorHAnsi" w:hAnsiTheme="majorHAnsi" w:cs="Calibri"/>
          <w:szCs w:val="22"/>
        </w:rPr>
        <w:t xml:space="preserve">– indicate sources of potential double counting of savings and how </w:t>
      </w:r>
      <w:r w:rsidR="000A6623">
        <w:rPr>
          <w:rFonts w:asciiTheme="majorHAnsi" w:hAnsiTheme="majorHAnsi" w:cs="Calibri"/>
          <w:szCs w:val="22"/>
        </w:rPr>
        <w:t xml:space="preserve">it </w:t>
      </w:r>
      <w:r w:rsidR="003179D5" w:rsidRPr="008D6F4E">
        <w:rPr>
          <w:rFonts w:asciiTheme="majorHAnsi" w:hAnsiTheme="majorHAnsi" w:cs="Calibri"/>
          <w:szCs w:val="22"/>
        </w:rPr>
        <w:t xml:space="preserve">will be avoided </w:t>
      </w:r>
      <w:r w:rsidR="003179D5">
        <w:rPr>
          <w:rFonts w:asciiTheme="majorHAnsi" w:hAnsiTheme="majorHAnsi" w:cs="Calibri"/>
          <w:szCs w:val="22"/>
        </w:rPr>
        <w:t xml:space="preserve">including </w:t>
      </w:r>
      <w:r w:rsidR="003179D5" w:rsidRPr="00B83A49">
        <w:rPr>
          <w:rFonts w:asciiTheme="majorHAnsi" w:hAnsiTheme="majorHAnsi" w:cs="Calibri"/>
          <w:szCs w:val="22"/>
        </w:rPr>
        <w:t xml:space="preserve">the tracking and accounting procedures </w:t>
      </w:r>
      <w:r w:rsidR="000A6623">
        <w:rPr>
          <w:rFonts w:asciiTheme="majorHAnsi" w:hAnsiTheme="majorHAnsi" w:cs="Calibri"/>
          <w:szCs w:val="22"/>
        </w:rPr>
        <w:t>that will be applied</w:t>
      </w:r>
      <w:r w:rsidR="003179D5" w:rsidRPr="00B83A49">
        <w:rPr>
          <w:rFonts w:asciiTheme="majorHAnsi" w:hAnsiTheme="majorHAnsi" w:cs="Calibri"/>
          <w:szCs w:val="22"/>
        </w:rPr>
        <w:t>.</w:t>
      </w:r>
      <w:r w:rsidR="003179D5" w:rsidRPr="00225F30">
        <w:rPr>
          <w:rFonts w:asciiTheme="majorHAnsi" w:hAnsiTheme="majorHAnsi"/>
        </w:rPr>
        <w:t xml:space="preserve"> </w:t>
      </w:r>
    </w:p>
    <w:p w14:paraId="41913B74" w14:textId="77777777" w:rsidR="003179D5" w:rsidRPr="006A42FF" w:rsidRDefault="00B63F1F" w:rsidP="00AC2481">
      <w:pPr>
        <w:pStyle w:val="ListParagraph"/>
        <w:numPr>
          <w:ilvl w:val="0"/>
          <w:numId w:val="251"/>
        </w:numPr>
        <w:autoSpaceDE w:val="0"/>
        <w:autoSpaceDN w:val="0"/>
        <w:adjustRightInd w:val="0"/>
        <w:rPr>
          <w:rFonts w:asciiTheme="majorHAnsi" w:hAnsiTheme="majorHAnsi"/>
        </w:rPr>
      </w:pPr>
      <w:r>
        <w:rPr>
          <w:rFonts w:asciiTheme="majorHAnsi" w:hAnsiTheme="majorHAnsi" w:cs="Calibri"/>
          <w:bCs/>
          <w:szCs w:val="22"/>
        </w:rPr>
        <w:t>Accuracy</w:t>
      </w:r>
      <w:r w:rsidR="003179D5" w:rsidRPr="00FF4994">
        <w:rPr>
          <w:rFonts w:asciiTheme="majorHAnsi" w:hAnsiTheme="majorHAnsi" w:cs="Calibri"/>
          <w:bCs/>
          <w:szCs w:val="22"/>
        </w:rPr>
        <w:t xml:space="preserve"> and reliability of reported savings values – indicate expectations for overall certainty of savings estimates, </w:t>
      </w:r>
      <w:r w:rsidR="003179D5" w:rsidRPr="00B83A49">
        <w:rPr>
          <w:rFonts w:asciiTheme="majorHAnsi" w:hAnsiTheme="majorHAnsi" w:cs="Calibri"/>
          <w:bCs/>
          <w:szCs w:val="22"/>
        </w:rPr>
        <w:t xml:space="preserve">how the certainty of quantified </w:t>
      </w:r>
      <w:proofErr w:type="spellStart"/>
      <w:r w:rsidR="003179D5" w:rsidRPr="00B83A49">
        <w:rPr>
          <w:rFonts w:asciiTheme="majorHAnsi" w:hAnsiTheme="majorHAnsi" w:cs="Calibri"/>
          <w:bCs/>
          <w:szCs w:val="22"/>
        </w:rPr>
        <w:t>MWh</w:t>
      </w:r>
      <w:proofErr w:type="spellEnd"/>
      <w:r w:rsidR="003179D5" w:rsidRPr="00B83A49">
        <w:rPr>
          <w:rFonts w:asciiTheme="majorHAnsi" w:hAnsiTheme="majorHAnsi" w:cs="Calibri"/>
          <w:bCs/>
          <w:szCs w:val="22"/>
        </w:rPr>
        <w:t xml:space="preserve"> savings values will be assessed, and the methods to be used to control the types of error inherent to the applied EM&amp;V </w:t>
      </w:r>
      <w:r w:rsidR="003179D5">
        <w:rPr>
          <w:rFonts w:asciiTheme="majorHAnsi" w:hAnsiTheme="majorHAnsi" w:cs="Calibri"/>
          <w:bCs/>
          <w:szCs w:val="22"/>
        </w:rPr>
        <w:t>method</w:t>
      </w:r>
      <w:r w:rsidR="003179D5" w:rsidRPr="00B83A49">
        <w:rPr>
          <w:rFonts w:asciiTheme="majorHAnsi" w:hAnsiTheme="majorHAnsi" w:cs="Calibri"/>
          <w:bCs/>
          <w:szCs w:val="22"/>
        </w:rPr>
        <w:t>s, including:</w:t>
      </w:r>
      <w:r w:rsidR="003179D5" w:rsidRPr="00225F30">
        <w:rPr>
          <w:rFonts w:asciiTheme="majorHAnsi" w:hAnsiTheme="majorHAnsi"/>
        </w:rPr>
        <w:t xml:space="preserve"> </w:t>
      </w:r>
    </w:p>
    <w:p w14:paraId="7BA2ACC6" w14:textId="77777777" w:rsidR="003179D5" w:rsidRPr="009F2C48" w:rsidRDefault="003179D5" w:rsidP="00AC2481">
      <w:pPr>
        <w:pStyle w:val="ListParagraph"/>
        <w:numPr>
          <w:ilvl w:val="1"/>
          <w:numId w:val="251"/>
        </w:numPr>
        <w:rPr>
          <w:rFonts w:asciiTheme="majorHAnsi" w:hAnsiTheme="majorHAnsi" w:cstheme="majorHAnsi"/>
          <w:szCs w:val="22"/>
        </w:rPr>
      </w:pPr>
      <w:r w:rsidRPr="009F2C48">
        <w:rPr>
          <w:rFonts w:asciiTheme="majorHAnsi" w:hAnsiTheme="majorHAnsi" w:cstheme="majorHAnsi"/>
          <w:szCs w:val="22"/>
        </w:rPr>
        <w:t xml:space="preserve">Statistical indicators of certainty such as confidence and precision </w:t>
      </w:r>
    </w:p>
    <w:p w14:paraId="2ACB2DC1" w14:textId="77777777" w:rsidR="003179D5" w:rsidRPr="009F2C48" w:rsidRDefault="003179D5" w:rsidP="00AC2481">
      <w:pPr>
        <w:pStyle w:val="ListParagraph"/>
        <w:numPr>
          <w:ilvl w:val="1"/>
          <w:numId w:val="251"/>
        </w:numPr>
        <w:autoSpaceDE w:val="0"/>
        <w:autoSpaceDN w:val="0"/>
        <w:adjustRightInd w:val="0"/>
        <w:spacing w:after="240"/>
        <w:rPr>
          <w:rFonts w:asciiTheme="majorHAnsi" w:hAnsiTheme="majorHAnsi" w:cs="Calibri"/>
          <w:szCs w:val="22"/>
        </w:rPr>
      </w:pPr>
      <w:r>
        <w:rPr>
          <w:rFonts w:asciiTheme="majorHAnsi" w:hAnsiTheme="majorHAnsi" w:cs="Calibri"/>
          <w:szCs w:val="22"/>
        </w:rPr>
        <w:t>D</w:t>
      </w:r>
      <w:r w:rsidRPr="002C27B4">
        <w:rPr>
          <w:rFonts w:asciiTheme="majorHAnsi" w:hAnsiTheme="majorHAnsi" w:cstheme="majorHAnsi"/>
          <w:szCs w:val="22"/>
        </w:rPr>
        <w:t>iscussion of the threats to validity and potential risks</w:t>
      </w:r>
      <w:r w:rsidRPr="00CF5E16">
        <w:rPr>
          <w:rFonts w:asciiTheme="majorHAnsi" w:hAnsiTheme="majorHAnsi" w:cstheme="majorHAnsi"/>
          <w:szCs w:val="22"/>
        </w:rPr>
        <w:t>,</w:t>
      </w:r>
      <w:r w:rsidRPr="009F2C48">
        <w:rPr>
          <w:rFonts w:asciiTheme="majorHAnsi" w:hAnsiTheme="majorHAnsi" w:cstheme="majorHAnsi"/>
          <w:szCs w:val="22"/>
        </w:rPr>
        <w:t xml:space="preserve"> bias or error inherent to the applied EM&amp;V methods</w:t>
      </w:r>
    </w:p>
    <w:p w14:paraId="4FA70879" w14:textId="77777777" w:rsidR="003179D5" w:rsidRPr="00DE2174" w:rsidRDefault="003179D5" w:rsidP="00AC2481">
      <w:pPr>
        <w:pStyle w:val="ListParagraph"/>
        <w:numPr>
          <w:ilvl w:val="1"/>
          <w:numId w:val="251"/>
        </w:numPr>
        <w:autoSpaceDE w:val="0"/>
        <w:autoSpaceDN w:val="0"/>
        <w:adjustRightInd w:val="0"/>
        <w:spacing w:after="240"/>
        <w:rPr>
          <w:rFonts w:asciiTheme="majorHAnsi" w:hAnsiTheme="majorHAnsi" w:cs="Calibri"/>
          <w:szCs w:val="22"/>
        </w:rPr>
      </w:pPr>
      <w:r w:rsidRPr="00DE2174">
        <w:rPr>
          <w:rFonts w:asciiTheme="majorHAnsi" w:hAnsiTheme="majorHAnsi" w:cs="Calibri"/>
          <w:szCs w:val="22"/>
        </w:rPr>
        <w:t>Methods for minimizing bias and other threats to validity</w:t>
      </w:r>
    </w:p>
    <w:p w14:paraId="55FCEF1C" w14:textId="77777777" w:rsidR="004C7CA8" w:rsidRDefault="003179D5" w:rsidP="00AC2481">
      <w:pPr>
        <w:pStyle w:val="ListParagraph"/>
        <w:numPr>
          <w:ilvl w:val="1"/>
          <w:numId w:val="251"/>
        </w:numPr>
        <w:autoSpaceDE w:val="0"/>
        <w:autoSpaceDN w:val="0"/>
        <w:adjustRightInd w:val="0"/>
        <w:spacing w:after="240"/>
        <w:rPr>
          <w:rFonts w:asciiTheme="majorHAnsi" w:hAnsiTheme="majorHAnsi" w:cs="Calibri"/>
          <w:szCs w:val="22"/>
        </w:rPr>
      </w:pPr>
      <w:r w:rsidRPr="00D91221">
        <w:rPr>
          <w:rFonts w:asciiTheme="majorHAnsi" w:hAnsiTheme="majorHAnsi" w:cs="Calibri"/>
          <w:szCs w:val="22"/>
        </w:rPr>
        <w:t>Quality</w:t>
      </w:r>
      <w:r w:rsidR="00C86DF5">
        <w:rPr>
          <w:rFonts w:asciiTheme="majorHAnsi" w:hAnsiTheme="majorHAnsi" w:cs="Calibri"/>
          <w:szCs w:val="22"/>
        </w:rPr>
        <w:t>-</w:t>
      </w:r>
      <w:r w:rsidRPr="00D91221">
        <w:rPr>
          <w:rFonts w:asciiTheme="majorHAnsi" w:hAnsiTheme="majorHAnsi" w:cs="Calibri"/>
          <w:szCs w:val="22"/>
        </w:rPr>
        <w:t xml:space="preserve">control procedures </w:t>
      </w:r>
    </w:p>
    <w:p w14:paraId="636DE740" w14:textId="77777777" w:rsidR="004C7CA8" w:rsidRDefault="004C7CA8">
      <w:pPr>
        <w:spacing w:after="200"/>
        <w:rPr>
          <w:rFonts w:asciiTheme="majorHAnsi" w:hAnsiTheme="majorHAnsi" w:cs="Calibri"/>
          <w:szCs w:val="22"/>
        </w:rPr>
        <w:sectPr w:rsidR="004C7CA8" w:rsidSect="00AD3C72">
          <w:pgSz w:w="12240" w:h="15840"/>
          <w:pgMar w:top="1440" w:right="1440" w:bottom="1440" w:left="1440" w:header="720" w:footer="720" w:gutter="0"/>
          <w:pgNumType w:start="1" w:chapStyle="6"/>
          <w:cols w:space="720"/>
        </w:sectPr>
      </w:pPr>
    </w:p>
    <w:p w14:paraId="0A4D798A" w14:textId="77777777" w:rsidR="00D76768" w:rsidRDefault="00D76768" w:rsidP="00AB6C96">
      <w:pPr>
        <w:pStyle w:val="Heading6"/>
      </w:pPr>
      <w:bookmarkStart w:id="621" w:name="_Toc426022006"/>
      <w:bookmarkStart w:id="622" w:name="_Toc426023338"/>
      <w:bookmarkStart w:id="623" w:name="_Toc426031922"/>
      <w:bookmarkStart w:id="624" w:name="_Toc426040111"/>
      <w:bookmarkStart w:id="625" w:name="_Toc426040197"/>
      <w:bookmarkStart w:id="626" w:name="_Toc426041666"/>
      <w:bookmarkStart w:id="627" w:name="_Toc426022007"/>
      <w:bookmarkStart w:id="628" w:name="_Toc426023339"/>
      <w:bookmarkStart w:id="629" w:name="_Toc426031923"/>
      <w:bookmarkStart w:id="630" w:name="_Toc426040112"/>
      <w:bookmarkStart w:id="631" w:name="_Toc426040198"/>
      <w:bookmarkStart w:id="632" w:name="_Toc426041667"/>
      <w:bookmarkStart w:id="633" w:name="_Toc426022008"/>
      <w:bookmarkStart w:id="634" w:name="_Toc426023340"/>
      <w:bookmarkStart w:id="635" w:name="_Toc426031924"/>
      <w:bookmarkStart w:id="636" w:name="_Toc426040113"/>
      <w:bookmarkStart w:id="637" w:name="_Toc426040199"/>
      <w:bookmarkStart w:id="638" w:name="_Toc426041668"/>
      <w:bookmarkStart w:id="639" w:name="_Toc426022009"/>
      <w:bookmarkStart w:id="640" w:name="_Toc426023341"/>
      <w:bookmarkStart w:id="641" w:name="_Toc426031925"/>
      <w:bookmarkStart w:id="642" w:name="_Toc426040114"/>
      <w:bookmarkStart w:id="643" w:name="_Toc426040200"/>
      <w:bookmarkStart w:id="644" w:name="_Toc426041669"/>
      <w:bookmarkStart w:id="645" w:name="_Toc426022010"/>
      <w:bookmarkStart w:id="646" w:name="_Toc426023342"/>
      <w:bookmarkStart w:id="647" w:name="_Toc426031926"/>
      <w:bookmarkStart w:id="648" w:name="_Toc426040115"/>
      <w:bookmarkStart w:id="649" w:name="_Toc426040201"/>
      <w:bookmarkStart w:id="650" w:name="_Toc426041670"/>
      <w:bookmarkStart w:id="651" w:name="_Toc426022011"/>
      <w:bookmarkStart w:id="652" w:name="_Toc426023343"/>
      <w:bookmarkStart w:id="653" w:name="_Toc426031927"/>
      <w:bookmarkStart w:id="654" w:name="_Toc426040116"/>
      <w:bookmarkStart w:id="655" w:name="_Toc426040202"/>
      <w:bookmarkStart w:id="656" w:name="_Toc426041671"/>
      <w:bookmarkStart w:id="657" w:name="_Toc426022012"/>
      <w:bookmarkStart w:id="658" w:name="_Toc426023344"/>
      <w:bookmarkStart w:id="659" w:name="_Toc426031928"/>
      <w:bookmarkStart w:id="660" w:name="_Toc426040117"/>
      <w:bookmarkStart w:id="661" w:name="_Toc426040203"/>
      <w:bookmarkStart w:id="662" w:name="_Toc426041672"/>
      <w:bookmarkStart w:id="663" w:name="_Toc426022013"/>
      <w:bookmarkStart w:id="664" w:name="_Toc426023345"/>
      <w:bookmarkStart w:id="665" w:name="_Toc426031929"/>
      <w:bookmarkStart w:id="666" w:name="_Toc426040118"/>
      <w:bookmarkStart w:id="667" w:name="_Toc426040204"/>
      <w:bookmarkStart w:id="668" w:name="_Toc426041673"/>
      <w:bookmarkStart w:id="669" w:name="_Toc426022014"/>
      <w:bookmarkStart w:id="670" w:name="_Toc426023346"/>
      <w:bookmarkStart w:id="671" w:name="_Toc426031930"/>
      <w:bookmarkStart w:id="672" w:name="_Toc426040119"/>
      <w:bookmarkStart w:id="673" w:name="_Toc426040205"/>
      <w:bookmarkStart w:id="674" w:name="_Toc426041674"/>
      <w:bookmarkStart w:id="675" w:name="_Toc426022015"/>
      <w:bookmarkStart w:id="676" w:name="_Toc426023347"/>
      <w:bookmarkStart w:id="677" w:name="_Toc426031931"/>
      <w:bookmarkStart w:id="678" w:name="_Toc426040120"/>
      <w:bookmarkStart w:id="679" w:name="_Toc426040206"/>
      <w:bookmarkStart w:id="680" w:name="_Toc426041675"/>
      <w:bookmarkStart w:id="681" w:name="_Toc426022016"/>
      <w:bookmarkStart w:id="682" w:name="_Toc426023348"/>
      <w:bookmarkStart w:id="683" w:name="_Toc426031932"/>
      <w:bookmarkStart w:id="684" w:name="_Toc426040121"/>
      <w:bookmarkStart w:id="685" w:name="_Toc426040207"/>
      <w:bookmarkStart w:id="686" w:name="_Toc426041676"/>
      <w:bookmarkStart w:id="687" w:name="_Toc426022017"/>
      <w:bookmarkStart w:id="688" w:name="_Toc426023349"/>
      <w:bookmarkStart w:id="689" w:name="_Toc426031933"/>
      <w:bookmarkStart w:id="690" w:name="_Toc426040122"/>
      <w:bookmarkStart w:id="691" w:name="_Toc426040208"/>
      <w:bookmarkStart w:id="692" w:name="_Toc426041677"/>
      <w:bookmarkStart w:id="693" w:name="_Toc426022018"/>
      <w:bookmarkStart w:id="694" w:name="_Toc426023350"/>
      <w:bookmarkStart w:id="695" w:name="_Toc426031934"/>
      <w:bookmarkStart w:id="696" w:name="_Toc426040123"/>
      <w:bookmarkStart w:id="697" w:name="_Toc426040209"/>
      <w:bookmarkStart w:id="698" w:name="_Toc426041678"/>
      <w:bookmarkStart w:id="699" w:name="_Toc426022019"/>
      <w:bookmarkStart w:id="700" w:name="_Toc426023351"/>
      <w:bookmarkStart w:id="701" w:name="_Toc426031935"/>
      <w:bookmarkStart w:id="702" w:name="_Toc426040124"/>
      <w:bookmarkStart w:id="703" w:name="_Toc426040210"/>
      <w:bookmarkStart w:id="704" w:name="_Toc426041679"/>
      <w:bookmarkStart w:id="705" w:name="_Toc426022020"/>
      <w:bookmarkStart w:id="706" w:name="_Toc426023352"/>
      <w:bookmarkStart w:id="707" w:name="_Toc426031936"/>
      <w:bookmarkStart w:id="708" w:name="_Toc426040125"/>
      <w:bookmarkStart w:id="709" w:name="_Toc426040211"/>
      <w:bookmarkStart w:id="710" w:name="_Toc426041680"/>
      <w:bookmarkStart w:id="711" w:name="_Toc426022021"/>
      <w:bookmarkStart w:id="712" w:name="_Toc426023353"/>
      <w:bookmarkStart w:id="713" w:name="_Toc426031937"/>
      <w:bookmarkStart w:id="714" w:name="_Toc426040126"/>
      <w:bookmarkStart w:id="715" w:name="_Toc426040212"/>
      <w:bookmarkStart w:id="716" w:name="_Toc426041681"/>
      <w:bookmarkStart w:id="717" w:name="_Toc426022022"/>
      <w:bookmarkStart w:id="718" w:name="_Toc426023354"/>
      <w:bookmarkStart w:id="719" w:name="_Toc426031938"/>
      <w:bookmarkStart w:id="720" w:name="_Toc426040127"/>
      <w:bookmarkStart w:id="721" w:name="_Toc426040213"/>
      <w:bookmarkStart w:id="722" w:name="_Toc426041682"/>
      <w:bookmarkStart w:id="723" w:name="_Toc426044676"/>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lastRenderedPageBreak/>
        <w:t>Glossary of Terms</w:t>
      </w:r>
      <w:bookmarkEnd w:id="723"/>
    </w:p>
    <w:p w14:paraId="593C5D33" w14:textId="7EE0B3F4" w:rsidR="001D079E" w:rsidRDefault="001D079E" w:rsidP="00AB6C96">
      <w:pPr>
        <w:pStyle w:val="BodyText"/>
        <w:widowControl/>
      </w:pPr>
      <w:r>
        <w:t xml:space="preserve">This glossary </w:t>
      </w:r>
      <w:r w:rsidR="00894C60">
        <w:t xml:space="preserve">includes only terms that are used in this </w:t>
      </w:r>
      <w:commentRangeStart w:id="724"/>
      <w:r w:rsidR="00894C60">
        <w:t>draft</w:t>
      </w:r>
      <w:commentRangeEnd w:id="724"/>
      <w:r w:rsidR="002B0E4E">
        <w:rPr>
          <w:rStyle w:val="CommentReference"/>
          <w:rFonts w:ascii="Times New Roman" w:hAnsi="Times New Roman" w:cstheme="minorBidi"/>
        </w:rPr>
        <w:commentReference w:id="724"/>
      </w:r>
      <w:r w:rsidR="00894C60">
        <w:t xml:space="preserve"> EM&amp;V guidance.</w:t>
      </w:r>
      <w:r>
        <w:rPr>
          <w:rStyle w:val="FootnoteReference"/>
        </w:rPr>
        <w:footnoteReference w:id="67"/>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8640"/>
      </w:tblGrid>
      <w:tr w:rsidR="0097148B" w:rsidRPr="0003630B" w14:paraId="04BE1FBE" w14:textId="77777777" w:rsidTr="000C7826">
        <w:trPr>
          <w:cantSplit/>
        </w:trPr>
        <w:tc>
          <w:tcPr>
            <w:tcW w:w="8640" w:type="dxa"/>
          </w:tcPr>
          <w:p w14:paraId="7BD064F6" w14:textId="77777777" w:rsidR="0097148B" w:rsidRPr="0003630B" w:rsidRDefault="0097148B" w:rsidP="00AB6C96">
            <w:pPr>
              <w:pStyle w:val="BodyText"/>
              <w:widowControl/>
              <w:spacing w:after="0"/>
              <w:rPr>
                <w:b/>
                <w:i/>
              </w:rPr>
            </w:pPr>
            <w:r>
              <w:rPr>
                <w:b/>
                <w:i/>
              </w:rPr>
              <w:t xml:space="preserve">Accuracy: </w:t>
            </w:r>
            <w:r w:rsidRPr="004117E6">
              <w:t>concept that refers to the relationship between the true value of a variable and an estimate of the value. The term can also be used in reference to a model or a set of measured data, or to describe a measuring instrument's capability.</w:t>
            </w:r>
          </w:p>
        </w:tc>
      </w:tr>
      <w:tr w:rsidR="0097148B" w:rsidRPr="0003630B" w14:paraId="4A3CB066" w14:textId="77777777" w:rsidTr="000C7826">
        <w:trPr>
          <w:cantSplit/>
        </w:trPr>
        <w:tc>
          <w:tcPr>
            <w:tcW w:w="8640" w:type="dxa"/>
          </w:tcPr>
          <w:p w14:paraId="0CD45E92" w14:textId="77777777" w:rsidR="0097148B" w:rsidRPr="0003630B" w:rsidRDefault="0097148B" w:rsidP="00AB6C96">
            <w:pPr>
              <w:pStyle w:val="BodyText"/>
              <w:widowControl/>
              <w:spacing w:after="0"/>
              <w:rPr>
                <w:b/>
                <w:i/>
              </w:rPr>
            </w:pPr>
            <w:r>
              <w:rPr>
                <w:b/>
                <w:i/>
              </w:rPr>
              <w:t xml:space="preserve">Adoption: </w:t>
            </w:r>
            <w:r w:rsidRPr="004117E6">
              <w:t>process and actions required to put a code in place formally, such as a rulemaking process.</w:t>
            </w:r>
          </w:p>
        </w:tc>
      </w:tr>
      <w:tr w:rsidR="001B0EA4" w:rsidRPr="0003630B" w14:paraId="0A909B47" w14:textId="77777777" w:rsidTr="000C7826">
        <w:trPr>
          <w:cantSplit/>
        </w:trPr>
        <w:tc>
          <w:tcPr>
            <w:tcW w:w="8640" w:type="dxa"/>
          </w:tcPr>
          <w:p w14:paraId="15481D16" w14:textId="77777777" w:rsidR="0003630B" w:rsidRPr="0003630B" w:rsidRDefault="0003630B" w:rsidP="00AB6C96">
            <w:pPr>
              <w:pStyle w:val="BodyText"/>
              <w:widowControl/>
              <w:spacing w:after="0"/>
            </w:pPr>
            <w:r w:rsidRPr="0003630B">
              <w:rPr>
                <w:b/>
                <w:i/>
              </w:rPr>
              <w:t>Baseline:</w:t>
            </w:r>
            <w:r w:rsidRPr="0003630B">
              <w:t xml:space="preserve"> </w:t>
            </w:r>
            <w:r w:rsidR="009E7639" w:rsidRPr="0003630B">
              <w:t xml:space="preserve">conditions </w:t>
            </w:r>
            <w:r w:rsidR="009E7639">
              <w:t>(</w:t>
            </w:r>
            <w:r w:rsidR="009E7639" w:rsidRPr="0003630B">
              <w:t>including electricity consumption</w:t>
            </w:r>
            <w:r w:rsidR="009E7639">
              <w:t>)</w:t>
            </w:r>
            <w:r w:rsidR="009E7639" w:rsidRPr="0003630B">
              <w:t xml:space="preserve"> that would have </w:t>
            </w:r>
            <w:r w:rsidR="009E7639">
              <w:t>existed</w:t>
            </w:r>
            <w:r w:rsidR="009E7639" w:rsidRPr="0003630B">
              <w:t xml:space="preserve"> without implementation of the subject EE activity. Baseline conditions are used to </w:t>
            </w:r>
            <w:r w:rsidR="009E7639">
              <w:t>estimate</w:t>
            </w:r>
            <w:r w:rsidR="009E7639" w:rsidRPr="0003630B">
              <w:t xml:space="preserve"> measure-, project-</w:t>
            </w:r>
            <w:r w:rsidR="00397ED8">
              <w:t>,</w:t>
            </w:r>
            <w:r w:rsidR="009E7639" w:rsidRPr="0003630B">
              <w:t xml:space="preserve"> and program-related savings.</w:t>
            </w:r>
          </w:p>
        </w:tc>
      </w:tr>
      <w:tr w:rsidR="0097148B" w:rsidRPr="0003630B" w14:paraId="1EA21DA7" w14:textId="77777777" w:rsidTr="0097148B">
        <w:trPr>
          <w:cantSplit/>
        </w:trPr>
        <w:tc>
          <w:tcPr>
            <w:tcW w:w="8640" w:type="dxa"/>
          </w:tcPr>
          <w:p w14:paraId="68A1B4CD" w14:textId="77777777" w:rsidR="0097148B" w:rsidRPr="0003630B" w:rsidRDefault="0097148B" w:rsidP="0097148B">
            <w:pPr>
              <w:pStyle w:val="BodyText"/>
              <w:widowControl/>
              <w:spacing w:after="0"/>
              <w:rPr>
                <w:b/>
                <w:i/>
              </w:rPr>
            </w:pPr>
            <w:r>
              <w:rPr>
                <w:b/>
                <w:i/>
              </w:rPr>
              <w:t xml:space="preserve">Code: </w:t>
            </w:r>
            <w:r w:rsidRPr="004117E6">
              <w:t>legal EE requirements that apply to the design and construction of buildings, usually for new buildings and for renovations and additions applying to existing buildings.</w:t>
            </w:r>
          </w:p>
        </w:tc>
      </w:tr>
      <w:tr w:rsidR="001B0EA4" w:rsidRPr="0003630B" w14:paraId="71EF2A48" w14:textId="77777777" w:rsidTr="000C7826">
        <w:trPr>
          <w:cantSplit/>
        </w:trPr>
        <w:tc>
          <w:tcPr>
            <w:tcW w:w="8640" w:type="dxa"/>
          </w:tcPr>
          <w:p w14:paraId="4C5848D6" w14:textId="77777777" w:rsidR="0003630B" w:rsidRPr="0003630B" w:rsidRDefault="0003630B" w:rsidP="00AB6C96">
            <w:pPr>
              <w:pStyle w:val="BodyText"/>
              <w:widowControl/>
              <w:spacing w:after="0"/>
            </w:pPr>
            <w:r w:rsidRPr="0003630B">
              <w:rPr>
                <w:b/>
                <w:i/>
              </w:rPr>
              <w:t>Common practice baseline (CPB):</w:t>
            </w:r>
            <w:r w:rsidRPr="0003630B">
              <w:rPr>
                <w:b/>
              </w:rPr>
              <w:t xml:space="preserve"> </w:t>
            </w:r>
            <w:r w:rsidRPr="0003630B">
              <w:t>default technology or condition that would have been in place at the time of project implementation without a decision to install a more efficient system or measure, for example, the system(s) or measure(s) a typical consumer/building owner would have continued with or installed at the time of project implementation.</w:t>
            </w:r>
          </w:p>
        </w:tc>
      </w:tr>
      <w:tr w:rsidR="001B0EA4" w:rsidRPr="0003630B" w14:paraId="568242CF" w14:textId="77777777" w:rsidTr="000C7826">
        <w:trPr>
          <w:cantSplit/>
        </w:trPr>
        <w:tc>
          <w:tcPr>
            <w:tcW w:w="8640" w:type="dxa"/>
          </w:tcPr>
          <w:p w14:paraId="7F36059D" w14:textId="77777777" w:rsidR="0003630B" w:rsidRPr="0003630B" w:rsidRDefault="0003630B" w:rsidP="00AB6C96">
            <w:pPr>
              <w:pStyle w:val="BodyText"/>
              <w:widowControl/>
              <w:spacing w:after="0"/>
            </w:pPr>
            <w:r w:rsidRPr="0003630B">
              <w:rPr>
                <w:b/>
                <w:i/>
              </w:rPr>
              <w:t>Comparison group EM&amp;V methods</w:t>
            </w:r>
            <w:r w:rsidR="00ED0090">
              <w:rPr>
                <w:b/>
                <w:i/>
              </w:rPr>
              <w:t>:</w:t>
            </w:r>
            <w:r w:rsidRPr="0003630B">
              <w:t xml:space="preserve"> </w:t>
            </w:r>
            <w:r w:rsidR="0097148B">
              <w:t>approaches to determine</w:t>
            </w:r>
            <w:r w:rsidR="0097148B" w:rsidRPr="0003630B">
              <w:t xml:space="preserve"> program savings </w:t>
            </w:r>
            <w:r w:rsidR="0097148B">
              <w:t>by taking the</w:t>
            </w:r>
            <w:r w:rsidR="0097148B" w:rsidRPr="0003630B">
              <w:t xml:space="preserve"> difference between a comparison group’s electricity consumption and the consumption of program participants. Comparison group approaches include RCTs and quasi-experimental methods using nonparticipants.</w:t>
            </w:r>
            <w:r w:rsidR="0097148B" w:rsidRPr="0003630B">
              <w:rPr>
                <w:rStyle w:val="FootnoteReference"/>
              </w:rPr>
              <w:footnoteReference w:id="68"/>
            </w:r>
            <w:r w:rsidR="0097148B" w:rsidRPr="0003630B">
              <w:rPr>
                <w:rStyle w:val="FootnoteReference"/>
              </w:rPr>
              <w:t xml:space="preserve"> </w:t>
            </w:r>
            <w:r w:rsidR="0097148B" w:rsidRPr="0003630B">
              <w:t xml:space="preserve">These methods are </w:t>
            </w:r>
            <w:r w:rsidR="0097148B">
              <w:t>generally used to estimate</w:t>
            </w:r>
            <w:r w:rsidR="0097148B" w:rsidRPr="0003630B">
              <w:t xml:space="preserve"> program-level savings</w:t>
            </w:r>
            <w:r w:rsidR="0097148B">
              <w:t xml:space="preserve"> versus</w:t>
            </w:r>
            <w:r w:rsidR="0097148B" w:rsidRPr="0003630B">
              <w:t xml:space="preserve"> facility- or project-level savings</w:t>
            </w:r>
            <w:r w:rsidRPr="0003630B">
              <w:t xml:space="preserve"> </w:t>
            </w:r>
          </w:p>
        </w:tc>
      </w:tr>
      <w:tr w:rsidR="0097148B" w:rsidRPr="0003630B" w14:paraId="512C70E9" w14:textId="77777777" w:rsidTr="000C7826">
        <w:trPr>
          <w:cantSplit/>
        </w:trPr>
        <w:tc>
          <w:tcPr>
            <w:tcW w:w="8640" w:type="dxa"/>
          </w:tcPr>
          <w:p w14:paraId="5E49D2E5" w14:textId="77777777" w:rsidR="0097148B" w:rsidRPr="0003630B" w:rsidRDefault="0097148B" w:rsidP="00AB6C96">
            <w:pPr>
              <w:pStyle w:val="BodyText"/>
              <w:widowControl/>
              <w:spacing w:after="0"/>
              <w:rPr>
                <w:b/>
                <w:i/>
              </w:rPr>
            </w:pPr>
            <w:r>
              <w:rPr>
                <w:b/>
                <w:i/>
              </w:rPr>
              <w:t>Compliance:</w:t>
            </w:r>
            <w:r>
              <w:t xml:space="preserve"> </w:t>
            </w:r>
            <w:r w:rsidRPr="004117E6">
              <w:t>process of meeting the code requirements and demonstrating that these requirements have been satisfied. Compliance is the responsibility of the builder or contractor.</w:t>
            </w:r>
          </w:p>
        </w:tc>
      </w:tr>
      <w:tr w:rsidR="001B0EA4" w:rsidRPr="000C7826" w14:paraId="47AC899B" w14:textId="77777777" w:rsidTr="000C7826">
        <w:trPr>
          <w:cantSplit/>
        </w:trPr>
        <w:tc>
          <w:tcPr>
            <w:tcW w:w="8640" w:type="dxa"/>
          </w:tcPr>
          <w:p w14:paraId="30F46CB1" w14:textId="3AC2FD24" w:rsidR="0003630B" w:rsidRPr="000C7826" w:rsidRDefault="0003630B" w:rsidP="00AB6C96">
            <w:pPr>
              <w:pStyle w:val="BodyText"/>
              <w:widowControl/>
            </w:pPr>
            <w:r w:rsidRPr="000C7826">
              <w:rPr>
                <w:b/>
                <w:i/>
              </w:rPr>
              <w:lastRenderedPageBreak/>
              <w:t>Deemed savings values</w:t>
            </w:r>
            <w:r w:rsidR="00A7086F">
              <w:rPr>
                <w:b/>
                <w:i/>
              </w:rPr>
              <w:t xml:space="preserve">: </w:t>
            </w:r>
            <w:r w:rsidR="00A7086F">
              <w:t>A</w:t>
            </w:r>
            <w:r w:rsidRPr="000C7826">
              <w:t xml:space="preserve">lso called </w:t>
            </w:r>
            <w:r w:rsidRPr="000C7826">
              <w:rPr>
                <w:b/>
                <w:i/>
              </w:rPr>
              <w:t>stipulated savings</w:t>
            </w:r>
            <w:r w:rsidRPr="000C7826">
              <w:t xml:space="preserve">, </w:t>
            </w:r>
            <w:r w:rsidR="00A7086F">
              <w:t xml:space="preserve">deemed savings values </w:t>
            </w:r>
            <w:r w:rsidRPr="000C7826">
              <w:t xml:space="preserve">are estimates of electricity savings for a single unit of an installed EE measure that (1) has been developed from data sources (such as prior metering studies) and analytical methods that are widely considered acceptable for the measure and purpose, and (2) is applicable to the situation under which the measure is being implemented. </w:t>
            </w:r>
          </w:p>
          <w:p w14:paraId="2BFA982C" w14:textId="77777777" w:rsidR="00BF64E5" w:rsidRPr="000C7826" w:rsidRDefault="009E7639" w:rsidP="00AB6C96">
            <w:pPr>
              <w:pStyle w:val="BodyText"/>
              <w:widowControl/>
              <w:spacing w:after="0"/>
              <w:rPr>
                <w:b/>
                <w:i/>
              </w:rPr>
            </w:pPr>
            <w:r w:rsidRPr="000C7826">
              <w:t xml:space="preserve">Individual parameters or calculation methods can also be deemed; for example, effective useful life of a measure or the annual operating hours of light fixtures in an elementary school classroom. Common sources of deemed savings values are previous evaluations and studies that involved actual measurements and analyses. </w:t>
            </w:r>
            <w:r w:rsidRPr="00292D81">
              <w:t xml:space="preserve">With deemed savings, the per-unit </w:t>
            </w:r>
            <w:proofErr w:type="spellStart"/>
            <w:r w:rsidRPr="00292D81">
              <w:t>MWh</w:t>
            </w:r>
            <w:proofErr w:type="spellEnd"/>
            <w:r w:rsidRPr="00292D81">
              <w:t xml:space="preserve"> values are determined and agreed to by parties prior to EE implementation.</w:t>
            </w:r>
          </w:p>
        </w:tc>
      </w:tr>
      <w:tr w:rsidR="0097148B" w:rsidRPr="0003630B" w14:paraId="2EEDCD8F" w14:textId="77777777" w:rsidTr="000C7826">
        <w:trPr>
          <w:cantSplit/>
        </w:trPr>
        <w:tc>
          <w:tcPr>
            <w:tcW w:w="8640" w:type="dxa"/>
          </w:tcPr>
          <w:p w14:paraId="4127CCEF" w14:textId="77777777" w:rsidR="0097148B" w:rsidRPr="0003630B" w:rsidRDefault="0097148B" w:rsidP="00AB6C96">
            <w:pPr>
              <w:pStyle w:val="BodyText"/>
              <w:widowControl/>
              <w:spacing w:after="0"/>
              <w:rPr>
                <w:b/>
                <w:i/>
              </w:rPr>
            </w:pPr>
            <w:r>
              <w:rPr>
                <w:b/>
                <w:i/>
              </w:rPr>
              <w:t xml:space="preserve">EE measure: </w:t>
            </w:r>
            <w:r w:rsidRPr="002B2956">
              <w:t>a</w:t>
            </w:r>
            <w:r w:rsidRPr="004117E6">
              <w:t>t an end-use energy consumer facility, an installed piece of equipment or system; a strategy intended to affect consumer energy use behaviors; or modification of equipment, systems, or operations that reduces the amount of energy that would otherwise have been used to deliver an equivalent or improved level of end-use service.</w:t>
            </w:r>
          </w:p>
        </w:tc>
      </w:tr>
      <w:tr w:rsidR="0097148B" w:rsidRPr="0003630B" w14:paraId="6655184A" w14:textId="77777777" w:rsidTr="000C7826">
        <w:trPr>
          <w:cantSplit/>
        </w:trPr>
        <w:tc>
          <w:tcPr>
            <w:tcW w:w="8640" w:type="dxa"/>
          </w:tcPr>
          <w:p w14:paraId="73F3AD87" w14:textId="77777777" w:rsidR="0097148B" w:rsidRPr="0003630B" w:rsidRDefault="0097148B" w:rsidP="00AB6C96">
            <w:pPr>
              <w:pStyle w:val="BodyText"/>
              <w:widowControl/>
              <w:spacing w:after="0"/>
              <w:rPr>
                <w:b/>
                <w:i/>
              </w:rPr>
            </w:pPr>
            <w:r>
              <w:rPr>
                <w:b/>
                <w:i/>
              </w:rPr>
              <w:t xml:space="preserve">EE program: </w:t>
            </w:r>
            <w:r w:rsidRPr="004117E6">
              <w:t>activity, strategy, or course of action undertaken by an implementer or administrator. Each program is defined by a unique combination of the program strategy, market segment, marketing approach, and energy efficiency measure(s) included. Programs consist of a group of projects with similar characteristics and installed in similar applications.</w:t>
            </w:r>
          </w:p>
        </w:tc>
      </w:tr>
      <w:tr w:rsidR="0097148B" w:rsidRPr="0003630B" w14:paraId="17722B4F" w14:textId="77777777" w:rsidTr="000C7826">
        <w:trPr>
          <w:cantSplit/>
        </w:trPr>
        <w:tc>
          <w:tcPr>
            <w:tcW w:w="8640" w:type="dxa"/>
          </w:tcPr>
          <w:p w14:paraId="6991BFA6" w14:textId="77777777" w:rsidR="0097148B" w:rsidRPr="0003630B" w:rsidRDefault="0097148B" w:rsidP="00AB6C96">
            <w:pPr>
              <w:pStyle w:val="BodyText"/>
              <w:widowControl/>
              <w:spacing w:after="0"/>
              <w:rPr>
                <w:b/>
                <w:i/>
              </w:rPr>
            </w:pPr>
            <w:r>
              <w:rPr>
                <w:b/>
                <w:i/>
              </w:rPr>
              <w:t>EE project:</w:t>
            </w:r>
            <w:r>
              <w:t xml:space="preserve"> </w:t>
            </w:r>
            <w:r w:rsidRPr="004117E6">
              <w:t>activity or course of action involving one or multiple energy efficiency measures at a single facility or site.</w:t>
            </w:r>
          </w:p>
        </w:tc>
      </w:tr>
      <w:tr w:rsidR="001B0EA4" w:rsidRPr="0003630B" w14:paraId="5F88ED42" w14:textId="77777777" w:rsidTr="000C7826">
        <w:trPr>
          <w:cantSplit/>
        </w:trPr>
        <w:tc>
          <w:tcPr>
            <w:tcW w:w="8640" w:type="dxa"/>
          </w:tcPr>
          <w:p w14:paraId="11F42DAC" w14:textId="77777777" w:rsidR="0003630B" w:rsidRPr="0003630B" w:rsidRDefault="0003630B" w:rsidP="00AB6C96">
            <w:pPr>
              <w:pStyle w:val="BodyText"/>
              <w:widowControl/>
              <w:spacing w:after="0"/>
            </w:pPr>
            <w:r w:rsidRPr="0003630B">
              <w:rPr>
                <w:b/>
                <w:i/>
              </w:rPr>
              <w:t>Effective useful life (EUL):</w:t>
            </w:r>
            <w:r w:rsidRPr="0003630B">
              <w:t xml:space="preserve"> an estimate of the duration of savings from individual </w:t>
            </w:r>
            <w:r w:rsidR="00404E28">
              <w:t>EE</w:t>
            </w:r>
            <w:r w:rsidRPr="0003630B">
              <w:t xml:space="preserve"> measures, reported in years. Values are typically specific to individual EE measures or projects but also may be specified by program. EUL is defined through various means, including median number of years that the measures/projects installed under a program are still in place and operable.</w:t>
            </w:r>
          </w:p>
        </w:tc>
      </w:tr>
      <w:tr w:rsidR="001B0EA4" w:rsidRPr="0003630B" w14:paraId="4216FDA5" w14:textId="77777777" w:rsidTr="000C7826">
        <w:trPr>
          <w:cantSplit/>
        </w:trPr>
        <w:tc>
          <w:tcPr>
            <w:tcW w:w="8640" w:type="dxa"/>
          </w:tcPr>
          <w:p w14:paraId="2302EBA6" w14:textId="77777777" w:rsidR="0003630B" w:rsidRPr="0003630B" w:rsidRDefault="0003630B" w:rsidP="00AB6C96">
            <w:pPr>
              <w:pStyle w:val="BodyText"/>
              <w:widowControl/>
              <w:spacing w:after="0"/>
              <w:rPr>
                <w:color w:val="000000" w:themeColor="text1"/>
              </w:rPr>
            </w:pPr>
            <w:r w:rsidRPr="0003630B">
              <w:rPr>
                <w:b/>
                <w:i/>
              </w:rPr>
              <w:t>Electricity savings:</w:t>
            </w:r>
            <w:r w:rsidRPr="0003630B">
              <w:t xml:space="preserve"> change in electricity use resulting from the implementation of EE measures </w:t>
            </w:r>
            <w:r w:rsidRPr="0003630B">
              <w:rPr>
                <w:color w:val="000000" w:themeColor="text1"/>
              </w:rPr>
              <w:t xml:space="preserve">and practices, reported in </w:t>
            </w:r>
            <w:r w:rsidRPr="00BF64E5">
              <w:t>units</w:t>
            </w:r>
            <w:r w:rsidRPr="0003630B">
              <w:rPr>
                <w:color w:val="000000" w:themeColor="text1"/>
              </w:rPr>
              <w:t xml:space="preserve"> of megawatt-hours (</w:t>
            </w:r>
            <w:proofErr w:type="spellStart"/>
            <w:r w:rsidRPr="0003630B">
              <w:rPr>
                <w:color w:val="000000" w:themeColor="text1"/>
              </w:rPr>
              <w:t>MWh</w:t>
            </w:r>
            <w:proofErr w:type="spellEnd"/>
            <w:r w:rsidRPr="0003630B">
              <w:rPr>
                <w:color w:val="000000" w:themeColor="text1"/>
              </w:rPr>
              <w:t xml:space="preserve">). </w:t>
            </w:r>
          </w:p>
        </w:tc>
      </w:tr>
      <w:tr w:rsidR="00432A67" w:rsidRPr="0003630B" w14:paraId="2C30CE0E" w14:textId="77777777" w:rsidTr="000C7826">
        <w:trPr>
          <w:cantSplit/>
        </w:trPr>
        <w:tc>
          <w:tcPr>
            <w:tcW w:w="8640" w:type="dxa"/>
          </w:tcPr>
          <w:p w14:paraId="070D8194" w14:textId="77777777" w:rsidR="00432A67" w:rsidRPr="0003630B" w:rsidRDefault="00432A67" w:rsidP="00AB6C96">
            <w:pPr>
              <w:pStyle w:val="BodyText"/>
              <w:widowControl/>
              <w:spacing w:after="0"/>
              <w:rPr>
                <w:b/>
                <w:i/>
              </w:rPr>
            </w:pPr>
            <w:r>
              <w:rPr>
                <w:b/>
                <w:i/>
              </w:rPr>
              <w:t>Enforcement:</w:t>
            </w:r>
            <w:r>
              <w:t xml:space="preserve"> </w:t>
            </w:r>
            <w:r w:rsidRPr="004117E6">
              <w:t>process of verifying that a building meets the code. This process is typically conducted by a building code official.</w:t>
            </w:r>
          </w:p>
        </w:tc>
      </w:tr>
      <w:tr w:rsidR="001B0EA4" w:rsidRPr="0003630B" w14:paraId="7DFC142B" w14:textId="77777777" w:rsidTr="000C7826">
        <w:trPr>
          <w:cantSplit/>
        </w:trPr>
        <w:tc>
          <w:tcPr>
            <w:tcW w:w="8640" w:type="dxa"/>
          </w:tcPr>
          <w:p w14:paraId="34C17D99" w14:textId="77777777" w:rsidR="0003630B" w:rsidRPr="0003630B" w:rsidRDefault="0003630B" w:rsidP="00AB6C96">
            <w:pPr>
              <w:pStyle w:val="BodyText"/>
              <w:widowControl/>
              <w:spacing w:after="0"/>
            </w:pPr>
            <w:r w:rsidRPr="0003630B">
              <w:rPr>
                <w:b/>
                <w:i/>
              </w:rPr>
              <w:t>Free ridership:</w:t>
            </w:r>
            <w:r w:rsidRPr="0003630B">
              <w:t xml:space="preserve"> portion of a program’s supported savings that would have occurred in the absence of the program. </w:t>
            </w:r>
          </w:p>
        </w:tc>
      </w:tr>
      <w:tr w:rsidR="00432A67" w:rsidRPr="0003630B" w14:paraId="47785CF7" w14:textId="77777777" w:rsidTr="000C7826">
        <w:trPr>
          <w:cantSplit/>
        </w:trPr>
        <w:tc>
          <w:tcPr>
            <w:tcW w:w="8640" w:type="dxa"/>
          </w:tcPr>
          <w:p w14:paraId="4A9EC1A9" w14:textId="77777777" w:rsidR="00432A67" w:rsidRPr="0003630B" w:rsidRDefault="00432A67" w:rsidP="00AB6C96">
            <w:pPr>
              <w:pStyle w:val="BodyText"/>
              <w:widowControl/>
              <w:spacing w:after="0"/>
              <w:rPr>
                <w:b/>
                <w:i/>
              </w:rPr>
            </w:pPr>
            <w:r>
              <w:rPr>
                <w:b/>
                <w:i/>
              </w:rPr>
              <w:t>Gross savings:</w:t>
            </w:r>
            <w:r>
              <w:t xml:space="preserve"> </w:t>
            </w:r>
            <w:r w:rsidRPr="004117E6">
              <w:t>change in energy consumption and/or demand that results directly from program-related actions taken by participants in an energy efficiency program, regardless of why they participated.</w:t>
            </w:r>
          </w:p>
        </w:tc>
      </w:tr>
      <w:tr w:rsidR="00432A67" w:rsidRPr="0003630B" w14:paraId="019C8AA7" w14:textId="77777777" w:rsidTr="000C7826">
        <w:trPr>
          <w:cantSplit/>
        </w:trPr>
        <w:tc>
          <w:tcPr>
            <w:tcW w:w="8640" w:type="dxa"/>
          </w:tcPr>
          <w:p w14:paraId="6F935122" w14:textId="77777777" w:rsidR="00432A67" w:rsidRPr="0003630B" w:rsidRDefault="00432A67" w:rsidP="00AB6C96">
            <w:pPr>
              <w:pStyle w:val="BodyText"/>
              <w:widowControl/>
              <w:spacing w:after="0"/>
              <w:rPr>
                <w:b/>
                <w:i/>
              </w:rPr>
            </w:pPr>
            <w:r>
              <w:rPr>
                <w:b/>
                <w:i/>
              </w:rPr>
              <w:t xml:space="preserve">Independent factors: </w:t>
            </w:r>
            <w:r>
              <w:t>variables</w:t>
            </w:r>
            <w:r w:rsidRPr="004117E6">
              <w:t xml:space="preserve"> (e.g., weather, occupancy, production levels) that affect electricity consumption and savings, and vary independently of the variable under study.</w:t>
            </w:r>
          </w:p>
        </w:tc>
      </w:tr>
      <w:tr w:rsidR="000C7826" w:rsidRPr="0003630B" w14:paraId="5DFC3FCD" w14:textId="77777777" w:rsidTr="000C7826">
        <w:trPr>
          <w:cantSplit/>
        </w:trPr>
        <w:tc>
          <w:tcPr>
            <w:tcW w:w="8640" w:type="dxa"/>
          </w:tcPr>
          <w:p w14:paraId="6D7FE189" w14:textId="38092CD4" w:rsidR="000C7826" w:rsidRPr="00B81417" w:rsidDel="006707F0" w:rsidRDefault="000C7826" w:rsidP="00B738A6">
            <w:pPr>
              <w:pStyle w:val="BodyText"/>
              <w:widowControl/>
              <w:spacing w:after="0"/>
              <w:rPr>
                <w:b/>
                <w:i/>
              </w:rPr>
            </w:pPr>
          </w:p>
        </w:tc>
      </w:tr>
      <w:tr w:rsidR="001B0EA4" w:rsidRPr="0003630B" w14:paraId="7B59AB01" w14:textId="77777777" w:rsidTr="000C7826">
        <w:trPr>
          <w:cantSplit/>
        </w:trPr>
        <w:tc>
          <w:tcPr>
            <w:tcW w:w="8640" w:type="dxa"/>
          </w:tcPr>
          <w:p w14:paraId="31288A98" w14:textId="212F620F" w:rsidR="0003630B" w:rsidRPr="0003630B" w:rsidRDefault="00432A67" w:rsidP="003679AD">
            <w:pPr>
              <w:pStyle w:val="BodyText"/>
              <w:widowControl/>
              <w:spacing w:after="0"/>
            </w:pPr>
            <w:r w:rsidRPr="0003630B">
              <w:rPr>
                <w:b/>
                <w:i/>
              </w:rPr>
              <w:lastRenderedPageBreak/>
              <w:t xml:space="preserve">Independent </w:t>
            </w:r>
            <w:r w:rsidR="003679AD">
              <w:rPr>
                <w:b/>
                <w:i/>
              </w:rPr>
              <w:t>factors</w:t>
            </w:r>
            <w:r w:rsidRPr="0003630B">
              <w:rPr>
                <w:b/>
                <w:i/>
              </w:rPr>
              <w:t>:</w:t>
            </w:r>
            <w:r w:rsidRPr="0003630B">
              <w:t xml:space="preserve"> </w:t>
            </w:r>
            <w:r w:rsidR="0003630B" w:rsidRPr="0003630B">
              <w:t xml:space="preserve">the explanatory factors (e.g., weather or occupancy) that affect the variable under study (e.g., electricity consumption) and can vary </w:t>
            </w:r>
            <w:r w:rsidR="0003630B" w:rsidRPr="0003630B">
              <w:rPr>
                <w:i/>
              </w:rPr>
              <w:t>independently</w:t>
            </w:r>
            <w:r w:rsidR="0003630B" w:rsidRPr="0003630B">
              <w:t xml:space="preserve"> of the variable under study.</w:t>
            </w:r>
          </w:p>
        </w:tc>
      </w:tr>
      <w:tr w:rsidR="001B0EA4" w:rsidRPr="0003630B" w14:paraId="0136FFD4" w14:textId="77777777" w:rsidTr="000C7826">
        <w:trPr>
          <w:cantSplit/>
        </w:trPr>
        <w:tc>
          <w:tcPr>
            <w:tcW w:w="8640" w:type="dxa"/>
          </w:tcPr>
          <w:p w14:paraId="3A0231A3" w14:textId="77777777" w:rsidR="0003630B" w:rsidRPr="0003630B" w:rsidRDefault="0003630B" w:rsidP="00AB6C96">
            <w:pPr>
              <w:pStyle w:val="BodyText"/>
              <w:widowControl/>
              <w:spacing w:after="0"/>
            </w:pPr>
            <w:r w:rsidRPr="0003630B">
              <w:rPr>
                <w:b/>
                <w:i/>
              </w:rPr>
              <w:t xml:space="preserve">Inspections: </w:t>
            </w:r>
            <w:r w:rsidRPr="0003630B">
              <w:t>site visits to facilities at which an EE project or measure was implemented. Inspections document the existence, characteristics, and operation of baseline or EE project equipment and systems, and the factors that affect energy use. Inspections can or might not include review of commissioning or retro-commissioning documentation.</w:t>
            </w:r>
          </w:p>
        </w:tc>
      </w:tr>
      <w:tr w:rsidR="001B0EA4" w:rsidRPr="0003630B" w14:paraId="620FF363" w14:textId="77777777" w:rsidTr="000C7826">
        <w:trPr>
          <w:cantSplit/>
        </w:trPr>
        <w:tc>
          <w:tcPr>
            <w:tcW w:w="8640" w:type="dxa"/>
          </w:tcPr>
          <w:p w14:paraId="360111AD" w14:textId="77777777" w:rsidR="0003630B" w:rsidRPr="0003630B" w:rsidRDefault="0003630B" w:rsidP="00AB6C96">
            <w:pPr>
              <w:pStyle w:val="BodyText"/>
              <w:widowControl/>
              <w:rPr>
                <w:b/>
              </w:rPr>
            </w:pPr>
            <w:r w:rsidRPr="0003630B">
              <w:rPr>
                <w:b/>
                <w:i/>
              </w:rPr>
              <w:t>Interactive effects:</w:t>
            </w:r>
            <w:r w:rsidRPr="0003630B">
              <w:t xml:space="preserve"> increases or decreases in the use of electricity or fossil fuels that occur outside of the end uses targeted by a specific EE measure, project, or program. For example, reduction in lighting loads through an energy-efficient lighting retrofit can reduce buildings’ air conditioning and increase heating requirements because less heat is generated by energy-efficient lighting systems compared with less efficient lighting systems. </w:t>
            </w:r>
          </w:p>
        </w:tc>
      </w:tr>
      <w:tr w:rsidR="001B0EA4" w:rsidRPr="0003630B" w14:paraId="2431F6B7" w14:textId="77777777" w:rsidTr="000C7826">
        <w:trPr>
          <w:cantSplit/>
        </w:trPr>
        <w:tc>
          <w:tcPr>
            <w:tcW w:w="8640" w:type="dxa"/>
          </w:tcPr>
          <w:p w14:paraId="18F90498" w14:textId="77777777" w:rsidR="0003630B" w:rsidRPr="0003630B" w:rsidRDefault="0003630B" w:rsidP="00AB6C96">
            <w:pPr>
              <w:pStyle w:val="BodyText"/>
              <w:widowControl/>
              <w:spacing w:after="0"/>
            </w:pPr>
            <w:r w:rsidRPr="0003630B">
              <w:rPr>
                <w:b/>
                <w:i/>
              </w:rPr>
              <w:t>Market effects:</w:t>
            </w:r>
            <w:r w:rsidRPr="0003630B">
              <w:t xml:space="preserve"> </w:t>
            </w:r>
            <w:r w:rsidR="00432A67" w:rsidRPr="0003630B">
              <w:t>change</w:t>
            </w:r>
            <w:r w:rsidR="00432A67">
              <w:t>s</w:t>
            </w:r>
            <w:r w:rsidR="00432A67" w:rsidRPr="0003630B">
              <w:t xml:space="preserve"> in the </w:t>
            </w:r>
            <w:r w:rsidR="00432A67" w:rsidRPr="00292D81">
              <w:t>supply chain for energy efficient equipment or the behavior of participants and market actors resulting from</w:t>
            </w:r>
            <w:r w:rsidR="00432A67" w:rsidRPr="00292D81" w:rsidDel="00292D81">
              <w:t xml:space="preserve"> </w:t>
            </w:r>
            <w:r w:rsidR="00432A67" w:rsidRPr="0003630B">
              <w:t>market intervention(s).</w:t>
            </w:r>
            <w:r w:rsidRPr="0003630B">
              <w:t xml:space="preserve"> </w:t>
            </w:r>
          </w:p>
        </w:tc>
      </w:tr>
      <w:tr w:rsidR="001B0EA4" w:rsidRPr="0003630B" w14:paraId="12CA5F29" w14:textId="77777777" w:rsidTr="000C7826">
        <w:trPr>
          <w:cantSplit/>
        </w:trPr>
        <w:tc>
          <w:tcPr>
            <w:tcW w:w="8640" w:type="dxa"/>
          </w:tcPr>
          <w:p w14:paraId="2BD28680" w14:textId="2ECC470F" w:rsidR="0003630B" w:rsidRPr="0003630B" w:rsidRDefault="00AA1B0D" w:rsidP="00AB6C96">
            <w:pPr>
              <w:pStyle w:val="BodyText"/>
              <w:widowControl/>
              <w:spacing w:after="120"/>
            </w:pPr>
            <w:r>
              <w:rPr>
                <w:b/>
                <w:i/>
              </w:rPr>
              <w:t>Project-based m</w:t>
            </w:r>
            <w:r w:rsidR="00432A67" w:rsidRPr="0003630B">
              <w:rPr>
                <w:b/>
                <w:i/>
              </w:rPr>
              <w:t>easurement and verification</w:t>
            </w:r>
            <w:r w:rsidR="00A7086F">
              <w:rPr>
                <w:b/>
                <w:i/>
              </w:rPr>
              <w:t xml:space="preserve">: </w:t>
            </w:r>
            <w:r>
              <w:t>PB-MV</w:t>
            </w:r>
            <w:r w:rsidR="0003630B" w:rsidRPr="0003630B">
              <w:t xml:space="preserve"> is the process of using measurements to determine electricity savings associated with individual projects or measures reliably. M&amp;V can be applied to a census or sample of projects (measures) in a program (project) to determine average savings for the program (project). With M&amp;V, baseline electricity consumption is compared with post-project (or post-measure) electricity consumption measurements, along with analyses and documented assumptions to quantify savings. The IPMVP defines </w:t>
            </w:r>
            <w:r w:rsidR="0003630B" w:rsidRPr="0003630B">
              <w:rPr>
                <w:b/>
              </w:rPr>
              <w:t>two retrofit isolation</w:t>
            </w:r>
            <w:r w:rsidR="0003630B" w:rsidRPr="0003630B">
              <w:t xml:space="preserve"> and </w:t>
            </w:r>
            <w:r w:rsidR="0003630B" w:rsidRPr="0003630B">
              <w:rPr>
                <w:b/>
              </w:rPr>
              <w:t>two whole-facility M&amp;V options</w:t>
            </w:r>
            <w:r w:rsidR="0003630B" w:rsidRPr="0003630B">
              <w:t xml:space="preserve"> used in the efficiency industry: </w:t>
            </w:r>
          </w:p>
          <w:p w14:paraId="467EA2EF" w14:textId="77777777" w:rsidR="0003630B" w:rsidRPr="0003630B" w:rsidRDefault="0003630B" w:rsidP="00AB6C96">
            <w:pPr>
              <w:pStyle w:val="BodyText"/>
              <w:widowControl/>
              <w:spacing w:after="120"/>
              <w:ind w:left="360"/>
            </w:pPr>
            <w:r w:rsidRPr="0003630B">
              <w:rPr>
                <w:i/>
              </w:rPr>
              <w:t>Retrofit isolation</w:t>
            </w:r>
            <w:r w:rsidRPr="0003630B">
              <w:t xml:space="preserve"> – assessing savings from each EE measure individually (IPMVP Options A &amp; B). Although Option A allows some stipulation of factors, Option A differs from the use of deemed saving values in that all M&amp;V options require some project site measurements.</w:t>
            </w:r>
          </w:p>
          <w:p w14:paraId="033D7AC7" w14:textId="77777777" w:rsidR="0003630B" w:rsidRPr="0003630B" w:rsidRDefault="0003630B" w:rsidP="00AB6C96">
            <w:pPr>
              <w:pStyle w:val="BodyText"/>
              <w:widowControl/>
              <w:spacing w:after="120"/>
              <w:ind w:left="360"/>
            </w:pPr>
            <w:r w:rsidRPr="0003630B">
              <w:rPr>
                <w:i/>
              </w:rPr>
              <w:t>Whole facility</w:t>
            </w:r>
            <w:r w:rsidRPr="0003630B">
              <w:t xml:space="preserve"> – analyzing savings from each EE measure in a project/facility collectively – (IPMVP Option C, review of energy bills or Option D, calibrated simulation).</w:t>
            </w:r>
          </w:p>
          <w:p w14:paraId="689BD080" w14:textId="77777777" w:rsidR="0003630B" w:rsidRPr="0003630B" w:rsidRDefault="0003630B" w:rsidP="00AB6C96">
            <w:pPr>
              <w:pStyle w:val="BodyText"/>
              <w:widowControl/>
              <w:ind w:left="360"/>
            </w:pPr>
            <w:r w:rsidRPr="0003630B">
              <w:rPr>
                <w:bCs/>
              </w:rPr>
              <w:t>Some</w:t>
            </w:r>
            <w:r w:rsidRPr="0003630B">
              <w:t xml:space="preserve"> combination of the above. </w:t>
            </w:r>
          </w:p>
          <w:p w14:paraId="3C9A9EC9" w14:textId="77777777" w:rsidR="0003630B" w:rsidRPr="0003630B" w:rsidRDefault="0003630B" w:rsidP="00AB6C96">
            <w:pPr>
              <w:pStyle w:val="BodyText"/>
              <w:widowControl/>
              <w:spacing w:after="0"/>
            </w:pPr>
            <w:r w:rsidRPr="0003630B">
              <w:t>See Chapter 5 for more information on the IPMVP options.</w:t>
            </w:r>
          </w:p>
        </w:tc>
      </w:tr>
      <w:tr w:rsidR="00432A67" w:rsidRPr="0003630B" w14:paraId="67BC81A7" w14:textId="77777777" w:rsidTr="000C7826">
        <w:trPr>
          <w:cantSplit/>
        </w:trPr>
        <w:tc>
          <w:tcPr>
            <w:tcW w:w="8640" w:type="dxa"/>
          </w:tcPr>
          <w:p w14:paraId="5AC236C8" w14:textId="77777777" w:rsidR="00432A67" w:rsidRPr="00B8634A" w:rsidRDefault="00432A67" w:rsidP="00AB6C96">
            <w:pPr>
              <w:pStyle w:val="BodyText"/>
              <w:widowControl/>
              <w:spacing w:after="0"/>
              <w:rPr>
                <w:b/>
                <w:i/>
                <w:highlight w:val="yellow"/>
              </w:rPr>
            </w:pPr>
            <w:r w:rsidRPr="004117E6">
              <w:rPr>
                <w:b/>
                <w:i/>
              </w:rPr>
              <w:t xml:space="preserve">Naturally occurring market adoption (NOMAD): </w:t>
            </w:r>
            <w:r w:rsidRPr="004117E6">
              <w:t>proportion of savings or application of measures equivalent to the code that would have taken place in the market even if the code had not been adopted.</w:t>
            </w:r>
          </w:p>
        </w:tc>
      </w:tr>
      <w:tr w:rsidR="00432A67" w:rsidRPr="0003630B" w14:paraId="76945C8C" w14:textId="77777777" w:rsidTr="000C7826">
        <w:trPr>
          <w:cantSplit/>
        </w:trPr>
        <w:tc>
          <w:tcPr>
            <w:tcW w:w="8640" w:type="dxa"/>
          </w:tcPr>
          <w:p w14:paraId="45C6CC31" w14:textId="77777777" w:rsidR="00432A67" w:rsidRPr="00432A67" w:rsidRDefault="00432A67" w:rsidP="00AB6C96">
            <w:pPr>
              <w:pStyle w:val="BodyText"/>
              <w:widowControl/>
              <w:spacing w:after="0"/>
              <w:rPr>
                <w:b/>
                <w:i/>
              </w:rPr>
            </w:pPr>
            <w:r w:rsidRPr="004117E6">
              <w:rPr>
                <w:b/>
                <w:i/>
              </w:rPr>
              <w:t>Net savings:</w:t>
            </w:r>
            <w:r>
              <w:rPr>
                <w:b/>
                <w:i/>
              </w:rPr>
              <w:t xml:space="preserve"> </w:t>
            </w:r>
            <w:r>
              <w:t>c</w:t>
            </w:r>
            <w:r w:rsidRPr="001E1869">
              <w:t>hange in energy consumption and/or demand that is attributable to a particular energy efficiency program. This change in energy use and/or demand may include, implicitly or explicitly, consideration of factors such as free ridership, participant and non-participant spillover, and induced market effects. These factors may be considered in how a baseline is defined (e.g., common practice) and/or in adjustments to gross savings values.</w:t>
            </w:r>
          </w:p>
        </w:tc>
      </w:tr>
      <w:tr w:rsidR="00432A67" w:rsidRPr="0003630B" w14:paraId="47AFE6F5" w14:textId="77777777" w:rsidTr="000C7826">
        <w:trPr>
          <w:cantSplit/>
        </w:trPr>
        <w:tc>
          <w:tcPr>
            <w:tcW w:w="8640" w:type="dxa"/>
          </w:tcPr>
          <w:p w14:paraId="34AF6484" w14:textId="77777777" w:rsidR="00432A67" w:rsidRPr="00432A67" w:rsidRDefault="00432A67" w:rsidP="00AB6C96">
            <w:pPr>
              <w:pStyle w:val="BodyText"/>
              <w:widowControl/>
              <w:spacing w:after="0"/>
              <w:rPr>
                <w:b/>
                <w:i/>
              </w:rPr>
            </w:pPr>
            <w:r w:rsidRPr="004117E6">
              <w:rPr>
                <w:b/>
                <w:i/>
              </w:rPr>
              <w:lastRenderedPageBreak/>
              <w:t>Random error:</w:t>
            </w:r>
            <w:r>
              <w:t xml:space="preserve"> </w:t>
            </w:r>
            <w:r w:rsidRPr="004117E6">
              <w:t>error occurring by “chance” that may cause the savings estimates to be inconsistently overstated or understated. Random errors include an observed change in energy use due to unaccounted-for factors that affect energy use.</w:t>
            </w:r>
          </w:p>
        </w:tc>
      </w:tr>
      <w:tr w:rsidR="001B0EA4" w:rsidRPr="0003630B" w14:paraId="167281E9" w14:textId="77777777" w:rsidTr="000C7826">
        <w:trPr>
          <w:cantSplit/>
        </w:trPr>
        <w:tc>
          <w:tcPr>
            <w:tcW w:w="8640" w:type="dxa"/>
          </w:tcPr>
          <w:p w14:paraId="423C1806" w14:textId="77777777" w:rsidR="0003630B" w:rsidRPr="0003630B" w:rsidRDefault="0003630B" w:rsidP="00AB6C96">
            <w:pPr>
              <w:pStyle w:val="BodyText"/>
              <w:widowControl/>
              <w:spacing w:after="0"/>
              <w:rPr>
                <w:b/>
              </w:rPr>
            </w:pPr>
            <w:r w:rsidRPr="0003630B">
              <w:rPr>
                <w:b/>
                <w:i/>
              </w:rPr>
              <w:t>Realization rate:</w:t>
            </w:r>
            <w:r w:rsidRPr="0003630B">
              <w:rPr>
                <w:b/>
              </w:rPr>
              <w:t xml:space="preserve"> </w:t>
            </w:r>
            <w:r w:rsidRPr="0003630B">
              <w:t xml:space="preserve">the ratio of electricity savings an independent third party determines divided by the savings claimed by the measure, project, or program provider(s). The ratio’s deviation from 1.0 can be due to (1) adjustments for data errors, (2) differences in implemented measure counts or other claimed information because of verification activities, or (3) other </w:t>
            </w:r>
            <w:r w:rsidR="00432A67">
              <w:t xml:space="preserve">performance </w:t>
            </w:r>
            <w:r w:rsidR="00432A67" w:rsidRPr="0003630B">
              <w:t xml:space="preserve">differences revealed through the M&amp;V </w:t>
            </w:r>
            <w:r w:rsidR="00432A67">
              <w:t>activities</w:t>
            </w:r>
            <w:r w:rsidR="00432A67" w:rsidRPr="0003630B">
              <w:t>.</w:t>
            </w:r>
          </w:p>
        </w:tc>
      </w:tr>
      <w:tr w:rsidR="00432A67" w:rsidRPr="0003630B" w14:paraId="795A135D" w14:textId="77777777" w:rsidTr="000C7826">
        <w:trPr>
          <w:cantSplit/>
        </w:trPr>
        <w:tc>
          <w:tcPr>
            <w:tcW w:w="8640" w:type="dxa"/>
          </w:tcPr>
          <w:p w14:paraId="41EE986B" w14:textId="77777777" w:rsidR="00432A67" w:rsidRPr="0003630B" w:rsidRDefault="00432A67" w:rsidP="00AB6C96">
            <w:pPr>
              <w:pStyle w:val="BodyText"/>
              <w:widowControl/>
              <w:spacing w:after="0"/>
              <w:rPr>
                <w:b/>
                <w:i/>
              </w:rPr>
            </w:pPr>
            <w:r>
              <w:rPr>
                <w:b/>
                <w:i/>
              </w:rPr>
              <w:t xml:space="preserve">Reliability: </w:t>
            </w:r>
            <w:r w:rsidRPr="004117E6">
              <w:t>quality of a measurement process that would produce similar results on (1) repeated observations of the same condition or event, or (2) multiple observations of the same condition or event by different observers. Reliability refers to the likelihood that the observations can be replicated.</w:t>
            </w:r>
          </w:p>
        </w:tc>
      </w:tr>
      <w:tr w:rsidR="001B0EA4" w:rsidRPr="0003630B" w14:paraId="68215A7C" w14:textId="77777777" w:rsidTr="000C7826">
        <w:trPr>
          <w:cantSplit/>
        </w:trPr>
        <w:tc>
          <w:tcPr>
            <w:tcW w:w="8640" w:type="dxa"/>
          </w:tcPr>
          <w:p w14:paraId="0FA5D677" w14:textId="77777777" w:rsidR="0003630B" w:rsidRPr="0003630B" w:rsidRDefault="0003630B" w:rsidP="00EE6CC1">
            <w:pPr>
              <w:pStyle w:val="BodyText"/>
              <w:widowControl/>
              <w:spacing w:after="0"/>
            </w:pPr>
            <w:r w:rsidRPr="0003630B">
              <w:rPr>
                <w:b/>
                <w:i/>
              </w:rPr>
              <w:t>Reporting year cumulative savings:</w:t>
            </w:r>
            <w:r w:rsidRPr="0003630B">
              <w:t xml:space="preserve"> the amount of electricity savings quantified and verified as a result of EE activities in the reporting year from both (a) EE activities operating for the first time in the reporting year and (b) EE activities initiated in prior years and still in effect; reported in annual megawatt hours, </w:t>
            </w:r>
            <w:proofErr w:type="spellStart"/>
            <w:r w:rsidRPr="0003630B">
              <w:t>MWh</w:t>
            </w:r>
            <w:proofErr w:type="spellEnd"/>
            <w:r w:rsidRPr="0003630B">
              <w:t xml:space="preserve">. </w:t>
            </w:r>
          </w:p>
        </w:tc>
      </w:tr>
      <w:tr w:rsidR="001B0EA4" w:rsidRPr="0003630B" w14:paraId="2BD0E520" w14:textId="77777777" w:rsidTr="000C7826">
        <w:trPr>
          <w:cantSplit/>
        </w:trPr>
        <w:tc>
          <w:tcPr>
            <w:tcW w:w="8640" w:type="dxa"/>
          </w:tcPr>
          <w:p w14:paraId="62993D48" w14:textId="77777777" w:rsidR="0003630B" w:rsidRPr="0003630B" w:rsidRDefault="0003630B" w:rsidP="00EE6CC1">
            <w:pPr>
              <w:pStyle w:val="BodyText"/>
              <w:widowControl/>
              <w:spacing w:after="0"/>
            </w:pPr>
            <w:r w:rsidRPr="0003630B">
              <w:rPr>
                <w:b/>
                <w:i/>
              </w:rPr>
              <w:t>Reporting year incremental savings:</w:t>
            </w:r>
            <w:r w:rsidRPr="0003630B">
              <w:t xml:space="preserve"> the amount of electricity savings quantified and verified </w:t>
            </w:r>
            <w:r w:rsidR="00EE6CC1">
              <w:t>as a result</w:t>
            </w:r>
            <w:r w:rsidRPr="0003630B">
              <w:t xml:space="preserve"> of EE activities operating for the first time in the reporting year; reported in annual megawatt hours, </w:t>
            </w:r>
            <w:proofErr w:type="spellStart"/>
            <w:r w:rsidRPr="0003630B">
              <w:t>MWh</w:t>
            </w:r>
            <w:proofErr w:type="spellEnd"/>
            <w:r w:rsidRPr="0003630B">
              <w:t xml:space="preserve">. </w:t>
            </w:r>
          </w:p>
        </w:tc>
      </w:tr>
      <w:tr w:rsidR="001B0EA4" w:rsidRPr="0003630B" w14:paraId="05EFF4E3" w14:textId="77777777" w:rsidTr="00432A67">
        <w:trPr>
          <w:cantSplit/>
          <w:trHeight w:val="1415"/>
        </w:trPr>
        <w:tc>
          <w:tcPr>
            <w:tcW w:w="8640" w:type="dxa"/>
          </w:tcPr>
          <w:p w14:paraId="07F2BAAB" w14:textId="77777777" w:rsidR="0003630B" w:rsidRPr="0003630B" w:rsidRDefault="0003630B" w:rsidP="00432A67">
            <w:pPr>
              <w:pStyle w:val="BodyText"/>
              <w:widowControl/>
              <w:spacing w:after="0"/>
              <w:rPr>
                <w:rFonts w:asciiTheme="majorHAnsi" w:eastAsia="Times New Roman" w:hAnsiTheme="majorHAnsi" w:cstheme="majorHAnsi"/>
                <w:b/>
                <w:szCs w:val="22"/>
              </w:rPr>
            </w:pPr>
            <w:r w:rsidRPr="0003630B">
              <w:rPr>
                <w:b/>
                <w:i/>
              </w:rPr>
              <w:t>Rigor:</w:t>
            </w:r>
            <w:r w:rsidRPr="0003630B">
              <w:t xml:space="preserve"> </w:t>
            </w:r>
            <w:r w:rsidR="00EE6CC1" w:rsidRPr="0003630B">
              <w:t xml:space="preserve">level of effort expended to minimize uncertainty </w:t>
            </w:r>
            <w:r w:rsidR="00EE6CC1">
              <w:t>in savings estimates</w:t>
            </w:r>
            <w:r w:rsidR="00EE6CC1" w:rsidRPr="0003630B">
              <w:t xml:space="preserve"> such as sampling</w:t>
            </w:r>
            <w:r w:rsidRPr="0003630B">
              <w:t xml:space="preserve"> error and bias. The higher the level of rigor, the more confident one is that the results of the EM&amp;V activities are both accurate and precise. Rigor may be quantified or described with metrics for reliability and certainty, such as in terms of reported value confidence and precision.</w:t>
            </w:r>
          </w:p>
        </w:tc>
      </w:tr>
      <w:tr w:rsidR="001B0EA4" w:rsidRPr="0003630B" w14:paraId="45F528B3" w14:textId="77777777" w:rsidTr="000C7826">
        <w:trPr>
          <w:cantSplit/>
        </w:trPr>
        <w:tc>
          <w:tcPr>
            <w:tcW w:w="8640" w:type="dxa"/>
          </w:tcPr>
          <w:p w14:paraId="619255DF" w14:textId="77777777" w:rsidR="0003630B" w:rsidRPr="0003630B" w:rsidRDefault="0003630B" w:rsidP="00AB6C96">
            <w:pPr>
              <w:pStyle w:val="BodyText"/>
              <w:widowControl/>
              <w:spacing w:after="0"/>
            </w:pPr>
            <w:r w:rsidRPr="0003630B">
              <w:rPr>
                <w:b/>
                <w:i/>
              </w:rPr>
              <w:t xml:space="preserve">Spillover: </w:t>
            </w:r>
            <w:r w:rsidR="009E7639" w:rsidRPr="0003630B">
              <w:t xml:space="preserve">additional reductions in energy consumption that are due to </w:t>
            </w:r>
            <w:r w:rsidR="009E7639">
              <w:t xml:space="preserve">an EE </w:t>
            </w:r>
            <w:r w:rsidR="009E7639" w:rsidRPr="0003630B">
              <w:t>program</w:t>
            </w:r>
            <w:r w:rsidR="009E7639">
              <w:t>’s</w:t>
            </w:r>
            <w:r w:rsidR="009E7639" w:rsidRPr="0003630B">
              <w:t xml:space="preserve"> influences beyond those directly associated with </w:t>
            </w:r>
            <w:r w:rsidR="009E7639">
              <w:t>the installed EE measures</w:t>
            </w:r>
            <w:r w:rsidR="009E7639" w:rsidRPr="0003630B">
              <w:t>—these include participant and nonparticipant spillover.</w:t>
            </w:r>
            <w:r w:rsidRPr="0003630B">
              <w:t xml:space="preserve"> </w:t>
            </w:r>
          </w:p>
        </w:tc>
      </w:tr>
      <w:tr w:rsidR="00432A67" w:rsidRPr="0003630B" w14:paraId="1E5AEEE3" w14:textId="77777777" w:rsidTr="000C7826">
        <w:trPr>
          <w:cantSplit/>
        </w:trPr>
        <w:tc>
          <w:tcPr>
            <w:tcW w:w="8640" w:type="dxa"/>
          </w:tcPr>
          <w:p w14:paraId="692728F3" w14:textId="77777777" w:rsidR="00432A67" w:rsidRPr="00EE05E7" w:rsidRDefault="00432A67" w:rsidP="00AB6C96">
            <w:pPr>
              <w:pStyle w:val="BodyText"/>
              <w:widowControl/>
              <w:spacing w:after="0"/>
              <w:rPr>
                <w:b/>
                <w:i/>
                <w:szCs w:val="22"/>
              </w:rPr>
            </w:pPr>
            <w:r w:rsidRPr="00EE05E7">
              <w:rPr>
                <w:b/>
                <w:i/>
              </w:rPr>
              <w:t xml:space="preserve">Systematic error: </w:t>
            </w:r>
            <w:r w:rsidRPr="00EE05E7">
              <w:t>inaccuracies in the same direction, causing savings values to be consistently either overstated or understated. Systematic errors (also referred to as bias) may result from incorrect assumptions, a methodological issue, or a flawed reporting system.</w:t>
            </w:r>
          </w:p>
        </w:tc>
      </w:tr>
      <w:tr w:rsidR="00432A67" w:rsidRPr="0003630B" w14:paraId="73D2E3B2" w14:textId="77777777" w:rsidTr="000C7826">
        <w:trPr>
          <w:cantSplit/>
        </w:trPr>
        <w:tc>
          <w:tcPr>
            <w:tcW w:w="8640" w:type="dxa"/>
          </w:tcPr>
          <w:p w14:paraId="218B3091" w14:textId="77777777" w:rsidR="00432A67" w:rsidRPr="0003630B" w:rsidRDefault="00432A67" w:rsidP="00AB6C96">
            <w:pPr>
              <w:pStyle w:val="BodyText"/>
              <w:widowControl/>
              <w:spacing w:after="0"/>
              <w:rPr>
                <w:b/>
                <w:i/>
              </w:rPr>
            </w:pPr>
            <w:r>
              <w:rPr>
                <w:b/>
                <w:i/>
              </w:rPr>
              <w:t xml:space="preserve">Technical reference manual (TRM): </w:t>
            </w:r>
            <w:r w:rsidRPr="004117E6">
              <w:t>resource document that includes information used in program planning and reporting of energy efficiency programs. It can include savings values for measures, engineering algorithms to calculate savings, impact factors to be applied to calculated savings (e.g., net-to-gross ratio values), source documentation, specified assumptions, and other relevant material to support the calculation of measure and program savings—and the application of such values and algorithms in appropriate applications.</w:t>
            </w:r>
          </w:p>
        </w:tc>
      </w:tr>
      <w:tr w:rsidR="001B0EA4" w:rsidRPr="0003630B" w14:paraId="56DB6067" w14:textId="77777777" w:rsidTr="000C7826">
        <w:trPr>
          <w:cantSplit/>
        </w:trPr>
        <w:tc>
          <w:tcPr>
            <w:tcW w:w="8640" w:type="dxa"/>
          </w:tcPr>
          <w:p w14:paraId="7C760644" w14:textId="77777777" w:rsidR="0003630B" w:rsidRPr="0003630B" w:rsidRDefault="0003630B" w:rsidP="00AB6C96">
            <w:pPr>
              <w:pStyle w:val="BodyText"/>
              <w:widowControl/>
              <w:spacing w:after="0"/>
            </w:pPr>
            <w:r w:rsidRPr="0003630B">
              <w:rPr>
                <w:b/>
                <w:i/>
              </w:rPr>
              <w:lastRenderedPageBreak/>
              <w:t>Verification:</w:t>
            </w:r>
            <w:r w:rsidRPr="0003630B">
              <w:t xml:space="preserve"> </w:t>
            </w:r>
            <w:r w:rsidR="00432A67" w:rsidRPr="0003630B">
              <w:t xml:space="preserve">an assessment </w:t>
            </w:r>
            <w:r w:rsidR="00432A67">
              <w:t xml:space="preserve">by an independent entity </w:t>
            </w:r>
            <w:r w:rsidR="00432A67" w:rsidRPr="0003630B">
              <w:t xml:space="preserve">to ensure that the EE measures have been installed correctly and could generate the predicted savings. Verification may include assessing baseline conditions and confirming that the EE measures are operating according to their design intent. </w:t>
            </w:r>
            <w:r w:rsidR="00432A67">
              <w:t>S</w:t>
            </w:r>
            <w:r w:rsidR="00432A67" w:rsidRPr="0003630B">
              <w:t xml:space="preserve">ite inspections, phone and mail surveys, and </w:t>
            </w:r>
            <w:r w:rsidR="00432A67">
              <w:t xml:space="preserve">desk </w:t>
            </w:r>
            <w:r w:rsidR="00432A67" w:rsidRPr="0003630B">
              <w:t xml:space="preserve">review of </w:t>
            </w:r>
            <w:r w:rsidR="00432A67">
              <w:t>program</w:t>
            </w:r>
            <w:r w:rsidR="00432A67" w:rsidRPr="0003630B">
              <w:t xml:space="preserve"> documentation are typical verification activities.</w:t>
            </w:r>
          </w:p>
        </w:tc>
      </w:tr>
    </w:tbl>
    <w:p w14:paraId="390E3971" w14:textId="77777777" w:rsidR="00975EC6" w:rsidRDefault="00975EC6" w:rsidP="00AB6C96">
      <w:pPr>
        <w:pStyle w:val="BulletLevel1"/>
        <w:sectPr w:rsidR="00975EC6" w:rsidSect="00AD3C72">
          <w:pgSz w:w="12240" w:h="15840"/>
          <w:pgMar w:top="1440" w:right="1440" w:bottom="1440" w:left="1440" w:header="720" w:footer="720" w:gutter="0"/>
          <w:pgNumType w:start="1" w:chapStyle="6"/>
          <w:cols w:space="720"/>
        </w:sectPr>
      </w:pPr>
    </w:p>
    <w:p w14:paraId="71BE7EB6" w14:textId="792DCC31" w:rsidR="00F82B6A" w:rsidRDefault="00AA1B0D" w:rsidP="00EB0AD1">
      <w:pPr>
        <w:pStyle w:val="Heading6"/>
        <w:jc w:val="left"/>
      </w:pPr>
      <w:bookmarkStart w:id="725" w:name="_Toc426022024"/>
      <w:bookmarkStart w:id="726" w:name="_Toc426023356"/>
      <w:bookmarkStart w:id="727" w:name="_Toc426031940"/>
      <w:bookmarkStart w:id="728" w:name="_Toc426040129"/>
      <w:bookmarkStart w:id="729" w:name="_Toc426040215"/>
      <w:bookmarkStart w:id="730" w:name="_Toc426041684"/>
      <w:bookmarkStart w:id="731" w:name="_Toc426044677"/>
      <w:bookmarkEnd w:id="619"/>
      <w:bookmarkEnd w:id="725"/>
      <w:bookmarkEnd w:id="726"/>
      <w:bookmarkEnd w:id="727"/>
      <w:bookmarkEnd w:id="728"/>
      <w:bookmarkEnd w:id="729"/>
      <w:bookmarkEnd w:id="730"/>
      <w:r>
        <w:lastRenderedPageBreak/>
        <w:t xml:space="preserve">EM&amp;V Methods for </w:t>
      </w:r>
      <w:r w:rsidR="008F1CC5">
        <w:t xml:space="preserve">Common </w:t>
      </w:r>
      <w:r w:rsidR="00401E7B">
        <w:t>EE Programs, Projects, and Measures</w:t>
      </w:r>
      <w:r w:rsidR="00EB0AD1">
        <w:t>: Best Practices and Resources</w:t>
      </w:r>
      <w:bookmarkEnd w:id="731"/>
    </w:p>
    <w:p w14:paraId="0D04C0CF" w14:textId="46C0E74A" w:rsidR="002B0E4E" w:rsidRPr="002B0E4E" w:rsidRDefault="00E1316B" w:rsidP="00E1316B">
      <w:pPr>
        <w:pStyle w:val="Heading7"/>
        <w:numPr>
          <w:ilvl w:val="0"/>
          <w:numId w:val="0"/>
        </w:numPr>
      </w:pPr>
      <w:r>
        <w:rPr>
          <w:rFonts w:eastAsia="MS Mincho" w:cstheme="majorHAnsi"/>
          <w:b w:val="0"/>
        </w:rPr>
        <w:t xml:space="preserve">This appendix discusses existing best practices for </w:t>
      </w:r>
      <w:r w:rsidR="002B0E4E" w:rsidRPr="00A7086F">
        <w:rPr>
          <w:rFonts w:eastAsia="MS Mincho" w:cstheme="majorHAnsi"/>
          <w:b w:val="0"/>
        </w:rPr>
        <w:t xml:space="preserve">quantify and verify savings, with relevance for </w:t>
      </w:r>
      <w:r>
        <w:rPr>
          <w:rFonts w:eastAsia="MS Mincho" w:cstheme="majorHAnsi"/>
          <w:b w:val="0"/>
        </w:rPr>
        <w:t xml:space="preserve">the processes of </w:t>
      </w:r>
      <w:r w:rsidR="002B0E4E" w:rsidRPr="00A7086F">
        <w:rPr>
          <w:rFonts w:eastAsia="MS Mincho" w:cstheme="majorHAnsi"/>
          <w:b w:val="0"/>
        </w:rPr>
        <w:t xml:space="preserve">EM&amp;V planning, implementation, and ex-post documentation. The purpose of </w:t>
      </w:r>
      <w:r>
        <w:rPr>
          <w:rFonts w:eastAsia="MS Mincho" w:cstheme="majorHAnsi"/>
          <w:b w:val="0"/>
        </w:rPr>
        <w:t>A</w:t>
      </w:r>
      <w:r w:rsidR="002B0E4E" w:rsidRPr="00A7086F">
        <w:rPr>
          <w:rFonts w:eastAsia="MS Mincho" w:cstheme="majorHAnsi"/>
          <w:b w:val="0"/>
        </w:rPr>
        <w:t xml:space="preserve">ppendix </w:t>
      </w:r>
      <w:r>
        <w:rPr>
          <w:rFonts w:eastAsia="MS Mincho" w:cstheme="majorHAnsi"/>
          <w:b w:val="0"/>
        </w:rPr>
        <w:t xml:space="preserve">C </w:t>
      </w:r>
      <w:r w:rsidR="002B0E4E" w:rsidRPr="00A7086F">
        <w:rPr>
          <w:rFonts w:eastAsia="MS Mincho" w:cstheme="majorHAnsi"/>
          <w:b w:val="0"/>
        </w:rPr>
        <w:t xml:space="preserve">is to provide </w:t>
      </w:r>
      <w:r>
        <w:rPr>
          <w:rFonts w:eastAsia="MS Mincho" w:cstheme="majorHAnsi"/>
          <w:b w:val="0"/>
        </w:rPr>
        <w:t xml:space="preserve">illustrative </w:t>
      </w:r>
      <w:r w:rsidR="002B0E4E" w:rsidRPr="00A7086F">
        <w:rPr>
          <w:rFonts w:eastAsia="MS Mincho" w:cstheme="majorHAnsi"/>
          <w:b w:val="0"/>
        </w:rPr>
        <w:t xml:space="preserve">examples </w:t>
      </w:r>
      <w:r>
        <w:rPr>
          <w:rFonts w:eastAsia="MS Mincho" w:cstheme="majorHAnsi"/>
          <w:b w:val="0"/>
        </w:rPr>
        <w:t xml:space="preserve">of how EE savings can be </w:t>
      </w:r>
      <w:r w:rsidR="002B0E4E" w:rsidRPr="00A7086F">
        <w:rPr>
          <w:rFonts w:eastAsia="MS Mincho" w:cstheme="majorHAnsi"/>
          <w:b w:val="0"/>
        </w:rPr>
        <w:t xml:space="preserve">quantified </w:t>
      </w:r>
      <w:r>
        <w:rPr>
          <w:rFonts w:eastAsia="MS Mincho" w:cstheme="majorHAnsi"/>
          <w:b w:val="0"/>
        </w:rPr>
        <w:t xml:space="preserve">and verified </w:t>
      </w:r>
      <w:r w:rsidR="002B0E4E" w:rsidRPr="00A7086F">
        <w:rPr>
          <w:rFonts w:eastAsia="MS Mincho" w:cstheme="majorHAnsi"/>
          <w:b w:val="0"/>
        </w:rPr>
        <w:t xml:space="preserve">at the </w:t>
      </w:r>
      <w:r>
        <w:rPr>
          <w:rFonts w:eastAsia="MS Mincho" w:cstheme="majorHAnsi"/>
          <w:b w:val="0"/>
        </w:rPr>
        <w:t xml:space="preserve">program, project, and </w:t>
      </w:r>
      <w:r w:rsidR="002B0E4E" w:rsidRPr="00A7086F">
        <w:rPr>
          <w:rFonts w:eastAsia="MS Mincho" w:cstheme="majorHAnsi"/>
          <w:b w:val="0"/>
        </w:rPr>
        <w:t xml:space="preserve">measure level, and to </w:t>
      </w:r>
      <w:r>
        <w:rPr>
          <w:rFonts w:eastAsia="MS Mincho" w:cstheme="majorHAnsi"/>
          <w:b w:val="0"/>
        </w:rPr>
        <w:t xml:space="preserve">offer associated information resources and </w:t>
      </w:r>
      <w:r w:rsidR="002B0E4E" w:rsidRPr="00A7086F">
        <w:rPr>
          <w:rFonts w:eastAsia="MS Mincho" w:cstheme="majorHAnsi"/>
          <w:b w:val="0"/>
        </w:rPr>
        <w:t xml:space="preserve">lessons </w:t>
      </w:r>
      <w:r>
        <w:rPr>
          <w:rFonts w:eastAsia="MS Mincho" w:cstheme="majorHAnsi"/>
          <w:b w:val="0"/>
        </w:rPr>
        <w:t xml:space="preserve">gained </w:t>
      </w:r>
      <w:r w:rsidR="002B0E4E" w:rsidRPr="00A7086F">
        <w:rPr>
          <w:rFonts w:eastAsia="MS Mincho" w:cstheme="majorHAnsi"/>
          <w:b w:val="0"/>
        </w:rPr>
        <w:t>from experience over the last several decades. Much of this information can</w:t>
      </w:r>
      <w:r>
        <w:rPr>
          <w:rFonts w:eastAsia="MS Mincho" w:cstheme="majorHAnsi"/>
          <w:b w:val="0"/>
        </w:rPr>
        <w:t xml:space="preserve"> similarly</w:t>
      </w:r>
      <w:r w:rsidR="002B0E4E" w:rsidRPr="00A7086F">
        <w:rPr>
          <w:rFonts w:eastAsia="MS Mincho" w:cstheme="majorHAnsi"/>
          <w:b w:val="0"/>
        </w:rPr>
        <w:t xml:space="preserve"> be applied to </w:t>
      </w:r>
      <w:r>
        <w:rPr>
          <w:rFonts w:eastAsia="MS Mincho" w:cstheme="majorHAnsi"/>
          <w:b w:val="0"/>
        </w:rPr>
        <w:t xml:space="preserve">EE programs, projects, and </w:t>
      </w:r>
      <w:r w:rsidR="002B0E4E" w:rsidRPr="00A7086F">
        <w:rPr>
          <w:rFonts w:eastAsia="MS Mincho" w:cstheme="majorHAnsi"/>
          <w:b w:val="0"/>
        </w:rPr>
        <w:t xml:space="preserve">measures </w:t>
      </w:r>
      <w:r>
        <w:rPr>
          <w:rFonts w:eastAsia="MS Mincho" w:cstheme="majorHAnsi"/>
          <w:b w:val="0"/>
        </w:rPr>
        <w:t xml:space="preserve">that </w:t>
      </w:r>
      <w:r w:rsidR="002B0E4E" w:rsidRPr="00A7086F">
        <w:rPr>
          <w:rFonts w:eastAsia="MS Mincho" w:cstheme="majorHAnsi"/>
          <w:b w:val="0"/>
        </w:rPr>
        <w:t xml:space="preserve">are not </w:t>
      </w:r>
      <w:r>
        <w:rPr>
          <w:rFonts w:eastAsia="MS Mincho" w:cstheme="majorHAnsi"/>
          <w:b w:val="0"/>
        </w:rPr>
        <w:t xml:space="preserve">explicitly </w:t>
      </w:r>
      <w:commentRangeStart w:id="732"/>
      <w:r w:rsidR="002B0E4E" w:rsidRPr="00A7086F">
        <w:rPr>
          <w:rFonts w:eastAsia="MS Mincho" w:cstheme="majorHAnsi"/>
          <w:b w:val="0"/>
        </w:rPr>
        <w:t>covered</w:t>
      </w:r>
      <w:commentRangeEnd w:id="732"/>
      <w:r w:rsidR="002B0E4E">
        <w:rPr>
          <w:rStyle w:val="CommentReference"/>
          <w:rFonts w:ascii="Times New Roman" w:eastAsiaTheme="minorEastAsia" w:hAnsi="Times New Roman" w:cstheme="minorBidi"/>
          <w:b w:val="0"/>
          <w:iCs w:val="0"/>
        </w:rPr>
        <w:commentReference w:id="732"/>
      </w:r>
      <w:r w:rsidR="002B0E4E" w:rsidRPr="00A7086F">
        <w:rPr>
          <w:rFonts w:eastAsia="MS Mincho" w:cstheme="majorHAnsi"/>
          <w:b w:val="0"/>
        </w:rPr>
        <w:t xml:space="preserve">. </w:t>
      </w:r>
    </w:p>
    <w:p w14:paraId="34100414" w14:textId="27750947" w:rsidR="008F1CC5" w:rsidRPr="000D6A5D" w:rsidRDefault="00A7086F" w:rsidP="000A20EF">
      <w:pPr>
        <w:pStyle w:val="Heading7"/>
        <w:rPr>
          <w:rFonts w:cstheme="majorHAnsi"/>
        </w:rPr>
      </w:pPr>
      <w:r>
        <w:rPr>
          <w:rFonts w:cstheme="majorHAnsi"/>
        </w:rPr>
        <w:t xml:space="preserve">EM&amp;V Methods </w:t>
      </w:r>
      <w:r w:rsidR="002B0E4E">
        <w:rPr>
          <w:rFonts w:cstheme="majorHAnsi"/>
        </w:rPr>
        <w:t>for Select EE Program Types</w:t>
      </w:r>
    </w:p>
    <w:p w14:paraId="452F3C2E" w14:textId="32DDDA16" w:rsidR="00401E7B" w:rsidRDefault="00401E7B" w:rsidP="001C6F4E">
      <w:pPr>
        <w:pStyle w:val="BodyText"/>
        <w:widowControl/>
        <w:rPr>
          <w:szCs w:val="22"/>
        </w:rPr>
      </w:pPr>
      <w:r>
        <w:rPr>
          <w:szCs w:val="22"/>
        </w:rPr>
        <w:t xml:space="preserve">Table C-1, </w:t>
      </w:r>
      <w:r w:rsidRPr="00401E7B">
        <w:rPr>
          <w:i/>
          <w:szCs w:val="22"/>
        </w:rPr>
        <w:t>Common EM&amp;V Methods and Activities for Typical Consumer-Funded EE Programs</w:t>
      </w:r>
      <w:r>
        <w:rPr>
          <w:szCs w:val="22"/>
        </w:rPr>
        <w:t xml:space="preserve">, </w:t>
      </w:r>
      <w:r w:rsidR="00E1316B">
        <w:rPr>
          <w:szCs w:val="22"/>
        </w:rPr>
        <w:t>identifies</w:t>
      </w:r>
      <w:r>
        <w:rPr>
          <w:szCs w:val="22"/>
        </w:rPr>
        <w:t xml:space="preserve"> the actual evaluation activities that are </w:t>
      </w:r>
      <w:r w:rsidR="00E1316B">
        <w:rPr>
          <w:szCs w:val="22"/>
        </w:rPr>
        <w:t xml:space="preserve">typically </w:t>
      </w:r>
      <w:r>
        <w:rPr>
          <w:szCs w:val="22"/>
        </w:rPr>
        <w:t xml:space="preserve">undertaken when a particular EM&amp;V method is selected and applied.  This table is offered as an information resource, as applied to most of the common EE programs in use today.  It does not cover all program types and circumstances, </w:t>
      </w:r>
      <w:r w:rsidR="00E1316B">
        <w:rPr>
          <w:szCs w:val="22"/>
        </w:rPr>
        <w:t xml:space="preserve">does not prescribe one way to conduct EM&amp;V (i.e., </w:t>
      </w:r>
      <w:r>
        <w:rPr>
          <w:szCs w:val="22"/>
        </w:rPr>
        <w:t>there are valid and appropriate reasons why a certain situation may call for a different method or set of EM&amp;V activities</w:t>
      </w:r>
      <w:r w:rsidR="00E1316B">
        <w:rPr>
          <w:szCs w:val="22"/>
        </w:rPr>
        <w:t>)</w:t>
      </w:r>
      <w:r>
        <w:rPr>
          <w:szCs w:val="22"/>
        </w:rPr>
        <w:t>.</w:t>
      </w:r>
    </w:p>
    <w:p w14:paraId="672F7CC9" w14:textId="77777777" w:rsidR="001A5A18" w:rsidRPr="00965355" w:rsidRDefault="001A5A18" w:rsidP="0097148B">
      <w:pPr>
        <w:spacing w:after="240"/>
        <w:jc w:val="center"/>
        <w:rPr>
          <w:b/>
        </w:rPr>
      </w:pPr>
      <w:bookmarkStart w:id="733" w:name="_Toc292140836"/>
      <w:r>
        <w:rPr>
          <w:rFonts w:eastAsia="Times New Roman" w:cs="Calibri"/>
          <w:b/>
          <w:color w:val="000000"/>
        </w:rPr>
        <w:t xml:space="preserve">Table C-1. </w:t>
      </w:r>
      <w:r w:rsidRPr="00965355">
        <w:rPr>
          <w:rFonts w:eastAsia="Times New Roman" w:cs="Calibri"/>
          <w:b/>
          <w:color w:val="000000"/>
        </w:rPr>
        <w:t>Common E</w:t>
      </w:r>
      <w:r>
        <w:rPr>
          <w:rFonts w:eastAsia="Times New Roman" w:cs="Calibri"/>
          <w:b/>
          <w:color w:val="000000"/>
        </w:rPr>
        <w:t xml:space="preserve">M&amp;V </w:t>
      </w:r>
      <w:r w:rsidRPr="00965355">
        <w:rPr>
          <w:rFonts w:eastAsia="Times New Roman" w:cs="Calibri"/>
          <w:b/>
          <w:color w:val="000000"/>
        </w:rPr>
        <w:t xml:space="preserve">Methods and Activities for Typical </w:t>
      </w:r>
      <w:r>
        <w:rPr>
          <w:rFonts w:eastAsia="Times New Roman" w:cs="Calibri"/>
          <w:b/>
          <w:color w:val="000000"/>
        </w:rPr>
        <w:t>Consumer-Funded EE P</w:t>
      </w:r>
      <w:r w:rsidRPr="00965355">
        <w:rPr>
          <w:rFonts w:eastAsia="Times New Roman" w:cs="Calibri"/>
          <w:b/>
          <w:color w:val="000000"/>
        </w:rPr>
        <w:t>rograms</w:t>
      </w:r>
    </w:p>
    <w:tbl>
      <w:tblPr>
        <w:tblW w:w="5750" w:type="pct"/>
        <w:jc w:val="center"/>
        <w:tblLayout w:type="fixed"/>
        <w:tblCellMar>
          <w:top w:w="58" w:type="dxa"/>
          <w:left w:w="58" w:type="dxa"/>
          <w:bottom w:w="58" w:type="dxa"/>
          <w:right w:w="58" w:type="dxa"/>
        </w:tblCellMar>
        <w:tblLook w:val="04A0" w:firstRow="1" w:lastRow="0" w:firstColumn="1" w:lastColumn="0" w:noHBand="0" w:noVBand="1"/>
      </w:tblPr>
      <w:tblGrid>
        <w:gridCol w:w="1821"/>
        <w:gridCol w:w="370"/>
        <w:gridCol w:w="370"/>
        <w:gridCol w:w="370"/>
        <w:gridCol w:w="2516"/>
        <w:gridCol w:w="2884"/>
        <w:gridCol w:w="2422"/>
      </w:tblGrid>
      <w:tr w:rsidR="001A5A18" w:rsidRPr="00AC2481" w14:paraId="0EE2BF05" w14:textId="77777777" w:rsidTr="003660A6">
        <w:trPr>
          <w:cantSplit/>
          <w:trHeight w:val="475"/>
          <w:tblHeader/>
          <w:jc w:val="center"/>
        </w:trPr>
        <w:tc>
          <w:tcPr>
            <w:tcW w:w="847" w:type="pct"/>
            <w:vMerge w:val="restart"/>
            <w:tcBorders>
              <w:top w:val="single" w:sz="4" w:space="0" w:color="auto"/>
              <w:left w:val="single" w:sz="4" w:space="0" w:color="auto"/>
              <w:bottom w:val="single" w:sz="4" w:space="0" w:color="auto"/>
              <w:right w:val="single" w:sz="4" w:space="0" w:color="auto"/>
            </w:tcBorders>
            <w:shd w:val="clear" w:color="auto" w:fill="5D97FF"/>
            <w:noWrap/>
            <w:vAlign w:val="center"/>
            <w:hideMark/>
          </w:tcPr>
          <w:p w14:paraId="23D32155" w14:textId="77777777" w:rsidR="001A5A18" w:rsidRPr="00AC2481" w:rsidRDefault="001A5A18" w:rsidP="0097148B">
            <w:pPr>
              <w:jc w:val="center"/>
              <w:rPr>
                <w:rFonts w:asciiTheme="majorHAnsi" w:eastAsia="Times New Roman" w:hAnsiTheme="majorHAnsi" w:cs="Calibri"/>
                <w:b/>
                <w:color w:val="FFFFFF" w:themeColor="background1"/>
                <w:sz w:val="20"/>
                <w:szCs w:val="20"/>
              </w:rPr>
            </w:pPr>
            <w:r w:rsidRPr="00AC2481">
              <w:rPr>
                <w:rFonts w:asciiTheme="majorHAnsi" w:eastAsia="Times New Roman" w:hAnsiTheme="majorHAnsi" w:cs="Calibri"/>
                <w:b/>
                <w:color w:val="FFFFFF" w:themeColor="background1"/>
                <w:sz w:val="20"/>
                <w:szCs w:val="20"/>
              </w:rPr>
              <w:t>Type of Energy Efficiency Program</w:t>
            </w:r>
          </w:p>
        </w:tc>
        <w:tc>
          <w:tcPr>
            <w:tcW w:w="516" w:type="pct"/>
            <w:gridSpan w:val="3"/>
            <w:tcBorders>
              <w:top w:val="single" w:sz="4" w:space="0" w:color="auto"/>
              <w:left w:val="single" w:sz="4" w:space="0" w:color="auto"/>
              <w:bottom w:val="single" w:sz="4" w:space="0" w:color="auto"/>
              <w:right w:val="single" w:sz="4" w:space="0" w:color="auto"/>
            </w:tcBorders>
            <w:shd w:val="clear" w:color="auto" w:fill="5D97FF"/>
            <w:vAlign w:val="bottom"/>
            <w:hideMark/>
          </w:tcPr>
          <w:p w14:paraId="75B28C72" w14:textId="77777777" w:rsidR="001A5A18" w:rsidRPr="00AC2481" w:rsidRDefault="001A5A18" w:rsidP="0097148B">
            <w:pPr>
              <w:jc w:val="center"/>
              <w:rPr>
                <w:rFonts w:asciiTheme="majorHAnsi" w:eastAsia="Times New Roman" w:hAnsiTheme="majorHAnsi" w:cs="Calibri"/>
                <w:b/>
                <w:color w:val="FFFFFF" w:themeColor="background1"/>
                <w:sz w:val="20"/>
                <w:szCs w:val="20"/>
              </w:rPr>
            </w:pPr>
            <w:r w:rsidRPr="00AC2481">
              <w:rPr>
                <w:rFonts w:asciiTheme="majorHAnsi" w:eastAsia="Times New Roman" w:hAnsiTheme="majorHAnsi" w:cs="Calibri"/>
                <w:b/>
                <w:color w:val="FFFFFF" w:themeColor="background1"/>
                <w:sz w:val="20"/>
                <w:szCs w:val="20"/>
              </w:rPr>
              <w:t>EM&amp;V Method</w:t>
            </w:r>
          </w:p>
        </w:tc>
        <w:tc>
          <w:tcPr>
            <w:tcW w:w="1170" w:type="pct"/>
            <w:vMerge w:val="restart"/>
            <w:tcBorders>
              <w:top w:val="single" w:sz="4" w:space="0" w:color="auto"/>
              <w:left w:val="single" w:sz="4" w:space="0" w:color="auto"/>
              <w:right w:val="single" w:sz="4" w:space="0" w:color="auto"/>
            </w:tcBorders>
            <w:shd w:val="clear" w:color="auto" w:fill="5D97FF"/>
            <w:noWrap/>
            <w:vAlign w:val="center"/>
            <w:hideMark/>
          </w:tcPr>
          <w:p w14:paraId="5DC2F80F" w14:textId="77777777" w:rsidR="001A5A18" w:rsidRPr="00AC2481" w:rsidRDefault="001A5A18" w:rsidP="0097148B">
            <w:pPr>
              <w:jc w:val="center"/>
              <w:rPr>
                <w:rFonts w:asciiTheme="majorHAnsi" w:eastAsia="Times New Roman" w:hAnsiTheme="majorHAnsi" w:cs="Calibri"/>
                <w:b/>
                <w:color w:val="FFFFFF" w:themeColor="background1"/>
                <w:sz w:val="20"/>
                <w:szCs w:val="20"/>
              </w:rPr>
            </w:pPr>
            <w:r w:rsidRPr="00AC2481">
              <w:rPr>
                <w:rFonts w:asciiTheme="majorHAnsi" w:eastAsia="Times New Roman" w:hAnsiTheme="majorHAnsi" w:cs="Calibri"/>
                <w:b/>
                <w:color w:val="FFFFFF" w:themeColor="background1"/>
                <w:sz w:val="20"/>
                <w:szCs w:val="20"/>
              </w:rPr>
              <w:t>Typical Evaluation Activities</w:t>
            </w:r>
          </w:p>
        </w:tc>
        <w:tc>
          <w:tcPr>
            <w:tcW w:w="1341" w:type="pct"/>
            <w:vMerge w:val="restart"/>
            <w:tcBorders>
              <w:top w:val="single" w:sz="4" w:space="0" w:color="auto"/>
              <w:left w:val="single" w:sz="4" w:space="0" w:color="auto"/>
              <w:right w:val="single" w:sz="4" w:space="0" w:color="auto"/>
            </w:tcBorders>
            <w:shd w:val="clear" w:color="auto" w:fill="5D97FF"/>
            <w:vAlign w:val="center"/>
          </w:tcPr>
          <w:p w14:paraId="1BB34107" w14:textId="77777777" w:rsidR="001A5A18" w:rsidRPr="00AC2481" w:rsidRDefault="001A5A18" w:rsidP="0097148B">
            <w:pPr>
              <w:jc w:val="center"/>
              <w:rPr>
                <w:rFonts w:asciiTheme="majorHAnsi" w:eastAsia="Times New Roman" w:hAnsiTheme="majorHAnsi" w:cs="Calibri"/>
                <w:b/>
                <w:color w:val="FFFFFF" w:themeColor="background1"/>
                <w:sz w:val="20"/>
                <w:szCs w:val="20"/>
              </w:rPr>
            </w:pPr>
            <w:r w:rsidRPr="00AC2481">
              <w:rPr>
                <w:rFonts w:asciiTheme="majorHAnsi" w:eastAsia="Times New Roman" w:hAnsiTheme="majorHAnsi" w:cs="Calibri"/>
                <w:b/>
                <w:color w:val="FFFFFF" w:themeColor="background1"/>
                <w:sz w:val="20"/>
                <w:szCs w:val="20"/>
              </w:rPr>
              <w:t>Example Guidance and References</w:t>
            </w:r>
          </w:p>
        </w:tc>
        <w:tc>
          <w:tcPr>
            <w:tcW w:w="1126" w:type="pct"/>
            <w:vMerge w:val="restart"/>
            <w:tcBorders>
              <w:top w:val="single" w:sz="4" w:space="0" w:color="auto"/>
              <w:left w:val="single" w:sz="4" w:space="0" w:color="auto"/>
              <w:right w:val="single" w:sz="4" w:space="0" w:color="auto"/>
            </w:tcBorders>
            <w:shd w:val="clear" w:color="auto" w:fill="5D97FF"/>
            <w:noWrap/>
            <w:vAlign w:val="center"/>
            <w:hideMark/>
          </w:tcPr>
          <w:p w14:paraId="46D25A65" w14:textId="77777777" w:rsidR="001A5A18" w:rsidRPr="00AC2481" w:rsidRDefault="001A5A18" w:rsidP="0097148B">
            <w:pPr>
              <w:jc w:val="center"/>
              <w:rPr>
                <w:rFonts w:asciiTheme="majorHAnsi" w:eastAsia="Times New Roman" w:hAnsiTheme="majorHAnsi" w:cs="Calibri"/>
                <w:color w:val="FFFFFF" w:themeColor="background1"/>
                <w:sz w:val="20"/>
                <w:szCs w:val="20"/>
              </w:rPr>
            </w:pPr>
            <w:r w:rsidRPr="00AC2481">
              <w:rPr>
                <w:rFonts w:asciiTheme="majorHAnsi" w:eastAsia="Times New Roman" w:hAnsiTheme="majorHAnsi" w:cs="Calibri"/>
                <w:b/>
                <w:color w:val="FFFFFF" w:themeColor="background1"/>
                <w:sz w:val="20"/>
                <w:szCs w:val="20"/>
              </w:rPr>
              <w:t>Links</w:t>
            </w:r>
          </w:p>
        </w:tc>
      </w:tr>
      <w:tr w:rsidR="001A5A18" w:rsidRPr="00AC2481" w14:paraId="266D3BC7" w14:textId="77777777" w:rsidTr="003660A6">
        <w:trPr>
          <w:trHeight w:val="1147"/>
          <w:tblHeader/>
          <w:jc w:val="center"/>
        </w:trPr>
        <w:tc>
          <w:tcPr>
            <w:tcW w:w="847" w:type="pct"/>
            <w:vMerge/>
            <w:tcBorders>
              <w:top w:val="single" w:sz="4" w:space="0" w:color="auto"/>
              <w:left w:val="single" w:sz="4" w:space="0" w:color="auto"/>
              <w:bottom w:val="single" w:sz="4" w:space="0" w:color="auto"/>
              <w:right w:val="single" w:sz="4" w:space="0" w:color="auto"/>
            </w:tcBorders>
            <w:shd w:val="clear" w:color="auto" w:fill="5D97FF"/>
            <w:vAlign w:val="bottom"/>
            <w:hideMark/>
          </w:tcPr>
          <w:p w14:paraId="2BC6CCA1" w14:textId="77777777" w:rsidR="001A5A18" w:rsidRPr="00AC2481" w:rsidRDefault="001A5A18" w:rsidP="0097148B">
            <w:pPr>
              <w:rPr>
                <w:rFonts w:asciiTheme="majorHAnsi" w:eastAsia="Times New Roman" w:hAnsiTheme="majorHAnsi" w:cs="Calibri"/>
                <w:b/>
                <w:color w:val="FFFFFF" w:themeColor="background1"/>
                <w:sz w:val="20"/>
                <w:szCs w:val="20"/>
              </w:rPr>
            </w:pPr>
          </w:p>
        </w:tc>
        <w:tc>
          <w:tcPr>
            <w:tcW w:w="172" w:type="pct"/>
            <w:tcBorders>
              <w:top w:val="single" w:sz="4" w:space="0" w:color="auto"/>
              <w:left w:val="single" w:sz="4" w:space="0" w:color="auto"/>
              <w:bottom w:val="single" w:sz="4" w:space="0" w:color="auto"/>
              <w:right w:val="single" w:sz="4" w:space="0" w:color="auto"/>
            </w:tcBorders>
            <w:shd w:val="clear" w:color="auto" w:fill="5D97FF"/>
            <w:textDirection w:val="btLr"/>
            <w:vAlign w:val="center"/>
            <w:hideMark/>
          </w:tcPr>
          <w:p w14:paraId="04A4FD9B" w14:textId="77777777" w:rsidR="001A5A18" w:rsidRPr="00AC2481" w:rsidRDefault="001A5A18" w:rsidP="0097148B">
            <w:pPr>
              <w:rPr>
                <w:rFonts w:asciiTheme="majorHAnsi" w:eastAsia="Times New Roman" w:hAnsiTheme="majorHAnsi" w:cs="Calibri"/>
                <w:b/>
                <w:color w:val="FFFFFF" w:themeColor="background1"/>
                <w:sz w:val="20"/>
                <w:szCs w:val="20"/>
              </w:rPr>
            </w:pPr>
            <w:r w:rsidRPr="00AC2481">
              <w:rPr>
                <w:rFonts w:asciiTheme="majorHAnsi" w:eastAsia="Times New Roman" w:hAnsiTheme="majorHAnsi" w:cs="Calibri"/>
                <w:b/>
                <w:color w:val="FFFFFF" w:themeColor="background1"/>
                <w:sz w:val="20"/>
                <w:szCs w:val="20"/>
              </w:rPr>
              <w:t>Comparison</w:t>
            </w:r>
          </w:p>
        </w:tc>
        <w:tc>
          <w:tcPr>
            <w:tcW w:w="172" w:type="pct"/>
            <w:tcBorders>
              <w:top w:val="single" w:sz="4" w:space="0" w:color="auto"/>
              <w:left w:val="single" w:sz="4" w:space="0" w:color="auto"/>
              <w:bottom w:val="single" w:sz="4" w:space="0" w:color="auto"/>
              <w:right w:val="single" w:sz="4" w:space="0" w:color="auto"/>
            </w:tcBorders>
            <w:shd w:val="clear" w:color="auto" w:fill="5D97FF"/>
            <w:textDirection w:val="btLr"/>
            <w:vAlign w:val="center"/>
            <w:hideMark/>
          </w:tcPr>
          <w:p w14:paraId="48A1D0DD" w14:textId="77777777" w:rsidR="001A5A18" w:rsidRPr="00AC2481" w:rsidRDefault="001A5A18" w:rsidP="0097148B">
            <w:pPr>
              <w:rPr>
                <w:rFonts w:asciiTheme="majorHAnsi" w:eastAsia="Times New Roman" w:hAnsiTheme="majorHAnsi" w:cs="Calibri"/>
                <w:b/>
                <w:color w:val="FFFFFF" w:themeColor="background1"/>
                <w:sz w:val="20"/>
                <w:szCs w:val="20"/>
              </w:rPr>
            </w:pPr>
            <w:r w:rsidRPr="00AC2481">
              <w:rPr>
                <w:rFonts w:asciiTheme="majorHAnsi" w:eastAsia="Times New Roman" w:hAnsiTheme="majorHAnsi" w:cs="Calibri"/>
                <w:b/>
                <w:color w:val="FFFFFF" w:themeColor="background1"/>
                <w:sz w:val="20"/>
                <w:szCs w:val="20"/>
              </w:rPr>
              <w:t>M&amp;V</w:t>
            </w:r>
          </w:p>
        </w:tc>
        <w:tc>
          <w:tcPr>
            <w:tcW w:w="172" w:type="pct"/>
            <w:tcBorders>
              <w:top w:val="single" w:sz="4" w:space="0" w:color="auto"/>
              <w:left w:val="single" w:sz="4" w:space="0" w:color="auto"/>
              <w:bottom w:val="single" w:sz="4" w:space="0" w:color="auto"/>
              <w:right w:val="single" w:sz="4" w:space="0" w:color="auto"/>
            </w:tcBorders>
            <w:shd w:val="clear" w:color="auto" w:fill="5D97FF"/>
            <w:textDirection w:val="btLr"/>
            <w:vAlign w:val="center"/>
            <w:hideMark/>
          </w:tcPr>
          <w:p w14:paraId="02D698EA" w14:textId="77777777" w:rsidR="001A5A18" w:rsidRPr="00AC2481" w:rsidRDefault="001A5A18" w:rsidP="0097148B">
            <w:pPr>
              <w:rPr>
                <w:rFonts w:asciiTheme="majorHAnsi" w:eastAsia="Times New Roman" w:hAnsiTheme="majorHAnsi" w:cs="Calibri"/>
                <w:b/>
                <w:color w:val="FFFFFF" w:themeColor="background1"/>
                <w:sz w:val="20"/>
                <w:szCs w:val="20"/>
              </w:rPr>
            </w:pPr>
            <w:r w:rsidRPr="00AC2481">
              <w:rPr>
                <w:rFonts w:asciiTheme="majorHAnsi" w:eastAsia="Times New Roman" w:hAnsiTheme="majorHAnsi" w:cs="Calibri"/>
                <w:b/>
                <w:color w:val="FFFFFF" w:themeColor="background1"/>
                <w:sz w:val="20"/>
                <w:szCs w:val="20"/>
              </w:rPr>
              <w:t>Deemed</w:t>
            </w:r>
          </w:p>
        </w:tc>
        <w:tc>
          <w:tcPr>
            <w:tcW w:w="1170" w:type="pct"/>
            <w:vMerge/>
            <w:tcBorders>
              <w:left w:val="single" w:sz="4" w:space="0" w:color="auto"/>
              <w:bottom w:val="single" w:sz="4" w:space="0" w:color="auto"/>
              <w:right w:val="single" w:sz="4" w:space="0" w:color="auto"/>
            </w:tcBorders>
            <w:shd w:val="clear" w:color="auto" w:fill="5D97FF"/>
            <w:vAlign w:val="bottom"/>
            <w:hideMark/>
          </w:tcPr>
          <w:p w14:paraId="7DB4E853" w14:textId="77777777" w:rsidR="001A5A18" w:rsidRPr="00AC2481" w:rsidRDefault="001A5A18" w:rsidP="0097148B">
            <w:pPr>
              <w:rPr>
                <w:rFonts w:asciiTheme="majorHAnsi" w:eastAsia="Times New Roman" w:hAnsiTheme="majorHAnsi" w:cs="Calibri"/>
                <w:b/>
                <w:color w:val="FFFFFF" w:themeColor="background1"/>
                <w:sz w:val="20"/>
                <w:szCs w:val="20"/>
              </w:rPr>
            </w:pPr>
          </w:p>
        </w:tc>
        <w:tc>
          <w:tcPr>
            <w:tcW w:w="1341" w:type="pct"/>
            <w:vMerge/>
            <w:tcBorders>
              <w:left w:val="single" w:sz="4" w:space="0" w:color="auto"/>
              <w:bottom w:val="single" w:sz="4" w:space="0" w:color="auto"/>
              <w:right w:val="single" w:sz="4" w:space="0" w:color="auto"/>
            </w:tcBorders>
            <w:shd w:val="clear" w:color="auto" w:fill="5D97FF"/>
            <w:vAlign w:val="bottom"/>
            <w:hideMark/>
          </w:tcPr>
          <w:p w14:paraId="2041B583" w14:textId="77777777" w:rsidR="001A5A18" w:rsidRPr="00AC2481" w:rsidRDefault="001A5A18" w:rsidP="0097148B">
            <w:pPr>
              <w:rPr>
                <w:rFonts w:asciiTheme="majorHAnsi" w:eastAsia="Times New Roman" w:hAnsiTheme="majorHAnsi" w:cs="Calibri"/>
                <w:b/>
                <w:color w:val="FFFFFF" w:themeColor="background1"/>
                <w:sz w:val="20"/>
                <w:szCs w:val="20"/>
              </w:rPr>
            </w:pPr>
          </w:p>
        </w:tc>
        <w:tc>
          <w:tcPr>
            <w:tcW w:w="1126" w:type="pct"/>
            <w:vMerge/>
            <w:tcBorders>
              <w:left w:val="single" w:sz="4" w:space="0" w:color="auto"/>
              <w:bottom w:val="single" w:sz="4" w:space="0" w:color="auto"/>
              <w:right w:val="single" w:sz="4" w:space="0" w:color="auto"/>
            </w:tcBorders>
            <w:shd w:val="clear" w:color="auto" w:fill="5D97FF"/>
            <w:vAlign w:val="bottom"/>
            <w:hideMark/>
          </w:tcPr>
          <w:p w14:paraId="13DD28A7" w14:textId="77777777" w:rsidR="001A5A18" w:rsidRPr="00AC2481" w:rsidRDefault="001A5A18" w:rsidP="0097148B">
            <w:pPr>
              <w:jc w:val="center"/>
              <w:rPr>
                <w:rFonts w:asciiTheme="majorHAnsi" w:eastAsia="Times New Roman" w:hAnsiTheme="majorHAnsi" w:cs="Calibri"/>
                <w:b/>
                <w:color w:val="000000"/>
                <w:sz w:val="20"/>
                <w:szCs w:val="20"/>
              </w:rPr>
            </w:pPr>
          </w:p>
        </w:tc>
      </w:tr>
      <w:tr w:rsidR="001A5A18" w:rsidRPr="00AC2481" w14:paraId="691727A4" w14:textId="77777777" w:rsidTr="003660A6">
        <w:trPr>
          <w:cantSplit/>
          <w:jc w:val="center"/>
        </w:trPr>
        <w:tc>
          <w:tcPr>
            <w:tcW w:w="847" w:type="pct"/>
            <w:tcBorders>
              <w:top w:val="single" w:sz="4" w:space="0" w:color="auto"/>
              <w:left w:val="single" w:sz="4" w:space="0" w:color="auto"/>
              <w:bottom w:val="single" w:sz="4" w:space="0" w:color="auto"/>
              <w:right w:val="single" w:sz="4" w:space="0" w:color="auto"/>
            </w:tcBorders>
            <w:shd w:val="clear" w:color="auto" w:fill="D1E1FF"/>
            <w:noWrap/>
            <w:hideMark/>
          </w:tcPr>
          <w:p w14:paraId="479B021B" w14:textId="77777777" w:rsidR="001A5A18" w:rsidRPr="00AC2481" w:rsidRDefault="001A5A18" w:rsidP="0097148B">
            <w:pP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Residential Audit Programs</w:t>
            </w:r>
          </w:p>
        </w:tc>
        <w:tc>
          <w:tcPr>
            <w:tcW w:w="172" w:type="pct"/>
            <w:tcBorders>
              <w:top w:val="single" w:sz="4" w:space="0" w:color="auto"/>
              <w:left w:val="nil"/>
              <w:bottom w:val="single" w:sz="4" w:space="0" w:color="auto"/>
              <w:right w:val="single" w:sz="4" w:space="0" w:color="auto"/>
            </w:tcBorders>
            <w:shd w:val="clear" w:color="auto" w:fill="D1E1FF"/>
            <w:noWrap/>
            <w:hideMark/>
          </w:tcPr>
          <w:p w14:paraId="20ACA438"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single" w:sz="4" w:space="0" w:color="auto"/>
              <w:left w:val="nil"/>
              <w:bottom w:val="single" w:sz="4" w:space="0" w:color="auto"/>
              <w:right w:val="single" w:sz="4" w:space="0" w:color="auto"/>
            </w:tcBorders>
            <w:shd w:val="clear" w:color="auto" w:fill="D1E1FF"/>
            <w:noWrap/>
            <w:hideMark/>
          </w:tcPr>
          <w:p w14:paraId="1A24CD17"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single" w:sz="4" w:space="0" w:color="auto"/>
              <w:left w:val="nil"/>
              <w:bottom w:val="single" w:sz="4" w:space="0" w:color="auto"/>
              <w:right w:val="single" w:sz="4" w:space="0" w:color="auto"/>
            </w:tcBorders>
            <w:shd w:val="clear" w:color="auto" w:fill="D1E1FF"/>
            <w:noWrap/>
            <w:hideMark/>
          </w:tcPr>
          <w:p w14:paraId="10DCAF8B"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170" w:type="pct"/>
            <w:tcBorders>
              <w:top w:val="single" w:sz="4" w:space="0" w:color="auto"/>
              <w:left w:val="nil"/>
              <w:bottom w:val="single" w:sz="4" w:space="0" w:color="auto"/>
              <w:right w:val="single" w:sz="4" w:space="0" w:color="auto"/>
            </w:tcBorders>
            <w:shd w:val="clear" w:color="auto" w:fill="D1E1FF"/>
            <w:hideMark/>
          </w:tcPr>
          <w:p w14:paraId="7D472635" w14:textId="77777777" w:rsidR="001A5A18" w:rsidRPr="00AC2481" w:rsidRDefault="001A5A18" w:rsidP="001A5A18">
            <w:pPr>
              <w:pStyle w:val="ListParagraph"/>
              <w:numPr>
                <w:ilvl w:val="0"/>
                <w:numId w:val="242"/>
              </w:numPr>
              <w:spacing w:after="200"/>
              <w:ind w:left="301" w:hanging="180"/>
              <w:rPr>
                <w:rFonts w:asciiTheme="majorHAnsi" w:hAnsiTheme="majorHAnsi"/>
                <w:sz w:val="20"/>
                <w:szCs w:val="20"/>
              </w:rPr>
            </w:pPr>
            <w:r w:rsidRPr="00AC2481">
              <w:rPr>
                <w:rFonts w:asciiTheme="majorHAnsi" w:hAnsiTheme="majorHAnsi"/>
                <w:sz w:val="20"/>
                <w:szCs w:val="20"/>
              </w:rPr>
              <w:t>Residential building simulation</w:t>
            </w:r>
          </w:p>
          <w:p w14:paraId="2D91C0BB" w14:textId="77777777" w:rsidR="001A5A18" w:rsidRPr="00AC2481" w:rsidRDefault="001A5A18" w:rsidP="001A5A18">
            <w:pPr>
              <w:pStyle w:val="ListParagraph"/>
              <w:numPr>
                <w:ilvl w:val="0"/>
                <w:numId w:val="242"/>
              </w:numPr>
              <w:spacing w:after="200"/>
              <w:ind w:left="301" w:hanging="180"/>
              <w:rPr>
                <w:rFonts w:asciiTheme="majorHAnsi" w:hAnsiTheme="majorHAnsi"/>
                <w:sz w:val="20"/>
                <w:szCs w:val="20"/>
              </w:rPr>
            </w:pPr>
            <w:r w:rsidRPr="00AC2481">
              <w:rPr>
                <w:rFonts w:asciiTheme="majorHAnsi" w:hAnsiTheme="majorHAnsi"/>
                <w:sz w:val="20"/>
                <w:szCs w:val="20"/>
              </w:rPr>
              <w:t>Savings algorithms</w:t>
            </w:r>
          </w:p>
          <w:p w14:paraId="4B9B9AFA" w14:textId="77777777" w:rsidR="001A5A18" w:rsidRPr="00AC2481" w:rsidRDefault="001A5A18" w:rsidP="001A5A18">
            <w:pPr>
              <w:pStyle w:val="ListParagraph"/>
              <w:numPr>
                <w:ilvl w:val="0"/>
                <w:numId w:val="242"/>
              </w:numPr>
              <w:spacing w:after="200"/>
              <w:ind w:left="301" w:hanging="180"/>
              <w:rPr>
                <w:rFonts w:asciiTheme="majorHAnsi" w:hAnsiTheme="majorHAnsi"/>
                <w:sz w:val="20"/>
                <w:szCs w:val="20"/>
              </w:rPr>
            </w:pPr>
            <w:r w:rsidRPr="00AC2481">
              <w:rPr>
                <w:rFonts w:asciiTheme="majorHAnsi" w:hAnsiTheme="majorHAnsi"/>
                <w:sz w:val="20"/>
                <w:szCs w:val="20"/>
              </w:rPr>
              <w:t>Billing analysis</w:t>
            </w:r>
          </w:p>
          <w:p w14:paraId="2B9548E1" w14:textId="77777777" w:rsidR="001A5A18" w:rsidRPr="00AC2481" w:rsidRDefault="001A5A18" w:rsidP="001A5A18">
            <w:pPr>
              <w:pStyle w:val="ListParagraph"/>
              <w:numPr>
                <w:ilvl w:val="0"/>
                <w:numId w:val="242"/>
              </w:numPr>
              <w:spacing w:after="200"/>
              <w:ind w:left="301" w:hanging="180"/>
              <w:rPr>
                <w:rFonts w:asciiTheme="majorHAnsi" w:hAnsiTheme="majorHAnsi"/>
                <w:sz w:val="20"/>
                <w:szCs w:val="20"/>
              </w:rPr>
            </w:pPr>
            <w:r w:rsidRPr="00AC2481">
              <w:rPr>
                <w:rFonts w:asciiTheme="majorHAnsi" w:hAnsiTheme="majorHAnsi"/>
                <w:sz w:val="20"/>
                <w:szCs w:val="20"/>
              </w:rPr>
              <w:t>Surveys to determine actions taken, together with deemed savings per unit or measure</w:t>
            </w:r>
          </w:p>
        </w:tc>
        <w:tc>
          <w:tcPr>
            <w:tcW w:w="1341" w:type="pct"/>
            <w:tcBorders>
              <w:top w:val="single" w:sz="4" w:space="0" w:color="auto"/>
              <w:left w:val="nil"/>
              <w:bottom w:val="single" w:sz="4" w:space="0" w:color="auto"/>
              <w:right w:val="nil"/>
            </w:tcBorders>
            <w:shd w:val="clear" w:color="auto" w:fill="D1E1FF"/>
            <w:hideMark/>
          </w:tcPr>
          <w:p w14:paraId="1919B456" w14:textId="77777777" w:rsidR="001A5A18" w:rsidRPr="00AC2481" w:rsidRDefault="00133485" w:rsidP="0097148B">
            <w:pPr>
              <w:rPr>
                <w:rFonts w:asciiTheme="majorHAnsi" w:eastAsia="Times New Roman" w:hAnsiTheme="majorHAnsi" w:cs="Calibri"/>
                <w:color w:val="000000"/>
                <w:sz w:val="20"/>
                <w:szCs w:val="20"/>
              </w:rPr>
            </w:pPr>
            <w:hyperlink r:id="rId28" w:history="1">
              <w:r w:rsidR="001A5A18" w:rsidRPr="00AC2481">
                <w:rPr>
                  <w:rFonts w:asciiTheme="majorHAnsi" w:eastAsia="Times New Roman" w:hAnsiTheme="majorHAnsi" w:cs="Calibri"/>
                  <w:color w:val="000000"/>
                  <w:sz w:val="20"/>
                  <w:szCs w:val="20"/>
                </w:rPr>
                <w:t>Uniform Methods Project, Chapter 8:</w:t>
              </w:r>
              <w:r w:rsidR="001A5A18" w:rsidRPr="00AC2481">
                <w:rPr>
                  <w:rFonts w:asciiTheme="majorHAnsi" w:eastAsia="Times New Roman" w:hAnsiTheme="majorHAnsi" w:cs="Calibri"/>
                  <w:i/>
                  <w:color w:val="000000"/>
                  <w:sz w:val="20"/>
                  <w:szCs w:val="20"/>
                </w:rPr>
                <w:t xml:space="preserve"> Whole-Building Retrofit with Consumption Data Analysis Evaluation Protocol</w:t>
              </w:r>
            </w:hyperlink>
            <w:r w:rsidR="001A5A18" w:rsidRPr="00AC2481">
              <w:rPr>
                <w:rFonts w:asciiTheme="majorHAnsi" w:eastAsia="Times New Roman" w:hAnsiTheme="majorHAnsi" w:cs="Calibri"/>
                <w:color w:val="000000"/>
                <w:sz w:val="20"/>
                <w:szCs w:val="20"/>
              </w:rPr>
              <w:t xml:space="preserve"> </w:t>
            </w:r>
          </w:p>
          <w:p w14:paraId="0A27FD7E" w14:textId="77777777" w:rsidR="001A5A18" w:rsidRPr="00AC2481" w:rsidRDefault="001A5A18" w:rsidP="0097148B">
            <w:pPr>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See also SEE Action’s Evaluation Measurement and Verification Portal for more references on evaluation methods and Technical Resource Manuals for deemed savings estimates by state or region</w:t>
            </w:r>
          </w:p>
        </w:tc>
        <w:tc>
          <w:tcPr>
            <w:tcW w:w="1126" w:type="pct"/>
            <w:tcBorders>
              <w:top w:val="single" w:sz="4" w:space="0" w:color="auto"/>
              <w:left w:val="single" w:sz="4" w:space="0" w:color="auto"/>
              <w:bottom w:val="single" w:sz="4" w:space="0" w:color="auto"/>
              <w:right w:val="single" w:sz="4" w:space="0" w:color="auto"/>
            </w:tcBorders>
            <w:shd w:val="clear" w:color="auto" w:fill="D1E1FF"/>
            <w:hideMark/>
          </w:tcPr>
          <w:p w14:paraId="3B3491BB" w14:textId="77777777" w:rsidR="001A5A18" w:rsidRPr="00AC2481" w:rsidRDefault="00133485" w:rsidP="0097148B">
            <w:pPr>
              <w:rPr>
                <w:rStyle w:val="Hyperlink"/>
                <w:rFonts w:asciiTheme="majorHAnsi" w:hAnsiTheme="majorHAnsi"/>
                <w:sz w:val="20"/>
                <w:szCs w:val="20"/>
              </w:rPr>
            </w:pPr>
            <w:hyperlink r:id="rId29" w:history="1">
              <w:r w:rsidR="001A5A18" w:rsidRPr="00AC2481">
                <w:rPr>
                  <w:rStyle w:val="Hyperlink"/>
                  <w:rFonts w:asciiTheme="majorHAnsi" w:hAnsiTheme="majorHAnsi"/>
                  <w:sz w:val="20"/>
                  <w:szCs w:val="20"/>
                </w:rPr>
                <w:t>http://www.energy.gov/sites/prod/files/2013/11/f5/53827-8.pdf</w:t>
              </w:r>
            </w:hyperlink>
            <w:r w:rsidR="001A5A18" w:rsidRPr="00AC2481">
              <w:rPr>
                <w:rStyle w:val="Hyperlink"/>
                <w:rFonts w:asciiTheme="majorHAnsi" w:hAnsiTheme="majorHAnsi"/>
                <w:sz w:val="20"/>
                <w:szCs w:val="20"/>
              </w:rPr>
              <w:t xml:space="preserve"> </w:t>
            </w:r>
          </w:p>
          <w:p w14:paraId="6AC78D4B" w14:textId="77777777" w:rsidR="001A5A18" w:rsidRPr="00AC2481" w:rsidRDefault="00133485" w:rsidP="0097148B">
            <w:pPr>
              <w:rPr>
                <w:rStyle w:val="Hyperlink"/>
                <w:rFonts w:asciiTheme="majorHAnsi" w:hAnsiTheme="majorHAnsi"/>
                <w:sz w:val="20"/>
                <w:szCs w:val="20"/>
              </w:rPr>
            </w:pPr>
            <w:hyperlink r:id="rId30" w:history="1">
              <w:r w:rsidR="001A5A18" w:rsidRPr="00AC2481">
                <w:rPr>
                  <w:rStyle w:val="Hyperlink"/>
                  <w:rFonts w:asciiTheme="majorHAnsi" w:hAnsiTheme="majorHAnsi"/>
                  <w:sz w:val="20"/>
                  <w:szCs w:val="20"/>
                </w:rPr>
                <w:t>https://www4.eere.energy.gov/seeaction/evaluation-measurement-and-verification-resource-portal</w:t>
              </w:r>
            </w:hyperlink>
          </w:p>
          <w:p w14:paraId="048478B3" w14:textId="77777777" w:rsidR="001A5A18" w:rsidRPr="00AC2481" w:rsidRDefault="001A5A18" w:rsidP="0097148B">
            <w:pPr>
              <w:rPr>
                <w:rStyle w:val="Hyperlink"/>
                <w:rFonts w:asciiTheme="majorHAnsi" w:hAnsiTheme="majorHAnsi"/>
                <w:sz w:val="20"/>
                <w:szCs w:val="20"/>
              </w:rPr>
            </w:pPr>
          </w:p>
        </w:tc>
      </w:tr>
      <w:tr w:rsidR="001A5A18" w:rsidRPr="00AC2481" w14:paraId="3A3C6AD7" w14:textId="77777777" w:rsidTr="003660A6">
        <w:trPr>
          <w:cantSplit/>
          <w:jc w:val="center"/>
        </w:trPr>
        <w:tc>
          <w:tcPr>
            <w:tcW w:w="847" w:type="pct"/>
            <w:tcBorders>
              <w:top w:val="nil"/>
              <w:left w:val="single" w:sz="4" w:space="0" w:color="auto"/>
              <w:bottom w:val="single" w:sz="4" w:space="0" w:color="auto"/>
              <w:right w:val="single" w:sz="4" w:space="0" w:color="auto"/>
            </w:tcBorders>
            <w:shd w:val="clear" w:color="auto" w:fill="auto"/>
            <w:noWrap/>
            <w:hideMark/>
          </w:tcPr>
          <w:p w14:paraId="3858BCC2" w14:textId="77777777" w:rsidR="001A5A18" w:rsidRPr="00AC2481" w:rsidRDefault="001A5A18" w:rsidP="0097148B">
            <w:pP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lastRenderedPageBreak/>
              <w:t>Residential Whole House Retrofit Programs</w:t>
            </w:r>
          </w:p>
        </w:tc>
        <w:tc>
          <w:tcPr>
            <w:tcW w:w="172" w:type="pct"/>
            <w:tcBorders>
              <w:top w:val="nil"/>
              <w:left w:val="nil"/>
              <w:bottom w:val="single" w:sz="4" w:space="0" w:color="auto"/>
              <w:right w:val="single" w:sz="4" w:space="0" w:color="auto"/>
            </w:tcBorders>
            <w:shd w:val="clear" w:color="auto" w:fill="auto"/>
            <w:noWrap/>
            <w:hideMark/>
          </w:tcPr>
          <w:p w14:paraId="3F4E33D2"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nil"/>
              <w:left w:val="nil"/>
              <w:bottom w:val="single" w:sz="4" w:space="0" w:color="auto"/>
              <w:right w:val="single" w:sz="4" w:space="0" w:color="auto"/>
            </w:tcBorders>
            <w:shd w:val="clear" w:color="auto" w:fill="auto"/>
            <w:noWrap/>
            <w:hideMark/>
          </w:tcPr>
          <w:p w14:paraId="3626D4DC"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nil"/>
              <w:left w:val="nil"/>
              <w:bottom w:val="single" w:sz="4" w:space="0" w:color="auto"/>
              <w:right w:val="single" w:sz="4" w:space="0" w:color="auto"/>
            </w:tcBorders>
            <w:shd w:val="clear" w:color="auto" w:fill="auto"/>
            <w:noWrap/>
            <w:hideMark/>
          </w:tcPr>
          <w:p w14:paraId="0AC0C009"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170" w:type="pct"/>
            <w:tcBorders>
              <w:top w:val="nil"/>
              <w:left w:val="nil"/>
              <w:bottom w:val="single" w:sz="4" w:space="0" w:color="auto"/>
              <w:right w:val="single" w:sz="4" w:space="0" w:color="auto"/>
            </w:tcBorders>
            <w:shd w:val="clear" w:color="auto" w:fill="auto"/>
            <w:hideMark/>
          </w:tcPr>
          <w:p w14:paraId="1F93D105"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Billing/regression analysis</w:t>
            </w:r>
          </w:p>
          <w:p w14:paraId="04C665B1"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Limited onsite data collection</w:t>
            </w:r>
          </w:p>
          <w:p w14:paraId="4A37E59B"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Building Simulation analysis</w:t>
            </w:r>
          </w:p>
          <w:p w14:paraId="5D704EE3"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Surveys to determine actions taken, together with deemed savings</w:t>
            </w:r>
          </w:p>
        </w:tc>
        <w:tc>
          <w:tcPr>
            <w:tcW w:w="1341" w:type="pct"/>
            <w:tcBorders>
              <w:top w:val="nil"/>
              <w:left w:val="nil"/>
              <w:bottom w:val="single" w:sz="4" w:space="0" w:color="auto"/>
              <w:right w:val="nil"/>
            </w:tcBorders>
            <w:shd w:val="clear" w:color="auto" w:fill="auto"/>
            <w:hideMark/>
          </w:tcPr>
          <w:p w14:paraId="388F43AA" w14:textId="77777777" w:rsidR="001A5A18" w:rsidRPr="00AC2481" w:rsidRDefault="00133485" w:rsidP="0097148B">
            <w:pPr>
              <w:rPr>
                <w:rFonts w:asciiTheme="majorHAnsi" w:eastAsia="Times New Roman" w:hAnsiTheme="majorHAnsi" w:cs="Calibri"/>
                <w:sz w:val="20"/>
                <w:szCs w:val="20"/>
                <w:u w:val="single"/>
              </w:rPr>
            </w:pPr>
            <w:hyperlink r:id="rId31" w:history="1">
              <w:r w:rsidR="001A5A18" w:rsidRPr="00AC2481">
                <w:rPr>
                  <w:rFonts w:asciiTheme="majorHAnsi" w:eastAsia="Times New Roman" w:hAnsiTheme="majorHAnsi" w:cs="Calibri"/>
                  <w:sz w:val="20"/>
                  <w:szCs w:val="20"/>
                </w:rPr>
                <w:t>Uniform Methods Project,</w:t>
              </w:r>
              <w:r w:rsidR="001A5A18" w:rsidRPr="00AC2481">
                <w:rPr>
                  <w:rFonts w:asciiTheme="majorHAnsi" w:eastAsia="Times New Roman" w:hAnsiTheme="majorHAnsi" w:cs="Calibri"/>
                  <w:sz w:val="20"/>
                  <w:szCs w:val="20"/>
                  <w:u w:val="single"/>
                </w:rPr>
                <w:t xml:space="preserve"> </w:t>
              </w:r>
              <w:r w:rsidR="001A5A18" w:rsidRPr="00AC2481">
                <w:rPr>
                  <w:rFonts w:asciiTheme="majorHAnsi" w:eastAsia="Times New Roman" w:hAnsiTheme="majorHAnsi" w:cs="Calibri"/>
                  <w:sz w:val="20"/>
                  <w:szCs w:val="20"/>
                </w:rPr>
                <w:t>Chapter 8:</w:t>
              </w:r>
              <w:r w:rsidR="001A5A18" w:rsidRPr="00AC2481">
                <w:rPr>
                  <w:rFonts w:asciiTheme="majorHAnsi" w:eastAsia="Times New Roman" w:hAnsiTheme="majorHAnsi" w:cs="Calibri"/>
                  <w:i/>
                  <w:sz w:val="20"/>
                  <w:szCs w:val="20"/>
                </w:rPr>
                <w:t xml:space="preserve"> Whole-Building Retrofit with Consumption Data Analysis Evaluation Protocol </w:t>
              </w:r>
            </w:hyperlink>
          </w:p>
        </w:tc>
        <w:tc>
          <w:tcPr>
            <w:tcW w:w="1126" w:type="pct"/>
            <w:tcBorders>
              <w:top w:val="nil"/>
              <w:left w:val="single" w:sz="4" w:space="0" w:color="auto"/>
              <w:bottom w:val="single" w:sz="4" w:space="0" w:color="auto"/>
              <w:right w:val="single" w:sz="4" w:space="0" w:color="auto"/>
            </w:tcBorders>
            <w:shd w:val="clear" w:color="auto" w:fill="auto"/>
            <w:hideMark/>
          </w:tcPr>
          <w:p w14:paraId="6B23AB7E" w14:textId="77777777" w:rsidR="001A5A18" w:rsidRPr="00AC2481" w:rsidRDefault="00133485" w:rsidP="0097148B">
            <w:pPr>
              <w:rPr>
                <w:rStyle w:val="Hyperlink"/>
                <w:rFonts w:asciiTheme="majorHAnsi" w:hAnsiTheme="majorHAnsi"/>
                <w:sz w:val="20"/>
                <w:szCs w:val="20"/>
              </w:rPr>
            </w:pPr>
            <w:hyperlink r:id="rId32" w:history="1">
              <w:r w:rsidR="001A5A18" w:rsidRPr="00AC2481">
                <w:rPr>
                  <w:rStyle w:val="Hyperlink"/>
                  <w:rFonts w:asciiTheme="majorHAnsi" w:hAnsiTheme="majorHAnsi"/>
                  <w:sz w:val="20"/>
                  <w:szCs w:val="20"/>
                </w:rPr>
                <w:t>http://www.energy.gov/sites/prod/files/2013/11/f5/53827-8.pdf</w:t>
              </w:r>
            </w:hyperlink>
          </w:p>
          <w:p w14:paraId="5276FFB4" w14:textId="77777777" w:rsidR="001A5A18" w:rsidRPr="00AC2481" w:rsidRDefault="001A5A18" w:rsidP="0097148B">
            <w:pPr>
              <w:rPr>
                <w:rStyle w:val="Hyperlink"/>
                <w:rFonts w:asciiTheme="majorHAnsi" w:hAnsiTheme="majorHAnsi"/>
                <w:sz w:val="20"/>
                <w:szCs w:val="20"/>
              </w:rPr>
            </w:pPr>
          </w:p>
        </w:tc>
      </w:tr>
      <w:tr w:rsidR="001A5A18" w:rsidRPr="00AC2481" w14:paraId="0C3C0B62" w14:textId="77777777" w:rsidTr="003660A6">
        <w:trPr>
          <w:cantSplit/>
          <w:jc w:val="center"/>
        </w:trPr>
        <w:tc>
          <w:tcPr>
            <w:tcW w:w="847" w:type="pct"/>
            <w:tcBorders>
              <w:top w:val="nil"/>
              <w:left w:val="single" w:sz="4" w:space="0" w:color="auto"/>
              <w:bottom w:val="single" w:sz="4" w:space="0" w:color="auto"/>
              <w:right w:val="single" w:sz="4" w:space="0" w:color="auto"/>
            </w:tcBorders>
            <w:shd w:val="clear" w:color="auto" w:fill="D1E1FF"/>
            <w:noWrap/>
            <w:hideMark/>
          </w:tcPr>
          <w:p w14:paraId="3ADB9AC3" w14:textId="77777777" w:rsidR="001A5A18" w:rsidRPr="00AC2481" w:rsidRDefault="001A5A18" w:rsidP="0097148B">
            <w:pP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Residential Lighting Retrofit Programs</w:t>
            </w:r>
          </w:p>
        </w:tc>
        <w:tc>
          <w:tcPr>
            <w:tcW w:w="172" w:type="pct"/>
            <w:tcBorders>
              <w:top w:val="nil"/>
              <w:left w:val="nil"/>
              <w:bottom w:val="single" w:sz="4" w:space="0" w:color="auto"/>
              <w:right w:val="single" w:sz="4" w:space="0" w:color="auto"/>
            </w:tcBorders>
            <w:shd w:val="clear" w:color="auto" w:fill="D1E1FF"/>
            <w:noWrap/>
            <w:hideMark/>
          </w:tcPr>
          <w:p w14:paraId="15CD10D2" w14:textId="77777777" w:rsidR="001A5A18" w:rsidRPr="00AC2481" w:rsidRDefault="001A5A18" w:rsidP="0097148B">
            <w:pPr>
              <w:jc w:val="center"/>
              <w:rPr>
                <w:rFonts w:asciiTheme="majorHAnsi" w:eastAsia="Times New Roman" w:hAnsiTheme="majorHAnsi" w:cs="Calibri"/>
                <w:b/>
                <w:color w:val="000000"/>
                <w:sz w:val="20"/>
                <w:szCs w:val="20"/>
              </w:rPr>
            </w:pPr>
          </w:p>
        </w:tc>
        <w:tc>
          <w:tcPr>
            <w:tcW w:w="172" w:type="pct"/>
            <w:tcBorders>
              <w:top w:val="nil"/>
              <w:left w:val="nil"/>
              <w:bottom w:val="single" w:sz="4" w:space="0" w:color="auto"/>
              <w:right w:val="single" w:sz="4" w:space="0" w:color="auto"/>
            </w:tcBorders>
            <w:shd w:val="clear" w:color="auto" w:fill="D1E1FF"/>
            <w:noWrap/>
            <w:hideMark/>
          </w:tcPr>
          <w:p w14:paraId="770B03EE"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nil"/>
              <w:left w:val="nil"/>
              <w:bottom w:val="single" w:sz="4" w:space="0" w:color="auto"/>
              <w:right w:val="single" w:sz="4" w:space="0" w:color="auto"/>
            </w:tcBorders>
            <w:shd w:val="clear" w:color="auto" w:fill="D1E1FF"/>
            <w:noWrap/>
            <w:hideMark/>
          </w:tcPr>
          <w:p w14:paraId="7CA2B1C6"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170" w:type="pct"/>
            <w:tcBorders>
              <w:top w:val="nil"/>
              <w:left w:val="nil"/>
              <w:bottom w:val="single" w:sz="4" w:space="0" w:color="auto"/>
              <w:right w:val="single" w:sz="4" w:space="0" w:color="auto"/>
            </w:tcBorders>
            <w:shd w:val="clear" w:color="auto" w:fill="D1E1FF"/>
            <w:hideMark/>
          </w:tcPr>
          <w:p w14:paraId="088B03ED"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Onsite lighting loggers &amp; lighting inventory</w:t>
            </w:r>
          </w:p>
          <w:p w14:paraId="58224C79"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Deemed hours of use (HOU) and coincidence factor (CF)</w:t>
            </w:r>
          </w:p>
          <w:p w14:paraId="36DCB2B2"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Baseline matching of equivalent light output (lumens) for technologies not covered by federal standards</w:t>
            </w:r>
          </w:p>
        </w:tc>
        <w:tc>
          <w:tcPr>
            <w:tcW w:w="1341" w:type="pct"/>
            <w:tcBorders>
              <w:top w:val="nil"/>
              <w:left w:val="nil"/>
              <w:bottom w:val="single" w:sz="4" w:space="0" w:color="auto"/>
              <w:right w:val="nil"/>
            </w:tcBorders>
            <w:shd w:val="clear" w:color="auto" w:fill="D1E1FF"/>
            <w:hideMark/>
          </w:tcPr>
          <w:p w14:paraId="4BC0305A" w14:textId="77777777" w:rsidR="001A5A18" w:rsidRPr="00AC2481" w:rsidRDefault="001A5A18" w:rsidP="0097148B">
            <w:pPr>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Uniform</w:t>
            </w:r>
            <w:r w:rsidRPr="00AC2481">
              <w:rPr>
                <w:rFonts w:asciiTheme="majorHAnsi" w:eastAsia="Times New Roman" w:hAnsiTheme="majorHAnsi" w:cs="Calibri"/>
                <w:color w:val="000000"/>
                <w:sz w:val="20"/>
                <w:szCs w:val="20"/>
                <w:u w:val="single"/>
              </w:rPr>
              <w:t xml:space="preserve"> </w:t>
            </w:r>
            <w:r w:rsidRPr="00AC2481">
              <w:rPr>
                <w:rFonts w:asciiTheme="majorHAnsi" w:eastAsia="Times New Roman" w:hAnsiTheme="majorHAnsi" w:cs="Calibri"/>
                <w:color w:val="000000"/>
                <w:sz w:val="20"/>
                <w:szCs w:val="20"/>
              </w:rPr>
              <w:t>Methods</w:t>
            </w:r>
            <w:r w:rsidRPr="00AC2481">
              <w:rPr>
                <w:rFonts w:asciiTheme="majorHAnsi" w:eastAsia="Times New Roman" w:hAnsiTheme="majorHAnsi" w:cs="Calibri"/>
                <w:color w:val="000000"/>
                <w:sz w:val="20"/>
                <w:szCs w:val="20"/>
                <w:u w:val="single"/>
              </w:rPr>
              <w:t xml:space="preserve"> </w:t>
            </w:r>
            <w:r w:rsidRPr="00AC2481">
              <w:rPr>
                <w:rFonts w:asciiTheme="majorHAnsi" w:eastAsia="Times New Roman" w:hAnsiTheme="majorHAnsi" w:cs="Calibri"/>
                <w:color w:val="000000"/>
                <w:sz w:val="20"/>
                <w:szCs w:val="20"/>
              </w:rPr>
              <w:t xml:space="preserve">Project; Chapter 21: </w:t>
            </w:r>
            <w:r w:rsidRPr="00AC2481">
              <w:rPr>
                <w:rFonts w:asciiTheme="majorHAnsi" w:eastAsia="Times New Roman" w:hAnsiTheme="majorHAnsi" w:cs="Calibri"/>
                <w:i/>
                <w:color w:val="000000"/>
                <w:sz w:val="20"/>
                <w:szCs w:val="20"/>
              </w:rPr>
              <w:t>Residential Lighting Protocol</w:t>
            </w:r>
            <w:r w:rsidRPr="00AC2481">
              <w:rPr>
                <w:rFonts w:asciiTheme="majorHAnsi" w:eastAsia="Times New Roman" w:hAnsiTheme="majorHAnsi" w:cs="Calibri"/>
                <w:color w:val="000000"/>
                <w:sz w:val="20"/>
                <w:szCs w:val="20"/>
              </w:rPr>
              <w:t xml:space="preserve"> (December 2014) </w:t>
            </w:r>
          </w:p>
        </w:tc>
        <w:tc>
          <w:tcPr>
            <w:tcW w:w="1126" w:type="pct"/>
            <w:tcBorders>
              <w:top w:val="nil"/>
              <w:left w:val="single" w:sz="4" w:space="0" w:color="auto"/>
              <w:bottom w:val="single" w:sz="4" w:space="0" w:color="auto"/>
              <w:right w:val="single" w:sz="4" w:space="0" w:color="auto"/>
            </w:tcBorders>
            <w:shd w:val="clear" w:color="auto" w:fill="D1E1FF"/>
            <w:noWrap/>
            <w:hideMark/>
          </w:tcPr>
          <w:p w14:paraId="270BD6CC" w14:textId="77777777" w:rsidR="001A5A18" w:rsidRPr="00AC2481" w:rsidRDefault="001A5A18" w:rsidP="0097148B">
            <w:pPr>
              <w:rPr>
                <w:rStyle w:val="Hyperlink"/>
                <w:rFonts w:asciiTheme="majorHAnsi" w:hAnsiTheme="majorHAnsi"/>
                <w:sz w:val="20"/>
                <w:szCs w:val="20"/>
              </w:rPr>
            </w:pPr>
            <w:r w:rsidRPr="00AC2481">
              <w:rPr>
                <w:rStyle w:val="Hyperlink"/>
                <w:rFonts w:asciiTheme="majorHAnsi" w:hAnsiTheme="majorHAnsi"/>
                <w:sz w:val="20"/>
                <w:szCs w:val="20"/>
              </w:rPr>
              <w:t>http://energy.gov/sites/prod/files/2015/02/f19/UMPChapter21-residential-lighting-evaluation-protocol.pdf</w:t>
            </w:r>
          </w:p>
        </w:tc>
      </w:tr>
      <w:tr w:rsidR="001A5A18" w:rsidRPr="00AC2481" w14:paraId="6BA3FAEB" w14:textId="77777777" w:rsidTr="003660A6">
        <w:trPr>
          <w:cantSplit/>
          <w:jc w:val="center"/>
        </w:trPr>
        <w:tc>
          <w:tcPr>
            <w:tcW w:w="847" w:type="pct"/>
            <w:tcBorders>
              <w:top w:val="nil"/>
              <w:left w:val="single" w:sz="4" w:space="0" w:color="auto"/>
              <w:bottom w:val="single" w:sz="4" w:space="0" w:color="auto"/>
              <w:right w:val="single" w:sz="4" w:space="0" w:color="auto"/>
            </w:tcBorders>
            <w:shd w:val="clear" w:color="auto" w:fill="auto"/>
            <w:noWrap/>
            <w:hideMark/>
          </w:tcPr>
          <w:p w14:paraId="768D55B6" w14:textId="77777777" w:rsidR="001A5A18" w:rsidRPr="00AC2481" w:rsidRDefault="001A5A18" w:rsidP="0097148B">
            <w:pP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Residential HVAC Retrofit Programs</w:t>
            </w:r>
          </w:p>
        </w:tc>
        <w:tc>
          <w:tcPr>
            <w:tcW w:w="172" w:type="pct"/>
            <w:tcBorders>
              <w:top w:val="nil"/>
              <w:left w:val="nil"/>
              <w:bottom w:val="single" w:sz="4" w:space="0" w:color="auto"/>
              <w:right w:val="single" w:sz="4" w:space="0" w:color="auto"/>
            </w:tcBorders>
            <w:shd w:val="clear" w:color="auto" w:fill="auto"/>
            <w:noWrap/>
            <w:hideMark/>
          </w:tcPr>
          <w:p w14:paraId="271E2047" w14:textId="77777777" w:rsidR="001A5A18" w:rsidRPr="00AC2481" w:rsidRDefault="001A5A18" w:rsidP="0097148B">
            <w:pPr>
              <w:jc w:val="center"/>
              <w:rPr>
                <w:rFonts w:asciiTheme="majorHAnsi" w:eastAsia="Times New Roman" w:hAnsiTheme="majorHAnsi" w:cs="Calibri"/>
                <w:b/>
                <w:color w:val="000000"/>
                <w:sz w:val="20"/>
                <w:szCs w:val="20"/>
              </w:rPr>
            </w:pPr>
          </w:p>
        </w:tc>
        <w:tc>
          <w:tcPr>
            <w:tcW w:w="172" w:type="pct"/>
            <w:tcBorders>
              <w:top w:val="nil"/>
              <w:left w:val="nil"/>
              <w:bottom w:val="single" w:sz="4" w:space="0" w:color="auto"/>
              <w:right w:val="single" w:sz="4" w:space="0" w:color="auto"/>
            </w:tcBorders>
            <w:shd w:val="clear" w:color="auto" w:fill="auto"/>
            <w:noWrap/>
            <w:hideMark/>
          </w:tcPr>
          <w:p w14:paraId="49C912B1"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nil"/>
              <w:left w:val="nil"/>
              <w:bottom w:val="single" w:sz="4" w:space="0" w:color="auto"/>
              <w:right w:val="single" w:sz="4" w:space="0" w:color="auto"/>
            </w:tcBorders>
            <w:shd w:val="clear" w:color="auto" w:fill="auto"/>
            <w:noWrap/>
            <w:hideMark/>
          </w:tcPr>
          <w:p w14:paraId="41DEF468"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170" w:type="pct"/>
            <w:tcBorders>
              <w:top w:val="nil"/>
              <w:left w:val="nil"/>
              <w:bottom w:val="single" w:sz="4" w:space="0" w:color="auto"/>
              <w:right w:val="single" w:sz="4" w:space="0" w:color="auto"/>
            </w:tcBorders>
            <w:shd w:val="clear" w:color="auto" w:fill="auto"/>
            <w:hideMark/>
          </w:tcPr>
          <w:p w14:paraId="21530709"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Onsite metering to determine full load hours (EFLH), capacity and CF</w:t>
            </w:r>
          </w:p>
          <w:p w14:paraId="0941A22A"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Deemed EFLH and CF</w:t>
            </w:r>
          </w:p>
          <w:p w14:paraId="35F6DA15"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Gather data on system efficiency levels and charge</w:t>
            </w:r>
          </w:p>
        </w:tc>
        <w:tc>
          <w:tcPr>
            <w:tcW w:w="1341" w:type="pct"/>
            <w:tcBorders>
              <w:top w:val="nil"/>
              <w:left w:val="nil"/>
              <w:bottom w:val="single" w:sz="4" w:space="0" w:color="auto"/>
              <w:right w:val="nil"/>
            </w:tcBorders>
            <w:shd w:val="clear" w:color="auto" w:fill="auto"/>
            <w:hideMark/>
          </w:tcPr>
          <w:p w14:paraId="5A1933A4" w14:textId="77777777" w:rsidR="001A5A18" w:rsidRPr="00AC2481" w:rsidRDefault="001A5A18" w:rsidP="0097148B">
            <w:pPr>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Uniform Methods Project, Chapter 4:</w:t>
            </w:r>
            <w:r w:rsidRPr="00AC2481">
              <w:rPr>
                <w:rFonts w:asciiTheme="majorHAnsi" w:eastAsia="Times New Roman" w:hAnsiTheme="majorHAnsi" w:cs="Calibri"/>
                <w:i/>
                <w:color w:val="000000"/>
                <w:sz w:val="20"/>
                <w:szCs w:val="20"/>
              </w:rPr>
              <w:t xml:space="preserve"> Small Commercial and Residential Unitary and Split Cooling Systems protocol </w:t>
            </w:r>
            <w:r w:rsidRPr="00AC2481">
              <w:rPr>
                <w:rFonts w:asciiTheme="majorHAnsi" w:eastAsia="Times New Roman" w:hAnsiTheme="majorHAnsi" w:cs="Calibri"/>
                <w:color w:val="000000"/>
                <w:sz w:val="20"/>
                <w:szCs w:val="20"/>
              </w:rPr>
              <w:t>(April 2014)</w:t>
            </w:r>
          </w:p>
        </w:tc>
        <w:tc>
          <w:tcPr>
            <w:tcW w:w="1126" w:type="pct"/>
            <w:tcBorders>
              <w:top w:val="nil"/>
              <w:left w:val="single" w:sz="4" w:space="0" w:color="auto"/>
              <w:bottom w:val="single" w:sz="4" w:space="0" w:color="auto"/>
              <w:right w:val="single" w:sz="4" w:space="0" w:color="auto"/>
            </w:tcBorders>
            <w:shd w:val="clear" w:color="auto" w:fill="auto"/>
            <w:noWrap/>
            <w:hideMark/>
          </w:tcPr>
          <w:p w14:paraId="13DEF685" w14:textId="77777777" w:rsidR="001A5A18" w:rsidRPr="00AC2481" w:rsidRDefault="001A5A18" w:rsidP="0097148B">
            <w:pPr>
              <w:rPr>
                <w:rStyle w:val="Hyperlink"/>
                <w:rFonts w:asciiTheme="majorHAnsi" w:hAnsiTheme="majorHAnsi"/>
                <w:sz w:val="20"/>
                <w:szCs w:val="20"/>
              </w:rPr>
            </w:pPr>
            <w:r w:rsidRPr="00AC2481">
              <w:rPr>
                <w:rStyle w:val="Hyperlink"/>
                <w:rFonts w:asciiTheme="majorHAnsi" w:hAnsiTheme="majorHAnsi"/>
                <w:sz w:val="20"/>
                <w:szCs w:val="20"/>
              </w:rPr>
              <w:t>http://energy.gov/sites/prod/files/2013/11/f5/53827-4.pdf</w:t>
            </w:r>
          </w:p>
        </w:tc>
      </w:tr>
      <w:tr w:rsidR="001A5A18" w:rsidRPr="00AC2481" w14:paraId="53DC82B3" w14:textId="77777777" w:rsidTr="003660A6">
        <w:trPr>
          <w:cantSplit/>
          <w:jc w:val="center"/>
        </w:trPr>
        <w:tc>
          <w:tcPr>
            <w:tcW w:w="847" w:type="pct"/>
            <w:tcBorders>
              <w:top w:val="nil"/>
              <w:left w:val="single" w:sz="4" w:space="0" w:color="auto"/>
              <w:bottom w:val="single" w:sz="4" w:space="0" w:color="auto"/>
              <w:right w:val="single" w:sz="4" w:space="0" w:color="auto"/>
            </w:tcBorders>
            <w:shd w:val="clear" w:color="auto" w:fill="D1E1FF"/>
            <w:noWrap/>
            <w:hideMark/>
          </w:tcPr>
          <w:p w14:paraId="0CDE08D4" w14:textId="77777777" w:rsidR="001A5A18" w:rsidRPr="00AC2481" w:rsidRDefault="001A5A18" w:rsidP="0097148B">
            <w:pP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Residential Water Heating Retrofit Programs</w:t>
            </w:r>
          </w:p>
        </w:tc>
        <w:tc>
          <w:tcPr>
            <w:tcW w:w="172" w:type="pct"/>
            <w:tcBorders>
              <w:top w:val="nil"/>
              <w:left w:val="nil"/>
              <w:bottom w:val="single" w:sz="4" w:space="0" w:color="auto"/>
              <w:right w:val="single" w:sz="4" w:space="0" w:color="auto"/>
            </w:tcBorders>
            <w:shd w:val="clear" w:color="auto" w:fill="D1E1FF"/>
            <w:noWrap/>
            <w:hideMark/>
          </w:tcPr>
          <w:p w14:paraId="3D055F71" w14:textId="77777777" w:rsidR="001A5A18" w:rsidRPr="00AC2481" w:rsidRDefault="001A5A18" w:rsidP="0097148B">
            <w:pPr>
              <w:jc w:val="center"/>
              <w:rPr>
                <w:rFonts w:asciiTheme="majorHAnsi" w:eastAsia="Times New Roman" w:hAnsiTheme="majorHAnsi" w:cs="Calibri"/>
                <w:b/>
                <w:color w:val="000000"/>
                <w:sz w:val="20"/>
                <w:szCs w:val="20"/>
              </w:rPr>
            </w:pPr>
          </w:p>
        </w:tc>
        <w:tc>
          <w:tcPr>
            <w:tcW w:w="172" w:type="pct"/>
            <w:tcBorders>
              <w:top w:val="nil"/>
              <w:left w:val="nil"/>
              <w:bottom w:val="single" w:sz="4" w:space="0" w:color="auto"/>
              <w:right w:val="single" w:sz="4" w:space="0" w:color="auto"/>
            </w:tcBorders>
            <w:shd w:val="clear" w:color="auto" w:fill="D1E1FF"/>
            <w:noWrap/>
            <w:hideMark/>
          </w:tcPr>
          <w:p w14:paraId="122B5542"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nil"/>
              <w:left w:val="nil"/>
              <w:bottom w:val="single" w:sz="4" w:space="0" w:color="auto"/>
              <w:right w:val="single" w:sz="4" w:space="0" w:color="auto"/>
            </w:tcBorders>
            <w:shd w:val="clear" w:color="auto" w:fill="D1E1FF"/>
            <w:noWrap/>
            <w:hideMark/>
          </w:tcPr>
          <w:p w14:paraId="23728B56"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170" w:type="pct"/>
            <w:tcBorders>
              <w:top w:val="nil"/>
              <w:left w:val="nil"/>
              <w:bottom w:val="single" w:sz="4" w:space="0" w:color="auto"/>
              <w:right w:val="single" w:sz="4" w:space="0" w:color="auto"/>
            </w:tcBorders>
            <w:shd w:val="clear" w:color="auto" w:fill="D1E1FF"/>
            <w:hideMark/>
          </w:tcPr>
          <w:p w14:paraId="7C582B38"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Onsite Data collection on water usage and temperatures</w:t>
            </w:r>
          </w:p>
          <w:p w14:paraId="5D7F0066"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 xml:space="preserve">Deemed system efficiencies and water usage profiles </w:t>
            </w:r>
          </w:p>
          <w:p w14:paraId="6C3F2909"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Deemed savings values per unit capacity</w:t>
            </w:r>
          </w:p>
        </w:tc>
        <w:tc>
          <w:tcPr>
            <w:tcW w:w="1341" w:type="pct"/>
            <w:tcBorders>
              <w:top w:val="nil"/>
              <w:left w:val="nil"/>
              <w:bottom w:val="single" w:sz="4" w:space="0" w:color="auto"/>
              <w:right w:val="nil"/>
            </w:tcBorders>
            <w:shd w:val="clear" w:color="auto" w:fill="D1E1FF"/>
            <w:noWrap/>
            <w:hideMark/>
          </w:tcPr>
          <w:p w14:paraId="4E163242" w14:textId="77777777" w:rsidR="001A5A18" w:rsidRPr="00AC2481" w:rsidRDefault="001A5A18" w:rsidP="0097148B">
            <w:pPr>
              <w:rPr>
                <w:rFonts w:asciiTheme="majorHAnsi" w:eastAsia="Times New Roman" w:hAnsiTheme="majorHAnsi" w:cs="Calibri"/>
                <w:i/>
                <w:iCs/>
                <w:color w:val="000000"/>
                <w:sz w:val="20"/>
                <w:szCs w:val="20"/>
              </w:rPr>
            </w:pPr>
            <w:r w:rsidRPr="00AC2481">
              <w:rPr>
                <w:rFonts w:asciiTheme="majorHAnsi" w:eastAsia="Times New Roman" w:hAnsiTheme="majorHAnsi" w:cs="Calibri"/>
                <w:iCs/>
                <w:color w:val="000000"/>
                <w:sz w:val="20"/>
                <w:szCs w:val="20"/>
              </w:rPr>
              <w:t>Most recent study on stimulating adoption of high efficiency water heating is useful</w:t>
            </w:r>
            <w:r w:rsidRPr="00AC2481">
              <w:rPr>
                <w:rFonts w:asciiTheme="majorHAnsi" w:hAnsiTheme="majorHAnsi"/>
                <w:sz w:val="20"/>
                <w:szCs w:val="20"/>
              </w:rPr>
              <w:t xml:space="preserve"> </w:t>
            </w:r>
            <w:r w:rsidRPr="00AC2481">
              <w:rPr>
                <w:rFonts w:asciiTheme="majorHAnsi" w:hAnsiTheme="majorHAnsi"/>
                <w:i/>
                <w:sz w:val="20"/>
                <w:szCs w:val="20"/>
              </w:rPr>
              <w:t>Residential Water Heating Program Facilitating the Market Transformation to Higher Efficiency Gas‐Fired Water Heating</w:t>
            </w:r>
            <w:r w:rsidRPr="00AC2481">
              <w:rPr>
                <w:rFonts w:asciiTheme="majorHAnsi" w:hAnsiTheme="majorHAnsi"/>
                <w:sz w:val="20"/>
                <w:szCs w:val="20"/>
              </w:rPr>
              <w:t>, Prepared for the CEC by Gas Technology Institute, December 2012</w:t>
            </w:r>
          </w:p>
        </w:tc>
        <w:tc>
          <w:tcPr>
            <w:tcW w:w="1126" w:type="pct"/>
            <w:tcBorders>
              <w:top w:val="nil"/>
              <w:left w:val="single" w:sz="4" w:space="0" w:color="auto"/>
              <w:bottom w:val="single" w:sz="4" w:space="0" w:color="auto"/>
              <w:right w:val="single" w:sz="4" w:space="0" w:color="auto"/>
            </w:tcBorders>
            <w:shd w:val="clear" w:color="auto" w:fill="D1E1FF"/>
            <w:noWrap/>
            <w:hideMark/>
          </w:tcPr>
          <w:p w14:paraId="4492EEB6" w14:textId="77777777" w:rsidR="001A5A18" w:rsidRPr="00AC2481" w:rsidRDefault="001A5A18" w:rsidP="0097148B">
            <w:pPr>
              <w:rPr>
                <w:rStyle w:val="Hyperlink"/>
                <w:rFonts w:asciiTheme="majorHAnsi" w:hAnsiTheme="majorHAnsi"/>
                <w:sz w:val="20"/>
                <w:szCs w:val="20"/>
              </w:rPr>
            </w:pPr>
            <w:r w:rsidRPr="00AC2481">
              <w:rPr>
                <w:rStyle w:val="Hyperlink"/>
                <w:rFonts w:asciiTheme="majorHAnsi" w:hAnsiTheme="majorHAnsi"/>
                <w:sz w:val="20"/>
                <w:szCs w:val="20"/>
              </w:rPr>
              <w:t>http://www.energy.ca.gov/2013publications/CEC-500-2013-060/CEC-500-2013-060.pdf</w:t>
            </w:r>
          </w:p>
        </w:tc>
      </w:tr>
      <w:tr w:rsidR="001A5A18" w:rsidRPr="00AC2481" w14:paraId="74C1111A" w14:textId="77777777" w:rsidTr="003660A6">
        <w:trPr>
          <w:cantSplit/>
          <w:jc w:val="center"/>
        </w:trPr>
        <w:tc>
          <w:tcPr>
            <w:tcW w:w="847" w:type="pct"/>
            <w:tcBorders>
              <w:top w:val="nil"/>
              <w:left w:val="single" w:sz="4" w:space="0" w:color="auto"/>
              <w:bottom w:val="single" w:sz="4" w:space="0" w:color="auto"/>
              <w:right w:val="single" w:sz="4" w:space="0" w:color="auto"/>
            </w:tcBorders>
            <w:shd w:val="clear" w:color="auto" w:fill="auto"/>
            <w:noWrap/>
            <w:hideMark/>
          </w:tcPr>
          <w:p w14:paraId="4D8EEAE9" w14:textId="77777777" w:rsidR="001A5A18" w:rsidRPr="00AC2481" w:rsidRDefault="001A5A18" w:rsidP="0097148B">
            <w:pP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lastRenderedPageBreak/>
              <w:t>Residential Refrigerator Recycling Programs</w:t>
            </w:r>
          </w:p>
        </w:tc>
        <w:tc>
          <w:tcPr>
            <w:tcW w:w="172" w:type="pct"/>
            <w:tcBorders>
              <w:top w:val="nil"/>
              <w:left w:val="nil"/>
              <w:bottom w:val="single" w:sz="4" w:space="0" w:color="auto"/>
              <w:right w:val="single" w:sz="4" w:space="0" w:color="auto"/>
            </w:tcBorders>
            <w:shd w:val="clear" w:color="auto" w:fill="auto"/>
            <w:noWrap/>
            <w:hideMark/>
          </w:tcPr>
          <w:p w14:paraId="7ED6DD55" w14:textId="77777777" w:rsidR="001A5A18" w:rsidRPr="00AC2481" w:rsidRDefault="001A5A18" w:rsidP="0097148B">
            <w:pPr>
              <w:jc w:val="center"/>
              <w:rPr>
                <w:rFonts w:asciiTheme="majorHAnsi" w:eastAsia="Times New Roman" w:hAnsiTheme="majorHAnsi" w:cs="Calibri"/>
                <w:b/>
                <w:color w:val="000000"/>
                <w:sz w:val="20"/>
                <w:szCs w:val="20"/>
              </w:rPr>
            </w:pPr>
          </w:p>
        </w:tc>
        <w:tc>
          <w:tcPr>
            <w:tcW w:w="172" w:type="pct"/>
            <w:tcBorders>
              <w:top w:val="nil"/>
              <w:left w:val="nil"/>
              <w:bottom w:val="single" w:sz="4" w:space="0" w:color="auto"/>
              <w:right w:val="single" w:sz="4" w:space="0" w:color="auto"/>
            </w:tcBorders>
            <w:shd w:val="clear" w:color="auto" w:fill="auto"/>
            <w:noWrap/>
            <w:hideMark/>
          </w:tcPr>
          <w:p w14:paraId="13F60D47"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nil"/>
              <w:left w:val="nil"/>
              <w:bottom w:val="single" w:sz="4" w:space="0" w:color="auto"/>
              <w:right w:val="single" w:sz="4" w:space="0" w:color="auto"/>
            </w:tcBorders>
            <w:shd w:val="clear" w:color="auto" w:fill="auto"/>
            <w:noWrap/>
            <w:hideMark/>
          </w:tcPr>
          <w:p w14:paraId="616818F5"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170" w:type="pct"/>
            <w:tcBorders>
              <w:top w:val="nil"/>
              <w:left w:val="nil"/>
              <w:bottom w:val="single" w:sz="4" w:space="0" w:color="auto"/>
              <w:right w:val="single" w:sz="4" w:space="0" w:color="auto"/>
            </w:tcBorders>
            <w:shd w:val="clear" w:color="auto" w:fill="auto"/>
            <w:hideMark/>
          </w:tcPr>
          <w:p w14:paraId="719269BC"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 xml:space="preserve">Gather equipment model numbers to estimate removed units’ consumption and part-year usage </w:t>
            </w:r>
          </w:p>
          <w:p w14:paraId="18EF3F5F"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Regression analysis to estimate usage reduction</w:t>
            </w:r>
          </w:p>
          <w:p w14:paraId="2D5ECC8C" w14:textId="77777777" w:rsidR="001A5A18" w:rsidRPr="00AC2481" w:rsidRDefault="001A5A18" w:rsidP="001A5A18">
            <w:pPr>
              <w:pStyle w:val="ListParagraph"/>
              <w:keepNext/>
              <w:numPr>
                <w:ilvl w:val="0"/>
                <w:numId w:val="243"/>
              </w:numPr>
              <w:ind w:left="302" w:hanging="187"/>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Deemed savings values per unit capacity</w:t>
            </w:r>
            <w:r w:rsidRPr="00AC2481" w:rsidDel="000B732C">
              <w:rPr>
                <w:rFonts w:asciiTheme="majorHAnsi" w:eastAsia="Times New Roman" w:hAnsiTheme="majorHAnsi" w:cs="Calibri"/>
                <w:color w:val="000000"/>
                <w:sz w:val="20"/>
                <w:szCs w:val="20"/>
              </w:rPr>
              <w:t xml:space="preserve"> </w:t>
            </w:r>
          </w:p>
        </w:tc>
        <w:tc>
          <w:tcPr>
            <w:tcW w:w="1341" w:type="pct"/>
            <w:tcBorders>
              <w:top w:val="nil"/>
              <w:left w:val="nil"/>
              <w:bottom w:val="single" w:sz="4" w:space="0" w:color="auto"/>
              <w:right w:val="nil"/>
            </w:tcBorders>
            <w:shd w:val="clear" w:color="auto" w:fill="auto"/>
            <w:hideMark/>
          </w:tcPr>
          <w:p w14:paraId="28D9D0B5" w14:textId="77777777" w:rsidR="001A5A18" w:rsidRPr="00AC2481" w:rsidRDefault="001A5A18" w:rsidP="0097148B">
            <w:pPr>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Uniform</w:t>
            </w:r>
            <w:r w:rsidRPr="00AC2481">
              <w:rPr>
                <w:rFonts w:asciiTheme="majorHAnsi" w:eastAsia="Times New Roman" w:hAnsiTheme="majorHAnsi" w:cs="Calibri"/>
                <w:color w:val="000000"/>
                <w:sz w:val="20"/>
                <w:szCs w:val="20"/>
                <w:u w:val="single"/>
              </w:rPr>
              <w:t xml:space="preserve"> </w:t>
            </w:r>
            <w:r w:rsidRPr="00AC2481">
              <w:rPr>
                <w:rFonts w:asciiTheme="majorHAnsi" w:eastAsia="Times New Roman" w:hAnsiTheme="majorHAnsi" w:cs="Calibri"/>
                <w:color w:val="000000"/>
                <w:sz w:val="20"/>
                <w:szCs w:val="20"/>
              </w:rPr>
              <w:t>Methods</w:t>
            </w:r>
            <w:r w:rsidRPr="00AC2481">
              <w:rPr>
                <w:rFonts w:asciiTheme="majorHAnsi" w:eastAsia="Times New Roman" w:hAnsiTheme="majorHAnsi" w:cs="Calibri"/>
                <w:color w:val="000000"/>
                <w:sz w:val="20"/>
                <w:szCs w:val="20"/>
                <w:u w:val="single"/>
              </w:rPr>
              <w:t xml:space="preserve"> </w:t>
            </w:r>
            <w:r w:rsidRPr="00AC2481">
              <w:rPr>
                <w:rFonts w:asciiTheme="majorHAnsi" w:eastAsia="Times New Roman" w:hAnsiTheme="majorHAnsi" w:cs="Calibri"/>
                <w:color w:val="000000"/>
                <w:sz w:val="20"/>
                <w:szCs w:val="20"/>
              </w:rPr>
              <w:t>Project; Chapter 7</w:t>
            </w:r>
            <w:r w:rsidRPr="00AC2481">
              <w:rPr>
                <w:rFonts w:asciiTheme="majorHAnsi" w:eastAsia="Times New Roman" w:hAnsiTheme="majorHAnsi" w:cs="Calibri"/>
                <w:i/>
                <w:color w:val="000000"/>
                <w:sz w:val="20"/>
                <w:szCs w:val="20"/>
              </w:rPr>
              <w:t>: Residential Recycling Protocol (April 2013)</w:t>
            </w:r>
            <w:r w:rsidRPr="00AC2481">
              <w:rPr>
                <w:rFonts w:asciiTheme="majorHAnsi" w:eastAsia="Times New Roman" w:hAnsiTheme="majorHAnsi" w:cs="Calibri"/>
                <w:color w:val="000000"/>
                <w:sz w:val="20"/>
                <w:szCs w:val="20"/>
                <w:u w:val="single"/>
              </w:rPr>
              <w:t xml:space="preserve"> </w:t>
            </w:r>
          </w:p>
        </w:tc>
        <w:tc>
          <w:tcPr>
            <w:tcW w:w="1126" w:type="pct"/>
            <w:tcBorders>
              <w:top w:val="nil"/>
              <w:left w:val="single" w:sz="4" w:space="0" w:color="auto"/>
              <w:bottom w:val="single" w:sz="4" w:space="0" w:color="auto"/>
              <w:right w:val="single" w:sz="4" w:space="0" w:color="auto"/>
            </w:tcBorders>
            <w:shd w:val="clear" w:color="auto" w:fill="auto"/>
            <w:noWrap/>
            <w:hideMark/>
          </w:tcPr>
          <w:p w14:paraId="47286BEC" w14:textId="77777777" w:rsidR="001A5A18" w:rsidRPr="00AC2481" w:rsidRDefault="001A5A18" w:rsidP="0097148B">
            <w:pPr>
              <w:rPr>
                <w:rStyle w:val="Hyperlink"/>
                <w:rFonts w:asciiTheme="majorHAnsi" w:hAnsiTheme="majorHAnsi"/>
                <w:sz w:val="20"/>
                <w:szCs w:val="20"/>
              </w:rPr>
            </w:pPr>
            <w:r w:rsidRPr="00AC2481">
              <w:rPr>
                <w:rStyle w:val="Hyperlink"/>
                <w:rFonts w:asciiTheme="majorHAnsi" w:hAnsiTheme="majorHAnsi"/>
                <w:sz w:val="20"/>
                <w:szCs w:val="20"/>
              </w:rPr>
              <w:t>http://energy.gov/sites/prod/files/2013/11/f5/53827-7.pdf</w:t>
            </w:r>
          </w:p>
        </w:tc>
      </w:tr>
      <w:tr w:rsidR="001A5A18" w:rsidRPr="00AC2481" w14:paraId="1F504581" w14:textId="77777777" w:rsidTr="003660A6">
        <w:trPr>
          <w:cantSplit/>
          <w:jc w:val="center"/>
        </w:trPr>
        <w:tc>
          <w:tcPr>
            <w:tcW w:w="847" w:type="pct"/>
            <w:tcBorders>
              <w:top w:val="nil"/>
              <w:left w:val="single" w:sz="4" w:space="0" w:color="auto"/>
              <w:bottom w:val="single" w:sz="4" w:space="0" w:color="auto"/>
              <w:right w:val="single" w:sz="4" w:space="0" w:color="auto"/>
            </w:tcBorders>
            <w:shd w:val="clear" w:color="auto" w:fill="D1E1FF"/>
            <w:noWrap/>
            <w:hideMark/>
          </w:tcPr>
          <w:p w14:paraId="2DBA0084" w14:textId="77777777" w:rsidR="001A5A18" w:rsidRPr="00AC2481" w:rsidRDefault="001A5A18" w:rsidP="0097148B">
            <w:pP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Residential Consumer Electronics Replacement Programs</w:t>
            </w:r>
          </w:p>
        </w:tc>
        <w:tc>
          <w:tcPr>
            <w:tcW w:w="172" w:type="pct"/>
            <w:tcBorders>
              <w:top w:val="nil"/>
              <w:left w:val="nil"/>
              <w:bottom w:val="single" w:sz="4" w:space="0" w:color="auto"/>
              <w:right w:val="single" w:sz="4" w:space="0" w:color="auto"/>
            </w:tcBorders>
            <w:shd w:val="clear" w:color="auto" w:fill="D1E1FF"/>
            <w:noWrap/>
            <w:hideMark/>
          </w:tcPr>
          <w:p w14:paraId="53B29B59" w14:textId="77777777" w:rsidR="001A5A18" w:rsidRPr="00AC2481" w:rsidRDefault="001A5A18" w:rsidP="0097148B">
            <w:pPr>
              <w:jc w:val="center"/>
              <w:rPr>
                <w:rFonts w:asciiTheme="majorHAnsi" w:eastAsia="Times New Roman" w:hAnsiTheme="majorHAnsi" w:cs="Calibri"/>
                <w:b/>
                <w:color w:val="000000"/>
                <w:sz w:val="20"/>
                <w:szCs w:val="20"/>
              </w:rPr>
            </w:pPr>
          </w:p>
        </w:tc>
        <w:tc>
          <w:tcPr>
            <w:tcW w:w="172" w:type="pct"/>
            <w:tcBorders>
              <w:top w:val="nil"/>
              <w:left w:val="nil"/>
              <w:bottom w:val="single" w:sz="4" w:space="0" w:color="auto"/>
              <w:right w:val="single" w:sz="4" w:space="0" w:color="auto"/>
            </w:tcBorders>
            <w:shd w:val="clear" w:color="auto" w:fill="D1E1FF"/>
            <w:noWrap/>
            <w:hideMark/>
          </w:tcPr>
          <w:p w14:paraId="05FE858B"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nil"/>
              <w:left w:val="nil"/>
              <w:bottom w:val="single" w:sz="4" w:space="0" w:color="auto"/>
              <w:right w:val="single" w:sz="4" w:space="0" w:color="auto"/>
            </w:tcBorders>
            <w:shd w:val="clear" w:color="auto" w:fill="D1E1FF"/>
            <w:noWrap/>
            <w:hideMark/>
          </w:tcPr>
          <w:p w14:paraId="1055E1AB"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170" w:type="pct"/>
            <w:tcBorders>
              <w:top w:val="nil"/>
              <w:left w:val="nil"/>
              <w:bottom w:val="single" w:sz="4" w:space="0" w:color="auto"/>
              <w:right w:val="single" w:sz="4" w:space="0" w:color="auto"/>
            </w:tcBorders>
            <w:shd w:val="clear" w:color="auto" w:fill="D1E1FF"/>
            <w:hideMark/>
          </w:tcPr>
          <w:p w14:paraId="49BF0B20"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Gather data on equipment energy hourly and energy usage, and load profiles</w:t>
            </w:r>
          </w:p>
          <w:p w14:paraId="411AB8B2"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Deemed baseline usage and savings algorithms</w:t>
            </w:r>
          </w:p>
          <w:p w14:paraId="392C57FC"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Deemed savings values per unit capacity</w:t>
            </w:r>
          </w:p>
        </w:tc>
        <w:tc>
          <w:tcPr>
            <w:tcW w:w="1341" w:type="pct"/>
            <w:tcBorders>
              <w:top w:val="nil"/>
              <w:left w:val="nil"/>
              <w:bottom w:val="single" w:sz="4" w:space="0" w:color="auto"/>
              <w:right w:val="nil"/>
            </w:tcBorders>
            <w:shd w:val="clear" w:color="auto" w:fill="D1E1FF"/>
            <w:noWrap/>
            <w:hideMark/>
          </w:tcPr>
          <w:p w14:paraId="753837C9" w14:textId="77777777" w:rsidR="001A5A18" w:rsidRPr="00AC2481" w:rsidRDefault="001A5A18" w:rsidP="0097148B">
            <w:pPr>
              <w:rPr>
                <w:rFonts w:asciiTheme="majorHAnsi" w:eastAsia="Times New Roman" w:hAnsiTheme="majorHAnsi" w:cs="Calibri"/>
                <w:iCs/>
                <w:color w:val="000000"/>
                <w:sz w:val="20"/>
                <w:szCs w:val="20"/>
              </w:rPr>
            </w:pPr>
            <w:r w:rsidRPr="00AC2481">
              <w:rPr>
                <w:rFonts w:asciiTheme="majorHAnsi" w:eastAsia="Times New Roman" w:hAnsiTheme="majorHAnsi" w:cs="Calibri"/>
                <w:iCs/>
                <w:color w:val="000000"/>
                <w:sz w:val="20"/>
                <w:szCs w:val="20"/>
              </w:rPr>
              <w:t xml:space="preserve">No protocols but useful references include: </w:t>
            </w:r>
          </w:p>
          <w:p w14:paraId="08C100AD" w14:textId="77777777" w:rsidR="001A5A18" w:rsidRPr="00AC2481" w:rsidRDefault="001A5A18" w:rsidP="0097148B">
            <w:pPr>
              <w:rPr>
                <w:rFonts w:asciiTheme="majorHAnsi" w:hAnsiTheme="majorHAnsi"/>
                <w:sz w:val="20"/>
                <w:szCs w:val="20"/>
              </w:rPr>
            </w:pPr>
            <w:r w:rsidRPr="00AC2481">
              <w:rPr>
                <w:rFonts w:asciiTheme="majorHAnsi" w:eastAsia="Times New Roman" w:hAnsiTheme="majorHAnsi" w:cs="Calibri"/>
                <w:iCs/>
                <w:color w:val="000000"/>
                <w:sz w:val="20"/>
                <w:szCs w:val="20"/>
              </w:rPr>
              <w:t>(1)</w:t>
            </w:r>
            <w:r w:rsidRPr="00AC2481">
              <w:rPr>
                <w:rFonts w:asciiTheme="majorHAnsi" w:eastAsia="Times New Roman" w:hAnsiTheme="majorHAnsi" w:cs="Calibri"/>
                <w:i/>
                <w:iCs/>
                <w:color w:val="000000"/>
                <w:sz w:val="20"/>
                <w:szCs w:val="20"/>
              </w:rPr>
              <w:t xml:space="preserve"> </w:t>
            </w:r>
            <w:r w:rsidRPr="00AC2481">
              <w:rPr>
                <w:rFonts w:asciiTheme="majorHAnsi" w:hAnsiTheme="majorHAnsi"/>
                <w:i/>
                <w:sz w:val="20"/>
                <w:szCs w:val="20"/>
              </w:rPr>
              <w:t>Set-Top-Box Pilot and Market Assessment (Research into Action</w:t>
            </w:r>
            <w:r w:rsidRPr="00AC2481">
              <w:rPr>
                <w:rFonts w:asciiTheme="majorHAnsi" w:hAnsiTheme="majorHAnsi"/>
                <w:sz w:val="20"/>
                <w:szCs w:val="20"/>
              </w:rPr>
              <w:t>, April 2015)</w:t>
            </w:r>
          </w:p>
          <w:p w14:paraId="6F439AA0" w14:textId="77777777" w:rsidR="001A5A18" w:rsidRPr="00AC2481" w:rsidRDefault="001A5A18" w:rsidP="0097148B">
            <w:pPr>
              <w:rPr>
                <w:rFonts w:asciiTheme="majorHAnsi" w:eastAsia="Times New Roman" w:hAnsiTheme="majorHAnsi" w:cs="Calibri"/>
                <w:i/>
                <w:iCs/>
                <w:color w:val="000000"/>
                <w:sz w:val="20"/>
                <w:szCs w:val="20"/>
              </w:rPr>
            </w:pPr>
            <w:r w:rsidRPr="00AC2481">
              <w:rPr>
                <w:rFonts w:asciiTheme="majorHAnsi" w:hAnsiTheme="majorHAnsi"/>
                <w:sz w:val="20"/>
                <w:szCs w:val="20"/>
              </w:rPr>
              <w:t xml:space="preserve">(2) </w:t>
            </w:r>
            <w:r w:rsidRPr="00AC2481">
              <w:rPr>
                <w:rFonts w:asciiTheme="majorHAnsi" w:hAnsiTheme="majorHAnsi"/>
                <w:i/>
                <w:sz w:val="20"/>
                <w:szCs w:val="20"/>
              </w:rPr>
              <w:t>Literature Review of Miscellaneous Energy Loads (MELs) in Residential Building</w:t>
            </w:r>
            <w:r w:rsidRPr="00AC2481">
              <w:rPr>
                <w:rFonts w:asciiTheme="majorHAnsi" w:hAnsiTheme="majorHAnsi"/>
                <w:sz w:val="20"/>
                <w:szCs w:val="20"/>
              </w:rPr>
              <w:t>, Prepared by Energy Solutions, 2014</w:t>
            </w:r>
          </w:p>
        </w:tc>
        <w:tc>
          <w:tcPr>
            <w:tcW w:w="1126" w:type="pct"/>
            <w:tcBorders>
              <w:top w:val="nil"/>
              <w:left w:val="single" w:sz="4" w:space="0" w:color="auto"/>
              <w:bottom w:val="single" w:sz="4" w:space="0" w:color="auto"/>
              <w:right w:val="single" w:sz="4" w:space="0" w:color="auto"/>
            </w:tcBorders>
            <w:shd w:val="clear" w:color="auto" w:fill="D1E1FF"/>
            <w:noWrap/>
            <w:hideMark/>
          </w:tcPr>
          <w:p w14:paraId="0F8FEBA8" w14:textId="77777777" w:rsidR="001A5A18" w:rsidRPr="00AC2481" w:rsidRDefault="001A5A18" w:rsidP="0097148B">
            <w:pPr>
              <w:rPr>
                <w:rStyle w:val="Hyperlink"/>
                <w:rFonts w:asciiTheme="majorHAnsi" w:hAnsiTheme="majorHAnsi"/>
                <w:sz w:val="20"/>
                <w:szCs w:val="20"/>
              </w:rPr>
            </w:pPr>
            <w:r w:rsidRPr="00AC2481">
              <w:rPr>
                <w:rStyle w:val="Hyperlink"/>
                <w:rFonts w:asciiTheme="majorHAnsi" w:hAnsiTheme="majorHAnsi"/>
                <w:sz w:val="20"/>
                <w:szCs w:val="20"/>
              </w:rPr>
              <w:t>http://www.calmac.org/publications/SCE_STB_Report_04_30_2015_FINAL.pdf</w:t>
            </w:r>
          </w:p>
        </w:tc>
      </w:tr>
      <w:tr w:rsidR="001A5A18" w:rsidRPr="00AC2481" w14:paraId="70472B68" w14:textId="77777777" w:rsidTr="003660A6">
        <w:trPr>
          <w:cantSplit/>
          <w:jc w:val="center"/>
        </w:trPr>
        <w:tc>
          <w:tcPr>
            <w:tcW w:w="847" w:type="pct"/>
            <w:tcBorders>
              <w:top w:val="nil"/>
              <w:left w:val="single" w:sz="4" w:space="0" w:color="auto"/>
              <w:bottom w:val="single" w:sz="4" w:space="0" w:color="auto"/>
              <w:right w:val="single" w:sz="4" w:space="0" w:color="auto"/>
            </w:tcBorders>
            <w:shd w:val="clear" w:color="auto" w:fill="auto"/>
            <w:noWrap/>
            <w:hideMark/>
          </w:tcPr>
          <w:p w14:paraId="6587258D" w14:textId="77777777" w:rsidR="001A5A18" w:rsidRPr="00AC2481" w:rsidRDefault="001A5A18" w:rsidP="0097148B">
            <w:pPr>
              <w:rPr>
                <w:rFonts w:asciiTheme="majorHAnsi" w:eastAsia="Times New Roman" w:hAnsiTheme="majorHAnsi" w:cs="Calibri"/>
                <w:b/>
                <w:color w:val="000000"/>
                <w:sz w:val="20"/>
                <w:szCs w:val="20"/>
              </w:rPr>
            </w:pPr>
          </w:p>
          <w:p w14:paraId="0CB87B33" w14:textId="77777777" w:rsidR="001A5A18" w:rsidRPr="00AC2481" w:rsidRDefault="001A5A18" w:rsidP="0097148B">
            <w:pP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Low income Energy Efficiency Weatherization Programs</w:t>
            </w:r>
          </w:p>
        </w:tc>
        <w:tc>
          <w:tcPr>
            <w:tcW w:w="172" w:type="pct"/>
            <w:tcBorders>
              <w:top w:val="nil"/>
              <w:left w:val="nil"/>
              <w:bottom w:val="single" w:sz="4" w:space="0" w:color="auto"/>
              <w:right w:val="single" w:sz="4" w:space="0" w:color="auto"/>
            </w:tcBorders>
            <w:shd w:val="clear" w:color="auto" w:fill="auto"/>
            <w:noWrap/>
            <w:hideMark/>
          </w:tcPr>
          <w:p w14:paraId="1C5B195D"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nil"/>
              <w:left w:val="nil"/>
              <w:bottom w:val="single" w:sz="4" w:space="0" w:color="auto"/>
              <w:right w:val="single" w:sz="4" w:space="0" w:color="auto"/>
            </w:tcBorders>
            <w:shd w:val="clear" w:color="auto" w:fill="auto"/>
            <w:noWrap/>
            <w:hideMark/>
          </w:tcPr>
          <w:p w14:paraId="6DE8C359"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nil"/>
              <w:left w:val="nil"/>
              <w:bottom w:val="single" w:sz="4" w:space="0" w:color="auto"/>
              <w:right w:val="single" w:sz="4" w:space="0" w:color="auto"/>
            </w:tcBorders>
            <w:shd w:val="clear" w:color="auto" w:fill="auto"/>
            <w:noWrap/>
            <w:hideMark/>
          </w:tcPr>
          <w:p w14:paraId="159B20E0"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170" w:type="pct"/>
            <w:tcBorders>
              <w:top w:val="nil"/>
              <w:left w:val="nil"/>
              <w:bottom w:val="single" w:sz="4" w:space="0" w:color="auto"/>
              <w:right w:val="single" w:sz="4" w:space="0" w:color="auto"/>
            </w:tcBorders>
            <w:shd w:val="clear" w:color="auto" w:fill="auto"/>
            <w:hideMark/>
          </w:tcPr>
          <w:p w14:paraId="7B48E872"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Onsite data collection to verify measure installation</w:t>
            </w:r>
          </w:p>
          <w:p w14:paraId="370A4AA9"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Billing analysis</w:t>
            </w:r>
          </w:p>
          <w:p w14:paraId="20DF08F1"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 xml:space="preserve">Building simulation models </w:t>
            </w:r>
          </w:p>
          <w:p w14:paraId="2766CD55"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Surveys to determine actions taken, together with deemed savings</w:t>
            </w:r>
          </w:p>
        </w:tc>
        <w:tc>
          <w:tcPr>
            <w:tcW w:w="1341" w:type="pct"/>
            <w:tcBorders>
              <w:top w:val="nil"/>
              <w:left w:val="nil"/>
              <w:bottom w:val="single" w:sz="4" w:space="0" w:color="auto"/>
              <w:right w:val="nil"/>
            </w:tcBorders>
            <w:shd w:val="clear" w:color="auto" w:fill="auto"/>
            <w:hideMark/>
          </w:tcPr>
          <w:p w14:paraId="2DE0102B" w14:textId="77777777" w:rsidR="001A5A18" w:rsidRPr="00AC2481" w:rsidRDefault="00133485" w:rsidP="0097148B">
            <w:pPr>
              <w:rPr>
                <w:rFonts w:asciiTheme="majorHAnsi" w:eastAsia="Times New Roman" w:hAnsiTheme="majorHAnsi" w:cs="Calibri"/>
                <w:sz w:val="20"/>
                <w:szCs w:val="20"/>
              </w:rPr>
            </w:pPr>
            <w:hyperlink r:id="rId33" w:history="1">
              <w:r w:rsidR="001A5A18" w:rsidRPr="00AC2481">
                <w:rPr>
                  <w:rFonts w:asciiTheme="majorHAnsi" w:eastAsia="Times New Roman" w:hAnsiTheme="majorHAnsi" w:cs="Calibri"/>
                  <w:sz w:val="20"/>
                  <w:szCs w:val="20"/>
                </w:rPr>
                <w:t>Uniform Methods Project, Chapter 8:</w:t>
              </w:r>
              <w:r w:rsidR="001A5A18" w:rsidRPr="00AC2481">
                <w:rPr>
                  <w:rFonts w:asciiTheme="majorHAnsi" w:eastAsia="Times New Roman" w:hAnsiTheme="majorHAnsi" w:cs="Calibri"/>
                  <w:i/>
                  <w:sz w:val="20"/>
                  <w:szCs w:val="20"/>
                </w:rPr>
                <w:t xml:space="preserve"> Whole-Building Retrofit with Consumption Data Analysis Evaluation Protocol</w:t>
              </w:r>
              <w:r w:rsidR="001A5A18" w:rsidRPr="00AC2481">
                <w:rPr>
                  <w:rFonts w:asciiTheme="majorHAnsi" w:eastAsia="Times New Roman" w:hAnsiTheme="majorHAnsi" w:cs="Calibri"/>
                  <w:sz w:val="20"/>
                  <w:szCs w:val="20"/>
                  <w:u w:val="single"/>
                </w:rPr>
                <w:t xml:space="preserve"> </w:t>
              </w:r>
            </w:hyperlink>
          </w:p>
          <w:p w14:paraId="07D916BE" w14:textId="77777777" w:rsidR="001A5A18" w:rsidRPr="00AC2481" w:rsidRDefault="001A5A18" w:rsidP="0097148B">
            <w:pPr>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 xml:space="preserve">“Evaluation of a Low-Income Energy Efficiency Program,” by Jacqueline Berger, APPRISE, Paper published in ACEEE 2014 Summer Conference Proceeding </w:t>
            </w:r>
          </w:p>
        </w:tc>
        <w:tc>
          <w:tcPr>
            <w:tcW w:w="1126" w:type="pct"/>
            <w:tcBorders>
              <w:top w:val="nil"/>
              <w:left w:val="single" w:sz="4" w:space="0" w:color="auto"/>
              <w:bottom w:val="single" w:sz="4" w:space="0" w:color="auto"/>
              <w:right w:val="single" w:sz="4" w:space="0" w:color="auto"/>
            </w:tcBorders>
            <w:shd w:val="clear" w:color="auto" w:fill="auto"/>
            <w:noWrap/>
            <w:hideMark/>
          </w:tcPr>
          <w:p w14:paraId="2E4A37B0" w14:textId="77777777" w:rsidR="001A5A18" w:rsidRPr="00AC2481" w:rsidRDefault="00133485" w:rsidP="0097148B">
            <w:pPr>
              <w:rPr>
                <w:rStyle w:val="Hyperlink"/>
                <w:rFonts w:asciiTheme="majorHAnsi" w:hAnsiTheme="majorHAnsi"/>
                <w:sz w:val="20"/>
                <w:szCs w:val="20"/>
              </w:rPr>
            </w:pPr>
            <w:hyperlink r:id="rId34" w:history="1">
              <w:r w:rsidR="001A5A18" w:rsidRPr="00AC2481">
                <w:rPr>
                  <w:rStyle w:val="Hyperlink"/>
                  <w:rFonts w:asciiTheme="majorHAnsi" w:hAnsiTheme="majorHAnsi"/>
                  <w:sz w:val="20"/>
                  <w:szCs w:val="20"/>
                </w:rPr>
                <w:t>http://www.energy.gov/sites/prod/files/2013/11/f5/53827-8.pdf</w:t>
              </w:r>
            </w:hyperlink>
          </w:p>
        </w:tc>
      </w:tr>
      <w:tr w:rsidR="001A5A18" w:rsidRPr="00AC2481" w14:paraId="528A9283" w14:textId="77777777" w:rsidTr="003660A6">
        <w:trPr>
          <w:cantSplit/>
          <w:jc w:val="center"/>
        </w:trPr>
        <w:tc>
          <w:tcPr>
            <w:tcW w:w="847" w:type="pct"/>
            <w:tcBorders>
              <w:top w:val="nil"/>
              <w:left w:val="single" w:sz="4" w:space="0" w:color="auto"/>
              <w:bottom w:val="single" w:sz="4" w:space="0" w:color="auto"/>
              <w:right w:val="single" w:sz="4" w:space="0" w:color="auto"/>
            </w:tcBorders>
            <w:shd w:val="clear" w:color="auto" w:fill="D1E1FF"/>
            <w:noWrap/>
            <w:hideMark/>
          </w:tcPr>
          <w:p w14:paraId="75593821" w14:textId="77777777" w:rsidR="001A5A18" w:rsidRPr="00AC2481" w:rsidRDefault="001A5A18" w:rsidP="0097148B">
            <w:pP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Residential Behavior Programs</w:t>
            </w:r>
          </w:p>
        </w:tc>
        <w:tc>
          <w:tcPr>
            <w:tcW w:w="172" w:type="pct"/>
            <w:tcBorders>
              <w:top w:val="nil"/>
              <w:left w:val="nil"/>
              <w:bottom w:val="single" w:sz="4" w:space="0" w:color="auto"/>
              <w:right w:val="single" w:sz="4" w:space="0" w:color="auto"/>
            </w:tcBorders>
            <w:shd w:val="clear" w:color="auto" w:fill="D1E1FF"/>
            <w:noWrap/>
            <w:hideMark/>
          </w:tcPr>
          <w:p w14:paraId="7ACB33DC"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nil"/>
              <w:left w:val="nil"/>
              <w:bottom w:val="single" w:sz="4" w:space="0" w:color="auto"/>
              <w:right w:val="single" w:sz="4" w:space="0" w:color="auto"/>
            </w:tcBorders>
            <w:shd w:val="clear" w:color="auto" w:fill="D1E1FF"/>
            <w:noWrap/>
            <w:hideMark/>
          </w:tcPr>
          <w:p w14:paraId="60917216" w14:textId="77777777" w:rsidR="001A5A18" w:rsidRPr="00AC2481" w:rsidRDefault="001A5A18" w:rsidP="0097148B">
            <w:pPr>
              <w:jc w:val="center"/>
              <w:rPr>
                <w:rFonts w:asciiTheme="majorHAnsi" w:eastAsia="Times New Roman" w:hAnsiTheme="majorHAnsi" w:cs="Calibri"/>
                <w:b/>
                <w:color w:val="000000"/>
                <w:sz w:val="20"/>
                <w:szCs w:val="20"/>
              </w:rPr>
            </w:pPr>
          </w:p>
        </w:tc>
        <w:tc>
          <w:tcPr>
            <w:tcW w:w="172" w:type="pct"/>
            <w:tcBorders>
              <w:top w:val="nil"/>
              <w:left w:val="nil"/>
              <w:bottom w:val="single" w:sz="4" w:space="0" w:color="auto"/>
              <w:right w:val="single" w:sz="4" w:space="0" w:color="auto"/>
            </w:tcBorders>
            <w:shd w:val="clear" w:color="auto" w:fill="D1E1FF"/>
            <w:noWrap/>
            <w:hideMark/>
          </w:tcPr>
          <w:p w14:paraId="46D296E0" w14:textId="77777777" w:rsidR="001A5A18" w:rsidRPr="00AC2481" w:rsidRDefault="001A5A18" w:rsidP="0097148B">
            <w:pPr>
              <w:jc w:val="center"/>
              <w:rPr>
                <w:rFonts w:asciiTheme="majorHAnsi" w:eastAsia="Times New Roman" w:hAnsiTheme="majorHAnsi" w:cs="Calibri"/>
                <w:b/>
                <w:color w:val="000000"/>
                <w:sz w:val="20"/>
                <w:szCs w:val="20"/>
              </w:rPr>
            </w:pPr>
          </w:p>
        </w:tc>
        <w:tc>
          <w:tcPr>
            <w:tcW w:w="1170" w:type="pct"/>
            <w:tcBorders>
              <w:top w:val="nil"/>
              <w:left w:val="nil"/>
              <w:bottom w:val="single" w:sz="4" w:space="0" w:color="auto"/>
              <w:right w:val="single" w:sz="4" w:space="0" w:color="auto"/>
            </w:tcBorders>
            <w:shd w:val="clear" w:color="auto" w:fill="D1E1FF"/>
            <w:hideMark/>
          </w:tcPr>
          <w:p w14:paraId="17F2E3E6"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Billing Analysis using Randomized Control Trials</w:t>
            </w:r>
          </w:p>
          <w:p w14:paraId="5C1D9DD5"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Website usage statistics to inform billing analysis</w:t>
            </w:r>
          </w:p>
        </w:tc>
        <w:tc>
          <w:tcPr>
            <w:tcW w:w="1341" w:type="pct"/>
            <w:tcBorders>
              <w:top w:val="nil"/>
              <w:left w:val="nil"/>
              <w:bottom w:val="single" w:sz="4" w:space="0" w:color="auto"/>
              <w:right w:val="nil"/>
            </w:tcBorders>
            <w:shd w:val="clear" w:color="auto" w:fill="D1E1FF"/>
            <w:hideMark/>
          </w:tcPr>
          <w:p w14:paraId="773CE5D1" w14:textId="77777777" w:rsidR="001A5A18" w:rsidRPr="00AC2481" w:rsidRDefault="001A5A18" w:rsidP="0097148B">
            <w:pPr>
              <w:rPr>
                <w:rFonts w:asciiTheme="majorHAnsi" w:eastAsia="Times New Roman" w:hAnsiTheme="majorHAnsi" w:cs="Calibri"/>
                <w:color w:val="000000"/>
                <w:sz w:val="20"/>
                <w:szCs w:val="20"/>
                <w:u w:val="single"/>
              </w:rPr>
            </w:pPr>
            <w:r w:rsidRPr="00AC2481">
              <w:rPr>
                <w:rFonts w:asciiTheme="majorHAnsi" w:eastAsia="Times New Roman" w:hAnsiTheme="majorHAnsi" w:cs="Calibri"/>
                <w:color w:val="000000"/>
                <w:sz w:val="20"/>
                <w:szCs w:val="20"/>
              </w:rPr>
              <w:t>Uniform</w:t>
            </w:r>
            <w:r w:rsidRPr="00AC2481">
              <w:rPr>
                <w:rFonts w:asciiTheme="majorHAnsi" w:eastAsia="Times New Roman" w:hAnsiTheme="majorHAnsi" w:cs="Calibri"/>
                <w:color w:val="000000"/>
                <w:sz w:val="20"/>
                <w:szCs w:val="20"/>
                <w:u w:val="single"/>
              </w:rPr>
              <w:t xml:space="preserve"> </w:t>
            </w:r>
            <w:r w:rsidRPr="00AC2481">
              <w:rPr>
                <w:rFonts w:asciiTheme="majorHAnsi" w:eastAsia="Times New Roman" w:hAnsiTheme="majorHAnsi" w:cs="Calibri"/>
                <w:color w:val="000000"/>
                <w:sz w:val="20"/>
                <w:szCs w:val="20"/>
              </w:rPr>
              <w:t>Methods</w:t>
            </w:r>
            <w:r w:rsidRPr="00AC2481">
              <w:rPr>
                <w:rFonts w:asciiTheme="majorHAnsi" w:eastAsia="Times New Roman" w:hAnsiTheme="majorHAnsi" w:cs="Calibri"/>
                <w:color w:val="000000"/>
                <w:sz w:val="20"/>
                <w:szCs w:val="20"/>
                <w:u w:val="single"/>
              </w:rPr>
              <w:t xml:space="preserve"> </w:t>
            </w:r>
            <w:r w:rsidRPr="00AC2481">
              <w:rPr>
                <w:rFonts w:asciiTheme="majorHAnsi" w:eastAsia="Times New Roman" w:hAnsiTheme="majorHAnsi" w:cs="Calibri"/>
                <w:color w:val="000000"/>
                <w:sz w:val="20"/>
                <w:szCs w:val="20"/>
              </w:rPr>
              <w:t xml:space="preserve">Project; Chapter 17: </w:t>
            </w:r>
            <w:r w:rsidRPr="00AC2481">
              <w:rPr>
                <w:rFonts w:asciiTheme="majorHAnsi" w:eastAsia="Times New Roman" w:hAnsiTheme="majorHAnsi" w:cs="Calibri"/>
                <w:i/>
                <w:color w:val="000000"/>
                <w:sz w:val="20"/>
                <w:szCs w:val="20"/>
              </w:rPr>
              <w:t>Residential Behavior Protocol</w:t>
            </w:r>
            <w:r w:rsidRPr="00AC2481">
              <w:rPr>
                <w:rFonts w:asciiTheme="majorHAnsi" w:eastAsia="Times New Roman" w:hAnsiTheme="majorHAnsi" w:cs="Calibri"/>
                <w:color w:val="000000"/>
                <w:sz w:val="20"/>
                <w:szCs w:val="20"/>
              </w:rPr>
              <w:t xml:space="preserve"> (January 2015)</w:t>
            </w:r>
            <w:r w:rsidRPr="00AC2481">
              <w:rPr>
                <w:rFonts w:asciiTheme="majorHAnsi" w:eastAsia="Times New Roman" w:hAnsiTheme="majorHAnsi" w:cs="Calibri"/>
                <w:color w:val="000000"/>
                <w:sz w:val="20"/>
                <w:szCs w:val="20"/>
                <w:u w:val="single"/>
              </w:rPr>
              <w:t xml:space="preserve"> </w:t>
            </w:r>
          </w:p>
          <w:p w14:paraId="76498346" w14:textId="77777777" w:rsidR="001A5A18" w:rsidRPr="00AC2481" w:rsidRDefault="00133485" w:rsidP="0097148B">
            <w:pPr>
              <w:rPr>
                <w:rStyle w:val="Hyperlink"/>
                <w:rFonts w:asciiTheme="majorHAnsi" w:hAnsiTheme="majorHAnsi"/>
                <w:sz w:val="20"/>
                <w:szCs w:val="20"/>
              </w:rPr>
            </w:pPr>
            <w:hyperlink r:id="rId35" w:history="1">
              <w:r w:rsidR="001A5A18" w:rsidRPr="00AC2481">
                <w:rPr>
                  <w:rStyle w:val="Hyperlink"/>
                  <w:rFonts w:asciiTheme="majorHAnsi" w:hAnsiTheme="majorHAnsi"/>
                  <w:sz w:val="20"/>
                  <w:szCs w:val="20"/>
                </w:rPr>
                <w:t>http://eetd.lbl.gov/sites/all/files/publications/behavior-based-emv.pdf</w:t>
              </w:r>
            </w:hyperlink>
            <w:r w:rsidR="001A5A18" w:rsidRPr="00AC2481">
              <w:rPr>
                <w:rStyle w:val="Hyperlink"/>
                <w:rFonts w:asciiTheme="majorHAnsi" w:hAnsiTheme="majorHAnsi"/>
                <w:sz w:val="20"/>
                <w:szCs w:val="20"/>
              </w:rPr>
              <w:t xml:space="preserve"> </w:t>
            </w:r>
          </w:p>
        </w:tc>
        <w:tc>
          <w:tcPr>
            <w:tcW w:w="1126" w:type="pct"/>
            <w:tcBorders>
              <w:top w:val="nil"/>
              <w:left w:val="single" w:sz="4" w:space="0" w:color="auto"/>
              <w:bottom w:val="single" w:sz="4" w:space="0" w:color="auto"/>
              <w:right w:val="single" w:sz="4" w:space="0" w:color="auto"/>
            </w:tcBorders>
            <w:shd w:val="clear" w:color="auto" w:fill="D1E1FF"/>
            <w:noWrap/>
            <w:hideMark/>
          </w:tcPr>
          <w:p w14:paraId="7D3E1A79" w14:textId="77777777" w:rsidR="001A5A18" w:rsidRPr="00AC2481" w:rsidRDefault="001A5A18" w:rsidP="0097148B">
            <w:pPr>
              <w:rPr>
                <w:rStyle w:val="Hyperlink"/>
                <w:rFonts w:asciiTheme="majorHAnsi" w:hAnsiTheme="majorHAnsi"/>
                <w:sz w:val="20"/>
                <w:szCs w:val="20"/>
              </w:rPr>
            </w:pPr>
            <w:r w:rsidRPr="00AC2481">
              <w:rPr>
                <w:rStyle w:val="Hyperlink"/>
                <w:rFonts w:asciiTheme="majorHAnsi" w:hAnsiTheme="majorHAnsi"/>
                <w:sz w:val="20"/>
                <w:szCs w:val="20"/>
              </w:rPr>
              <w:t>http://energy.gov/sites/prod/files/2015/02/f19/UMPChapter17-residential-behavior.pdf</w:t>
            </w:r>
          </w:p>
        </w:tc>
      </w:tr>
      <w:tr w:rsidR="001A5A18" w:rsidRPr="00AC2481" w14:paraId="7131A482" w14:textId="77777777" w:rsidTr="003660A6">
        <w:trPr>
          <w:cantSplit/>
          <w:jc w:val="center"/>
        </w:trPr>
        <w:tc>
          <w:tcPr>
            <w:tcW w:w="847" w:type="pct"/>
            <w:tcBorders>
              <w:top w:val="nil"/>
              <w:left w:val="single" w:sz="4" w:space="0" w:color="auto"/>
              <w:bottom w:val="single" w:sz="4" w:space="0" w:color="auto"/>
              <w:right w:val="single" w:sz="4" w:space="0" w:color="auto"/>
            </w:tcBorders>
            <w:shd w:val="clear" w:color="auto" w:fill="auto"/>
            <w:noWrap/>
            <w:hideMark/>
          </w:tcPr>
          <w:p w14:paraId="29237D7D" w14:textId="77777777" w:rsidR="001A5A18" w:rsidRPr="00AC2481" w:rsidRDefault="001A5A18" w:rsidP="0097148B">
            <w:pP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lastRenderedPageBreak/>
              <w:t>Residential New Construction Programs</w:t>
            </w:r>
          </w:p>
        </w:tc>
        <w:tc>
          <w:tcPr>
            <w:tcW w:w="172" w:type="pct"/>
            <w:tcBorders>
              <w:top w:val="nil"/>
              <w:left w:val="nil"/>
              <w:bottom w:val="single" w:sz="4" w:space="0" w:color="auto"/>
              <w:right w:val="single" w:sz="4" w:space="0" w:color="auto"/>
            </w:tcBorders>
            <w:shd w:val="clear" w:color="auto" w:fill="auto"/>
            <w:noWrap/>
            <w:hideMark/>
          </w:tcPr>
          <w:p w14:paraId="5191EC57" w14:textId="77777777" w:rsidR="001A5A18" w:rsidRPr="00AC2481" w:rsidRDefault="001A5A18" w:rsidP="0097148B">
            <w:pPr>
              <w:jc w:val="center"/>
              <w:rPr>
                <w:rFonts w:asciiTheme="majorHAnsi" w:eastAsia="Times New Roman" w:hAnsiTheme="majorHAnsi" w:cs="Calibri"/>
                <w:b/>
                <w:color w:val="000000"/>
                <w:sz w:val="20"/>
                <w:szCs w:val="20"/>
              </w:rPr>
            </w:pPr>
          </w:p>
        </w:tc>
        <w:tc>
          <w:tcPr>
            <w:tcW w:w="172" w:type="pct"/>
            <w:tcBorders>
              <w:top w:val="nil"/>
              <w:left w:val="nil"/>
              <w:bottom w:val="single" w:sz="4" w:space="0" w:color="auto"/>
              <w:right w:val="single" w:sz="4" w:space="0" w:color="auto"/>
            </w:tcBorders>
            <w:shd w:val="clear" w:color="auto" w:fill="auto"/>
            <w:noWrap/>
            <w:hideMark/>
          </w:tcPr>
          <w:p w14:paraId="6624ADD4"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nil"/>
              <w:left w:val="nil"/>
              <w:bottom w:val="single" w:sz="4" w:space="0" w:color="auto"/>
              <w:right w:val="single" w:sz="4" w:space="0" w:color="auto"/>
            </w:tcBorders>
            <w:shd w:val="clear" w:color="auto" w:fill="auto"/>
            <w:noWrap/>
            <w:hideMark/>
          </w:tcPr>
          <w:p w14:paraId="282D9142"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170" w:type="pct"/>
            <w:tcBorders>
              <w:top w:val="nil"/>
              <w:left w:val="nil"/>
              <w:bottom w:val="single" w:sz="4" w:space="0" w:color="auto"/>
              <w:right w:val="single" w:sz="4" w:space="0" w:color="auto"/>
            </w:tcBorders>
            <w:shd w:val="clear" w:color="auto" w:fill="auto"/>
            <w:hideMark/>
          </w:tcPr>
          <w:p w14:paraId="772A5263"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Building Simulation Analysis</w:t>
            </w:r>
          </w:p>
          <w:p w14:paraId="2DA78FC2"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HERS ratings and onsite data collection to verify system installed</w:t>
            </w:r>
          </w:p>
          <w:p w14:paraId="1042DF9E"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Surveys to estimate baseline &amp; naturally occurring market adoption (NOMAD)</w:t>
            </w:r>
          </w:p>
          <w:p w14:paraId="70897794"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Surveys to determine actions taken, together with deemed savings</w:t>
            </w:r>
          </w:p>
        </w:tc>
        <w:tc>
          <w:tcPr>
            <w:tcW w:w="1341" w:type="pct"/>
            <w:tcBorders>
              <w:top w:val="nil"/>
              <w:left w:val="nil"/>
              <w:bottom w:val="single" w:sz="4" w:space="0" w:color="auto"/>
              <w:right w:val="nil"/>
            </w:tcBorders>
            <w:shd w:val="clear" w:color="auto" w:fill="auto"/>
            <w:hideMark/>
          </w:tcPr>
          <w:p w14:paraId="64BD5808" w14:textId="77777777" w:rsidR="001A5A18" w:rsidRPr="00AC2481" w:rsidRDefault="001A5A18" w:rsidP="0097148B">
            <w:pPr>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California Energy Efficiency Evaluation Protocols:</w:t>
            </w:r>
            <w:r w:rsidR="00AC2481" w:rsidRPr="00AC2481">
              <w:rPr>
                <w:rFonts w:asciiTheme="majorHAnsi" w:eastAsia="Times New Roman" w:hAnsiTheme="majorHAnsi" w:cs="Calibri"/>
                <w:color w:val="000000"/>
                <w:sz w:val="20"/>
                <w:szCs w:val="20"/>
              </w:rPr>
              <w:t xml:space="preserve"> </w:t>
            </w:r>
            <w:r w:rsidRPr="00AC2481">
              <w:rPr>
                <w:rFonts w:asciiTheme="majorHAnsi" w:eastAsia="Times New Roman" w:hAnsiTheme="majorHAnsi" w:cs="Calibri"/>
                <w:i/>
                <w:color w:val="000000"/>
                <w:sz w:val="20"/>
                <w:szCs w:val="20"/>
              </w:rPr>
              <w:t xml:space="preserve">Codes And Standards and Compliance Enhancement Evaluation Protocol, </w:t>
            </w:r>
            <w:r w:rsidRPr="00AC2481">
              <w:rPr>
                <w:rFonts w:asciiTheme="majorHAnsi" w:eastAsia="Times New Roman" w:hAnsiTheme="majorHAnsi" w:cs="Calibri"/>
                <w:color w:val="000000"/>
                <w:sz w:val="20"/>
                <w:szCs w:val="20"/>
              </w:rPr>
              <w:t xml:space="preserve">April 2006, California Public Utilities Commission </w:t>
            </w:r>
          </w:p>
          <w:p w14:paraId="4EE72111" w14:textId="77777777" w:rsidR="001A5A18" w:rsidRPr="00AC2481" w:rsidRDefault="001A5A18" w:rsidP="0097148B">
            <w:pPr>
              <w:rPr>
                <w:rFonts w:asciiTheme="majorHAnsi" w:eastAsia="Times New Roman" w:hAnsiTheme="majorHAnsi" w:cs="Calibri"/>
                <w:color w:val="000000"/>
                <w:sz w:val="20"/>
                <w:szCs w:val="20"/>
              </w:rPr>
            </w:pPr>
            <w:r w:rsidRPr="00AC2481">
              <w:rPr>
                <w:rFonts w:asciiTheme="majorHAnsi" w:eastAsia="Times New Roman" w:hAnsiTheme="majorHAnsi" w:cs="Calibri"/>
                <w:i/>
                <w:sz w:val="20"/>
                <w:szCs w:val="20"/>
              </w:rPr>
              <w:t>Attributing Building Energy Code Savings to Energy Efficiency Programs,</w:t>
            </w:r>
            <w:r w:rsidRPr="00AC2481">
              <w:rPr>
                <w:rFonts w:asciiTheme="majorHAnsi" w:eastAsia="Times New Roman" w:hAnsiTheme="majorHAnsi" w:cs="Calibri"/>
                <w:sz w:val="20"/>
                <w:szCs w:val="20"/>
              </w:rPr>
              <w:t xml:space="preserve"> IEE/IMT/NEEP Report, February 2013, Prepared by: The Cadmus Group, Inc., Energy Futures Group NMR Group, Inc. Optimal Energy</w:t>
            </w:r>
          </w:p>
        </w:tc>
        <w:tc>
          <w:tcPr>
            <w:tcW w:w="1126" w:type="pct"/>
            <w:tcBorders>
              <w:top w:val="nil"/>
              <w:left w:val="single" w:sz="4" w:space="0" w:color="auto"/>
              <w:bottom w:val="single" w:sz="4" w:space="0" w:color="auto"/>
              <w:right w:val="single" w:sz="4" w:space="0" w:color="auto"/>
            </w:tcBorders>
            <w:shd w:val="clear" w:color="auto" w:fill="auto"/>
            <w:noWrap/>
            <w:hideMark/>
          </w:tcPr>
          <w:p w14:paraId="13EC742D" w14:textId="77777777" w:rsidR="001A5A18" w:rsidRPr="00AC2481" w:rsidRDefault="001A5A18" w:rsidP="0097148B">
            <w:pPr>
              <w:rPr>
                <w:rStyle w:val="Hyperlink"/>
                <w:rFonts w:asciiTheme="majorHAnsi" w:hAnsiTheme="majorHAnsi"/>
                <w:sz w:val="20"/>
                <w:szCs w:val="20"/>
              </w:rPr>
            </w:pPr>
            <w:r w:rsidRPr="00AC2481">
              <w:rPr>
                <w:rStyle w:val="Hyperlink"/>
                <w:rFonts w:asciiTheme="majorHAnsi" w:hAnsiTheme="majorHAnsi"/>
                <w:sz w:val="20"/>
                <w:szCs w:val="20"/>
              </w:rPr>
              <w:t>http://www.calmac.org/publications/EvaluatorsProtocols_Final_AdoptedviaRuling_06-19-2006.pdf</w:t>
            </w:r>
          </w:p>
        </w:tc>
      </w:tr>
      <w:tr w:rsidR="001A5A18" w:rsidRPr="00AC2481" w14:paraId="1718A65B" w14:textId="77777777" w:rsidTr="003660A6">
        <w:trPr>
          <w:cantSplit/>
          <w:jc w:val="center"/>
        </w:trPr>
        <w:tc>
          <w:tcPr>
            <w:tcW w:w="847" w:type="pct"/>
            <w:tcBorders>
              <w:top w:val="nil"/>
              <w:left w:val="single" w:sz="4" w:space="0" w:color="auto"/>
              <w:bottom w:val="single" w:sz="4" w:space="0" w:color="auto"/>
              <w:right w:val="single" w:sz="4" w:space="0" w:color="auto"/>
            </w:tcBorders>
            <w:shd w:val="clear" w:color="auto" w:fill="D1E1FF"/>
            <w:noWrap/>
            <w:hideMark/>
          </w:tcPr>
          <w:p w14:paraId="1880F7FB" w14:textId="77777777" w:rsidR="001A5A18" w:rsidRPr="00AC2481" w:rsidRDefault="001A5A18" w:rsidP="0097148B">
            <w:pP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Non Residential Lighting Programs</w:t>
            </w:r>
          </w:p>
        </w:tc>
        <w:tc>
          <w:tcPr>
            <w:tcW w:w="172" w:type="pct"/>
            <w:tcBorders>
              <w:top w:val="nil"/>
              <w:left w:val="nil"/>
              <w:bottom w:val="single" w:sz="4" w:space="0" w:color="auto"/>
              <w:right w:val="single" w:sz="4" w:space="0" w:color="auto"/>
            </w:tcBorders>
            <w:shd w:val="clear" w:color="auto" w:fill="D1E1FF"/>
            <w:noWrap/>
            <w:hideMark/>
          </w:tcPr>
          <w:p w14:paraId="26B60943" w14:textId="77777777" w:rsidR="001A5A18" w:rsidRPr="00AC2481" w:rsidRDefault="001A5A18" w:rsidP="0097148B">
            <w:pPr>
              <w:jc w:val="center"/>
              <w:rPr>
                <w:rFonts w:asciiTheme="majorHAnsi" w:eastAsia="Times New Roman" w:hAnsiTheme="majorHAnsi" w:cs="Calibri"/>
                <w:b/>
                <w:color w:val="000000"/>
                <w:sz w:val="20"/>
                <w:szCs w:val="20"/>
              </w:rPr>
            </w:pPr>
          </w:p>
        </w:tc>
        <w:tc>
          <w:tcPr>
            <w:tcW w:w="172" w:type="pct"/>
            <w:tcBorders>
              <w:top w:val="nil"/>
              <w:left w:val="nil"/>
              <w:bottom w:val="single" w:sz="4" w:space="0" w:color="auto"/>
              <w:right w:val="single" w:sz="4" w:space="0" w:color="auto"/>
            </w:tcBorders>
            <w:shd w:val="clear" w:color="auto" w:fill="D1E1FF"/>
            <w:noWrap/>
            <w:hideMark/>
          </w:tcPr>
          <w:p w14:paraId="308E2835"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nil"/>
              <w:left w:val="nil"/>
              <w:bottom w:val="single" w:sz="4" w:space="0" w:color="auto"/>
              <w:right w:val="single" w:sz="4" w:space="0" w:color="auto"/>
            </w:tcBorders>
            <w:shd w:val="clear" w:color="auto" w:fill="D1E1FF"/>
            <w:noWrap/>
            <w:hideMark/>
          </w:tcPr>
          <w:p w14:paraId="58A93D10"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170" w:type="pct"/>
            <w:tcBorders>
              <w:top w:val="nil"/>
              <w:left w:val="nil"/>
              <w:bottom w:val="single" w:sz="4" w:space="0" w:color="auto"/>
              <w:right w:val="single" w:sz="4" w:space="0" w:color="auto"/>
            </w:tcBorders>
            <w:shd w:val="clear" w:color="auto" w:fill="D1E1FF"/>
            <w:hideMark/>
          </w:tcPr>
          <w:p w14:paraId="6F987769"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Onsite lighting loggers &amp; lighting inventory</w:t>
            </w:r>
          </w:p>
          <w:p w14:paraId="4729E6DD"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Deemed HOU and CF</w:t>
            </w:r>
          </w:p>
          <w:p w14:paraId="2D8A7F88" w14:textId="77777777" w:rsidR="001A5A18" w:rsidRPr="00AC2481" w:rsidRDefault="001A5A18" w:rsidP="001A5A18">
            <w:pPr>
              <w:pStyle w:val="ListParagraph"/>
              <w:numPr>
                <w:ilvl w:val="0"/>
                <w:numId w:val="243"/>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Baseline matching of equivalent light output (lumens) for technologies not covered by standards</w:t>
            </w:r>
          </w:p>
          <w:p w14:paraId="354B56AE" w14:textId="77777777" w:rsidR="001A5A18" w:rsidRPr="00AC2481" w:rsidRDefault="001A5A18" w:rsidP="001A5A18">
            <w:pPr>
              <w:pStyle w:val="ListParagraph"/>
              <w:keepNext/>
              <w:numPr>
                <w:ilvl w:val="0"/>
                <w:numId w:val="243"/>
              </w:numPr>
              <w:ind w:left="302" w:hanging="187"/>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Surveys to determine actions taken, together with deemed savings</w:t>
            </w:r>
          </w:p>
        </w:tc>
        <w:tc>
          <w:tcPr>
            <w:tcW w:w="1341" w:type="pct"/>
            <w:tcBorders>
              <w:top w:val="nil"/>
              <w:left w:val="nil"/>
              <w:bottom w:val="single" w:sz="4" w:space="0" w:color="auto"/>
              <w:right w:val="nil"/>
            </w:tcBorders>
            <w:shd w:val="clear" w:color="auto" w:fill="D1E1FF"/>
            <w:hideMark/>
          </w:tcPr>
          <w:p w14:paraId="2649159F" w14:textId="77777777" w:rsidR="001A5A18" w:rsidRPr="00AC2481" w:rsidRDefault="001A5A18" w:rsidP="0097148B">
            <w:pPr>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 xml:space="preserve">Uniform Methods Project, </w:t>
            </w:r>
            <w:r w:rsidRPr="00AC2481">
              <w:rPr>
                <w:rFonts w:asciiTheme="majorHAnsi" w:eastAsia="Times New Roman" w:hAnsiTheme="majorHAnsi" w:cs="Calibri"/>
                <w:i/>
                <w:color w:val="000000"/>
                <w:sz w:val="20"/>
                <w:szCs w:val="20"/>
              </w:rPr>
              <w:t>Chapter 2 Commercial and Industrial Lighting Evaluation Protocol</w:t>
            </w:r>
            <w:r w:rsidRPr="00AC2481">
              <w:rPr>
                <w:rFonts w:asciiTheme="majorHAnsi" w:eastAsia="Times New Roman" w:hAnsiTheme="majorHAnsi" w:cs="Calibri"/>
                <w:color w:val="000000"/>
                <w:sz w:val="20"/>
                <w:szCs w:val="20"/>
              </w:rPr>
              <w:t xml:space="preserve"> (April 2013) </w:t>
            </w:r>
          </w:p>
        </w:tc>
        <w:tc>
          <w:tcPr>
            <w:tcW w:w="1126" w:type="pct"/>
            <w:tcBorders>
              <w:top w:val="nil"/>
              <w:left w:val="single" w:sz="4" w:space="0" w:color="auto"/>
              <w:bottom w:val="single" w:sz="4" w:space="0" w:color="auto"/>
              <w:right w:val="single" w:sz="4" w:space="0" w:color="auto"/>
            </w:tcBorders>
            <w:shd w:val="clear" w:color="auto" w:fill="D1E1FF"/>
            <w:noWrap/>
            <w:hideMark/>
          </w:tcPr>
          <w:p w14:paraId="5CCF4861" w14:textId="77777777" w:rsidR="001A5A18" w:rsidRPr="00AC2481" w:rsidRDefault="001A5A18" w:rsidP="0097148B">
            <w:pPr>
              <w:rPr>
                <w:rStyle w:val="Hyperlink"/>
                <w:rFonts w:asciiTheme="majorHAnsi" w:hAnsiTheme="majorHAnsi"/>
                <w:sz w:val="20"/>
                <w:szCs w:val="20"/>
              </w:rPr>
            </w:pPr>
            <w:r w:rsidRPr="00AC2481">
              <w:rPr>
                <w:rStyle w:val="Hyperlink"/>
                <w:rFonts w:asciiTheme="majorHAnsi" w:hAnsiTheme="majorHAnsi"/>
                <w:sz w:val="20"/>
                <w:szCs w:val="20"/>
              </w:rPr>
              <w:t>http://energy.gov/sites/prod/files/2013/11/f5/53827-2.pdf</w:t>
            </w:r>
          </w:p>
        </w:tc>
      </w:tr>
      <w:tr w:rsidR="001A5A18" w:rsidRPr="00AC2481" w14:paraId="569AC8BA" w14:textId="77777777" w:rsidTr="003660A6">
        <w:trPr>
          <w:cantSplit/>
          <w:jc w:val="center"/>
        </w:trPr>
        <w:tc>
          <w:tcPr>
            <w:tcW w:w="847" w:type="pct"/>
            <w:tcBorders>
              <w:top w:val="nil"/>
              <w:left w:val="single" w:sz="4" w:space="0" w:color="auto"/>
              <w:bottom w:val="single" w:sz="4" w:space="0" w:color="auto"/>
              <w:right w:val="single" w:sz="4" w:space="0" w:color="auto"/>
            </w:tcBorders>
            <w:shd w:val="clear" w:color="auto" w:fill="auto"/>
            <w:noWrap/>
            <w:hideMark/>
          </w:tcPr>
          <w:p w14:paraId="27B2A0DD" w14:textId="77777777" w:rsidR="001A5A18" w:rsidRPr="00AC2481" w:rsidRDefault="001A5A18" w:rsidP="0097148B">
            <w:pP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Non Residential Lighting Controls Programs</w:t>
            </w:r>
          </w:p>
        </w:tc>
        <w:tc>
          <w:tcPr>
            <w:tcW w:w="172" w:type="pct"/>
            <w:tcBorders>
              <w:top w:val="nil"/>
              <w:left w:val="nil"/>
              <w:bottom w:val="single" w:sz="4" w:space="0" w:color="auto"/>
              <w:right w:val="single" w:sz="4" w:space="0" w:color="auto"/>
            </w:tcBorders>
            <w:shd w:val="clear" w:color="auto" w:fill="auto"/>
            <w:noWrap/>
            <w:hideMark/>
          </w:tcPr>
          <w:p w14:paraId="0AD213C8" w14:textId="77777777" w:rsidR="001A5A18" w:rsidRPr="00AC2481" w:rsidRDefault="001A5A18" w:rsidP="0097148B">
            <w:pPr>
              <w:jc w:val="center"/>
              <w:rPr>
                <w:rFonts w:asciiTheme="majorHAnsi" w:eastAsia="Times New Roman" w:hAnsiTheme="majorHAnsi" w:cs="Calibri"/>
                <w:b/>
                <w:color w:val="000000"/>
                <w:sz w:val="20"/>
                <w:szCs w:val="20"/>
              </w:rPr>
            </w:pPr>
          </w:p>
        </w:tc>
        <w:tc>
          <w:tcPr>
            <w:tcW w:w="172" w:type="pct"/>
            <w:tcBorders>
              <w:top w:val="nil"/>
              <w:left w:val="nil"/>
              <w:bottom w:val="single" w:sz="4" w:space="0" w:color="auto"/>
              <w:right w:val="single" w:sz="4" w:space="0" w:color="auto"/>
            </w:tcBorders>
            <w:shd w:val="clear" w:color="auto" w:fill="auto"/>
            <w:noWrap/>
            <w:hideMark/>
          </w:tcPr>
          <w:p w14:paraId="384D9CCC"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nil"/>
              <w:left w:val="nil"/>
              <w:bottom w:val="single" w:sz="4" w:space="0" w:color="auto"/>
              <w:right w:val="single" w:sz="4" w:space="0" w:color="auto"/>
            </w:tcBorders>
            <w:shd w:val="clear" w:color="auto" w:fill="auto"/>
            <w:noWrap/>
            <w:hideMark/>
          </w:tcPr>
          <w:p w14:paraId="14852058"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170" w:type="pct"/>
            <w:tcBorders>
              <w:top w:val="nil"/>
              <w:left w:val="nil"/>
              <w:bottom w:val="single" w:sz="4" w:space="0" w:color="auto"/>
              <w:right w:val="single" w:sz="4" w:space="0" w:color="auto"/>
            </w:tcBorders>
            <w:shd w:val="clear" w:color="auto" w:fill="auto"/>
            <w:hideMark/>
          </w:tcPr>
          <w:p w14:paraId="52368877" w14:textId="77777777" w:rsidR="001A5A18" w:rsidRPr="00AC2481" w:rsidRDefault="001A5A18" w:rsidP="001A5A18">
            <w:pPr>
              <w:pStyle w:val="ListParagraph"/>
              <w:numPr>
                <w:ilvl w:val="0"/>
                <w:numId w:val="244"/>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Onsite metering of lighting EFLH to estimate control savings factor (CSF)</w:t>
            </w:r>
          </w:p>
          <w:p w14:paraId="111E156D" w14:textId="77777777" w:rsidR="001A5A18" w:rsidRPr="00AC2481" w:rsidRDefault="001A5A18" w:rsidP="001A5A18">
            <w:pPr>
              <w:pStyle w:val="ListParagraph"/>
              <w:numPr>
                <w:ilvl w:val="0"/>
                <w:numId w:val="244"/>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Deemed CSF</w:t>
            </w:r>
          </w:p>
          <w:p w14:paraId="4A28A20E" w14:textId="77777777" w:rsidR="001A5A18" w:rsidRPr="00AC2481" w:rsidRDefault="001A5A18" w:rsidP="001A5A18">
            <w:pPr>
              <w:pStyle w:val="ListParagraph"/>
              <w:numPr>
                <w:ilvl w:val="0"/>
                <w:numId w:val="244"/>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Whole building analysis if control savings expected to exceed 10% of building usage</w:t>
            </w:r>
          </w:p>
          <w:p w14:paraId="13DDDA6A" w14:textId="77777777" w:rsidR="001A5A18" w:rsidRPr="00AC2481" w:rsidRDefault="001A5A18" w:rsidP="001A5A18">
            <w:pPr>
              <w:pStyle w:val="ListParagraph"/>
              <w:numPr>
                <w:ilvl w:val="0"/>
                <w:numId w:val="244"/>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Surveys to determine actions taken, together with deemed savings</w:t>
            </w:r>
          </w:p>
        </w:tc>
        <w:tc>
          <w:tcPr>
            <w:tcW w:w="1341" w:type="pct"/>
            <w:tcBorders>
              <w:top w:val="nil"/>
              <w:left w:val="nil"/>
              <w:bottom w:val="single" w:sz="4" w:space="0" w:color="auto"/>
              <w:right w:val="nil"/>
            </w:tcBorders>
            <w:shd w:val="clear" w:color="auto" w:fill="auto"/>
            <w:hideMark/>
          </w:tcPr>
          <w:p w14:paraId="4110DA7E" w14:textId="77777777" w:rsidR="001A5A18" w:rsidRPr="00AC2481" w:rsidRDefault="001A5A18" w:rsidP="0097148B">
            <w:pPr>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Uniform Methods Project, Chapter 3:</w:t>
            </w:r>
            <w:r w:rsidRPr="00AC2481">
              <w:rPr>
                <w:rFonts w:asciiTheme="majorHAnsi" w:eastAsia="Times New Roman" w:hAnsiTheme="majorHAnsi" w:cs="Calibri"/>
                <w:i/>
                <w:color w:val="000000"/>
                <w:sz w:val="20"/>
                <w:szCs w:val="20"/>
              </w:rPr>
              <w:t xml:space="preserve"> Commercial and Industrial Lighting Controls Evaluation Protocol </w:t>
            </w:r>
            <w:r w:rsidRPr="00AC2481">
              <w:rPr>
                <w:rFonts w:asciiTheme="majorHAnsi" w:eastAsia="Times New Roman" w:hAnsiTheme="majorHAnsi" w:cs="Calibri"/>
                <w:color w:val="000000"/>
                <w:sz w:val="20"/>
                <w:szCs w:val="20"/>
              </w:rPr>
              <w:t>(April 2013)</w:t>
            </w:r>
          </w:p>
        </w:tc>
        <w:tc>
          <w:tcPr>
            <w:tcW w:w="1126" w:type="pct"/>
            <w:tcBorders>
              <w:top w:val="nil"/>
              <w:left w:val="single" w:sz="4" w:space="0" w:color="auto"/>
              <w:bottom w:val="single" w:sz="4" w:space="0" w:color="auto"/>
              <w:right w:val="single" w:sz="4" w:space="0" w:color="auto"/>
            </w:tcBorders>
            <w:shd w:val="clear" w:color="auto" w:fill="auto"/>
            <w:noWrap/>
            <w:hideMark/>
          </w:tcPr>
          <w:p w14:paraId="3E9AE047" w14:textId="77777777" w:rsidR="001A5A18" w:rsidRPr="00AC2481" w:rsidRDefault="001A5A18" w:rsidP="0097148B">
            <w:pPr>
              <w:rPr>
                <w:rStyle w:val="Hyperlink"/>
                <w:rFonts w:asciiTheme="majorHAnsi" w:hAnsiTheme="majorHAnsi"/>
                <w:sz w:val="20"/>
                <w:szCs w:val="20"/>
              </w:rPr>
            </w:pPr>
            <w:r w:rsidRPr="00AC2481">
              <w:rPr>
                <w:rStyle w:val="Hyperlink"/>
                <w:rFonts w:asciiTheme="majorHAnsi" w:hAnsiTheme="majorHAnsi"/>
                <w:sz w:val="20"/>
                <w:szCs w:val="20"/>
              </w:rPr>
              <w:t>http://energy.gov/sites/prod/files/2013/11/f5/53827-3.pdf</w:t>
            </w:r>
          </w:p>
        </w:tc>
      </w:tr>
      <w:tr w:rsidR="001A5A18" w:rsidRPr="00AC2481" w14:paraId="626813B7" w14:textId="77777777" w:rsidTr="003660A6">
        <w:trPr>
          <w:cantSplit/>
          <w:jc w:val="center"/>
        </w:trPr>
        <w:tc>
          <w:tcPr>
            <w:tcW w:w="847" w:type="pct"/>
            <w:tcBorders>
              <w:top w:val="nil"/>
              <w:left w:val="single" w:sz="4" w:space="0" w:color="auto"/>
              <w:bottom w:val="single" w:sz="4" w:space="0" w:color="auto"/>
              <w:right w:val="single" w:sz="4" w:space="0" w:color="auto"/>
            </w:tcBorders>
            <w:shd w:val="clear" w:color="auto" w:fill="D1E1FF"/>
            <w:noWrap/>
            <w:hideMark/>
          </w:tcPr>
          <w:p w14:paraId="0B13659C" w14:textId="77777777" w:rsidR="001A5A18" w:rsidRPr="00AC2481" w:rsidRDefault="001A5A18" w:rsidP="0097148B">
            <w:pP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lastRenderedPageBreak/>
              <w:t>Compressed Air Programs</w:t>
            </w:r>
          </w:p>
        </w:tc>
        <w:tc>
          <w:tcPr>
            <w:tcW w:w="172" w:type="pct"/>
            <w:tcBorders>
              <w:top w:val="nil"/>
              <w:left w:val="nil"/>
              <w:bottom w:val="single" w:sz="4" w:space="0" w:color="auto"/>
              <w:right w:val="single" w:sz="4" w:space="0" w:color="auto"/>
            </w:tcBorders>
            <w:shd w:val="clear" w:color="auto" w:fill="D1E1FF"/>
            <w:noWrap/>
            <w:hideMark/>
          </w:tcPr>
          <w:p w14:paraId="022DC394" w14:textId="77777777" w:rsidR="001A5A18" w:rsidRPr="00AC2481" w:rsidRDefault="001A5A18" w:rsidP="0097148B">
            <w:pPr>
              <w:jc w:val="center"/>
              <w:rPr>
                <w:rFonts w:asciiTheme="majorHAnsi" w:eastAsia="Times New Roman" w:hAnsiTheme="majorHAnsi" w:cs="Calibri"/>
                <w:b/>
                <w:color w:val="000000"/>
                <w:sz w:val="20"/>
                <w:szCs w:val="20"/>
              </w:rPr>
            </w:pPr>
          </w:p>
        </w:tc>
        <w:tc>
          <w:tcPr>
            <w:tcW w:w="172" w:type="pct"/>
            <w:tcBorders>
              <w:top w:val="nil"/>
              <w:left w:val="nil"/>
              <w:bottom w:val="single" w:sz="4" w:space="0" w:color="auto"/>
              <w:right w:val="single" w:sz="4" w:space="0" w:color="auto"/>
            </w:tcBorders>
            <w:shd w:val="clear" w:color="auto" w:fill="D1E1FF"/>
            <w:noWrap/>
            <w:hideMark/>
          </w:tcPr>
          <w:p w14:paraId="30B4B732"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nil"/>
              <w:left w:val="nil"/>
              <w:bottom w:val="single" w:sz="4" w:space="0" w:color="auto"/>
              <w:right w:val="single" w:sz="4" w:space="0" w:color="auto"/>
            </w:tcBorders>
            <w:shd w:val="clear" w:color="auto" w:fill="D1E1FF"/>
            <w:noWrap/>
            <w:hideMark/>
          </w:tcPr>
          <w:p w14:paraId="1FE4B603"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170" w:type="pct"/>
            <w:tcBorders>
              <w:top w:val="nil"/>
              <w:left w:val="nil"/>
              <w:bottom w:val="single" w:sz="4" w:space="0" w:color="auto"/>
              <w:right w:val="single" w:sz="4" w:space="0" w:color="auto"/>
            </w:tcBorders>
            <w:shd w:val="clear" w:color="auto" w:fill="D1E1FF"/>
            <w:hideMark/>
          </w:tcPr>
          <w:p w14:paraId="24274817" w14:textId="77777777" w:rsidR="001A5A18" w:rsidRPr="00AC2481" w:rsidRDefault="001A5A18" w:rsidP="001A5A18">
            <w:pPr>
              <w:pStyle w:val="ListParagraph"/>
              <w:numPr>
                <w:ilvl w:val="0"/>
                <w:numId w:val="244"/>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Engineering estimates (with or without simulation models) based on (a) spot measurements to determine airflow, line pressure, compressor specific power, part-load performance, and operating hours and/or (b) metering to estimate compressor power, operating load and energy consumption</w:t>
            </w:r>
          </w:p>
          <w:p w14:paraId="12055A46" w14:textId="77777777" w:rsidR="001A5A18" w:rsidRPr="00AC2481" w:rsidRDefault="001A5A18" w:rsidP="001A5A18">
            <w:pPr>
              <w:pStyle w:val="ListParagraph"/>
              <w:numPr>
                <w:ilvl w:val="0"/>
                <w:numId w:val="244"/>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In some cases onsite leakage measurement for programs that seek to seal leaks</w:t>
            </w:r>
          </w:p>
          <w:p w14:paraId="7264E094" w14:textId="77777777" w:rsidR="001A5A18" w:rsidRPr="00AC2481" w:rsidRDefault="001A5A18" w:rsidP="001A5A18">
            <w:pPr>
              <w:pStyle w:val="ListParagraph"/>
              <w:numPr>
                <w:ilvl w:val="0"/>
                <w:numId w:val="244"/>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Surveys to determine actions taken, together with deemed savings</w:t>
            </w:r>
          </w:p>
        </w:tc>
        <w:tc>
          <w:tcPr>
            <w:tcW w:w="1341" w:type="pct"/>
            <w:tcBorders>
              <w:top w:val="nil"/>
              <w:left w:val="nil"/>
              <w:bottom w:val="single" w:sz="4" w:space="0" w:color="auto"/>
              <w:right w:val="nil"/>
            </w:tcBorders>
            <w:shd w:val="clear" w:color="auto" w:fill="D1E1FF"/>
            <w:hideMark/>
          </w:tcPr>
          <w:p w14:paraId="230893F7" w14:textId="77777777" w:rsidR="001A5A18" w:rsidRPr="00AC2481" w:rsidRDefault="001A5A18" w:rsidP="0097148B">
            <w:pPr>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Uniform Methods Project, Chapter 22:</w:t>
            </w:r>
            <w:r w:rsidRPr="00AC2481">
              <w:rPr>
                <w:rFonts w:asciiTheme="majorHAnsi" w:eastAsia="Times New Roman" w:hAnsiTheme="majorHAnsi" w:cs="Calibri"/>
                <w:i/>
                <w:color w:val="000000"/>
                <w:sz w:val="20"/>
                <w:szCs w:val="20"/>
              </w:rPr>
              <w:t xml:space="preserve"> Compressed Air Evaluation Protocol </w:t>
            </w:r>
            <w:r w:rsidRPr="00AC2481">
              <w:rPr>
                <w:rFonts w:asciiTheme="majorHAnsi" w:eastAsia="Times New Roman" w:hAnsiTheme="majorHAnsi" w:cs="Calibri"/>
                <w:color w:val="000000"/>
                <w:sz w:val="20"/>
                <w:szCs w:val="20"/>
              </w:rPr>
              <w:t>(November 2014)</w:t>
            </w:r>
          </w:p>
        </w:tc>
        <w:tc>
          <w:tcPr>
            <w:tcW w:w="1126" w:type="pct"/>
            <w:tcBorders>
              <w:top w:val="nil"/>
              <w:left w:val="single" w:sz="4" w:space="0" w:color="auto"/>
              <w:bottom w:val="single" w:sz="4" w:space="0" w:color="auto"/>
              <w:right w:val="single" w:sz="4" w:space="0" w:color="auto"/>
            </w:tcBorders>
            <w:shd w:val="clear" w:color="auto" w:fill="D1E1FF"/>
            <w:noWrap/>
            <w:hideMark/>
          </w:tcPr>
          <w:p w14:paraId="1B212A7F" w14:textId="77777777" w:rsidR="001A5A18" w:rsidRPr="00AC2481" w:rsidRDefault="001A5A18" w:rsidP="0097148B">
            <w:pPr>
              <w:rPr>
                <w:rStyle w:val="Hyperlink"/>
                <w:rFonts w:asciiTheme="majorHAnsi" w:hAnsiTheme="majorHAnsi"/>
                <w:sz w:val="20"/>
                <w:szCs w:val="20"/>
              </w:rPr>
            </w:pPr>
            <w:r w:rsidRPr="00AC2481">
              <w:rPr>
                <w:rStyle w:val="Hyperlink"/>
                <w:rFonts w:asciiTheme="majorHAnsi" w:hAnsiTheme="majorHAnsi"/>
                <w:sz w:val="20"/>
                <w:szCs w:val="20"/>
              </w:rPr>
              <w:t>http://energy.gov/sites/prod/files/2015/01/f19/UMPChapter22-compressed-air-evaluation.pdf</w:t>
            </w:r>
          </w:p>
        </w:tc>
      </w:tr>
      <w:tr w:rsidR="001A5A18" w:rsidRPr="00AC2481" w14:paraId="4672BFF5" w14:textId="77777777" w:rsidTr="003660A6">
        <w:trPr>
          <w:cantSplit/>
          <w:jc w:val="center"/>
        </w:trPr>
        <w:tc>
          <w:tcPr>
            <w:tcW w:w="847" w:type="pct"/>
            <w:tcBorders>
              <w:top w:val="nil"/>
              <w:left w:val="single" w:sz="4" w:space="0" w:color="auto"/>
              <w:bottom w:val="single" w:sz="4" w:space="0" w:color="auto"/>
              <w:right w:val="single" w:sz="4" w:space="0" w:color="auto"/>
            </w:tcBorders>
            <w:shd w:val="clear" w:color="auto" w:fill="auto"/>
            <w:noWrap/>
            <w:hideMark/>
          </w:tcPr>
          <w:p w14:paraId="4DC93B8E" w14:textId="77777777" w:rsidR="001A5A18" w:rsidRPr="00AC2481" w:rsidRDefault="001A5A18" w:rsidP="0097148B">
            <w:pP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Commercial New Construction Programs</w:t>
            </w:r>
          </w:p>
        </w:tc>
        <w:tc>
          <w:tcPr>
            <w:tcW w:w="172" w:type="pct"/>
            <w:tcBorders>
              <w:top w:val="nil"/>
              <w:left w:val="nil"/>
              <w:bottom w:val="single" w:sz="4" w:space="0" w:color="auto"/>
              <w:right w:val="single" w:sz="4" w:space="0" w:color="auto"/>
            </w:tcBorders>
            <w:shd w:val="clear" w:color="auto" w:fill="auto"/>
            <w:noWrap/>
            <w:hideMark/>
          </w:tcPr>
          <w:p w14:paraId="3BFE9BE4" w14:textId="77777777" w:rsidR="001A5A18" w:rsidRPr="00AC2481" w:rsidRDefault="001A5A18" w:rsidP="0097148B">
            <w:pPr>
              <w:jc w:val="center"/>
              <w:rPr>
                <w:rFonts w:asciiTheme="majorHAnsi" w:eastAsia="Times New Roman" w:hAnsiTheme="majorHAnsi" w:cs="Calibri"/>
                <w:b/>
                <w:color w:val="000000"/>
                <w:sz w:val="20"/>
                <w:szCs w:val="20"/>
              </w:rPr>
            </w:pPr>
          </w:p>
        </w:tc>
        <w:tc>
          <w:tcPr>
            <w:tcW w:w="172" w:type="pct"/>
            <w:tcBorders>
              <w:top w:val="nil"/>
              <w:left w:val="nil"/>
              <w:bottom w:val="single" w:sz="4" w:space="0" w:color="auto"/>
              <w:right w:val="single" w:sz="4" w:space="0" w:color="auto"/>
            </w:tcBorders>
            <w:shd w:val="clear" w:color="auto" w:fill="auto"/>
            <w:noWrap/>
            <w:hideMark/>
          </w:tcPr>
          <w:p w14:paraId="31AF437C"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nil"/>
              <w:left w:val="nil"/>
              <w:bottom w:val="single" w:sz="4" w:space="0" w:color="auto"/>
              <w:right w:val="single" w:sz="4" w:space="0" w:color="auto"/>
            </w:tcBorders>
            <w:shd w:val="clear" w:color="auto" w:fill="auto"/>
            <w:noWrap/>
            <w:hideMark/>
          </w:tcPr>
          <w:p w14:paraId="2BBCB4BB"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170" w:type="pct"/>
            <w:tcBorders>
              <w:top w:val="nil"/>
              <w:left w:val="nil"/>
              <w:bottom w:val="single" w:sz="4" w:space="0" w:color="auto"/>
              <w:right w:val="single" w:sz="4" w:space="0" w:color="auto"/>
            </w:tcBorders>
            <w:shd w:val="clear" w:color="auto" w:fill="auto"/>
            <w:hideMark/>
          </w:tcPr>
          <w:p w14:paraId="016E24C2" w14:textId="77777777" w:rsidR="001A5A18" w:rsidRPr="00AC2481" w:rsidRDefault="001A5A18" w:rsidP="001A5A18">
            <w:pPr>
              <w:pStyle w:val="ListParagraph"/>
              <w:numPr>
                <w:ilvl w:val="0"/>
                <w:numId w:val="245"/>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Onsite visits to gather or confirm data on building operation and characteristics</w:t>
            </w:r>
          </w:p>
          <w:p w14:paraId="7984CA24" w14:textId="77777777" w:rsidR="001A5A18" w:rsidRPr="00AC2481" w:rsidRDefault="001A5A18" w:rsidP="001A5A18">
            <w:pPr>
              <w:pStyle w:val="ListParagraph"/>
              <w:numPr>
                <w:ilvl w:val="0"/>
                <w:numId w:val="245"/>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Building simulation models</w:t>
            </w:r>
          </w:p>
          <w:p w14:paraId="764BB299" w14:textId="77777777" w:rsidR="001A5A18" w:rsidRPr="00AC2481" w:rsidRDefault="001A5A18" w:rsidP="001A5A18">
            <w:pPr>
              <w:pStyle w:val="ListParagraph"/>
              <w:numPr>
                <w:ilvl w:val="0"/>
                <w:numId w:val="245"/>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Data collection to estimate baselines and NOMAD</w:t>
            </w:r>
          </w:p>
          <w:p w14:paraId="510F9623" w14:textId="77777777" w:rsidR="001A5A18" w:rsidRPr="00AC2481" w:rsidRDefault="001A5A18" w:rsidP="001A5A18">
            <w:pPr>
              <w:pStyle w:val="ListParagraph"/>
              <w:numPr>
                <w:ilvl w:val="0"/>
                <w:numId w:val="245"/>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Surveys to determine actions taken, together with deemed savings</w:t>
            </w:r>
          </w:p>
        </w:tc>
        <w:tc>
          <w:tcPr>
            <w:tcW w:w="1341" w:type="pct"/>
            <w:tcBorders>
              <w:top w:val="nil"/>
              <w:left w:val="nil"/>
              <w:bottom w:val="single" w:sz="4" w:space="0" w:color="auto"/>
              <w:right w:val="nil"/>
            </w:tcBorders>
            <w:shd w:val="clear" w:color="auto" w:fill="auto"/>
            <w:hideMark/>
          </w:tcPr>
          <w:p w14:paraId="5DFF8E9C" w14:textId="77777777" w:rsidR="001A5A18" w:rsidRPr="00AC2481" w:rsidRDefault="001A5A18" w:rsidP="0097148B">
            <w:pPr>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Uniform Methods Project, Chapter 13:</w:t>
            </w:r>
            <w:r w:rsidRPr="00AC2481">
              <w:rPr>
                <w:rFonts w:asciiTheme="majorHAnsi" w:eastAsia="Times New Roman" w:hAnsiTheme="majorHAnsi" w:cs="Calibri"/>
                <w:i/>
                <w:color w:val="000000"/>
                <w:sz w:val="20"/>
                <w:szCs w:val="20"/>
              </w:rPr>
              <w:t xml:space="preserve"> Commercial New Construction Evaluation Protocol </w:t>
            </w:r>
            <w:r w:rsidRPr="00AC2481">
              <w:rPr>
                <w:rFonts w:asciiTheme="majorHAnsi" w:eastAsia="Times New Roman" w:hAnsiTheme="majorHAnsi" w:cs="Calibri"/>
                <w:color w:val="000000"/>
                <w:sz w:val="20"/>
                <w:szCs w:val="20"/>
              </w:rPr>
              <w:t>(September 2013)</w:t>
            </w:r>
          </w:p>
        </w:tc>
        <w:tc>
          <w:tcPr>
            <w:tcW w:w="1126" w:type="pct"/>
            <w:tcBorders>
              <w:top w:val="nil"/>
              <w:left w:val="single" w:sz="4" w:space="0" w:color="auto"/>
              <w:bottom w:val="single" w:sz="4" w:space="0" w:color="auto"/>
              <w:right w:val="single" w:sz="4" w:space="0" w:color="auto"/>
            </w:tcBorders>
            <w:shd w:val="clear" w:color="auto" w:fill="auto"/>
            <w:noWrap/>
            <w:hideMark/>
          </w:tcPr>
          <w:p w14:paraId="300EE4F8" w14:textId="77777777" w:rsidR="001A5A18" w:rsidRPr="00AC2481" w:rsidRDefault="001A5A18" w:rsidP="0097148B">
            <w:pPr>
              <w:rPr>
                <w:rStyle w:val="Hyperlink"/>
                <w:rFonts w:asciiTheme="majorHAnsi" w:hAnsiTheme="majorHAnsi"/>
                <w:sz w:val="20"/>
                <w:szCs w:val="20"/>
              </w:rPr>
            </w:pPr>
            <w:r w:rsidRPr="00AC2481">
              <w:rPr>
                <w:rStyle w:val="Hyperlink"/>
                <w:rFonts w:asciiTheme="majorHAnsi" w:hAnsiTheme="majorHAnsi"/>
                <w:sz w:val="20"/>
                <w:szCs w:val="20"/>
              </w:rPr>
              <w:t>http://energy.gov/sites/prod/files/2014/10/f18/Chapter%2015--Commercial%20New%20Construction%20Protocol.pdf</w:t>
            </w:r>
          </w:p>
        </w:tc>
      </w:tr>
      <w:tr w:rsidR="001A5A18" w:rsidRPr="00AC2481" w14:paraId="2278710C" w14:textId="77777777" w:rsidTr="003660A6">
        <w:trPr>
          <w:cantSplit/>
          <w:jc w:val="center"/>
        </w:trPr>
        <w:tc>
          <w:tcPr>
            <w:tcW w:w="847" w:type="pct"/>
            <w:tcBorders>
              <w:top w:val="nil"/>
              <w:left w:val="single" w:sz="4" w:space="0" w:color="auto"/>
              <w:bottom w:val="single" w:sz="4" w:space="0" w:color="auto"/>
              <w:right w:val="single" w:sz="4" w:space="0" w:color="auto"/>
            </w:tcBorders>
            <w:shd w:val="clear" w:color="auto" w:fill="D1E1FF"/>
            <w:noWrap/>
            <w:hideMark/>
          </w:tcPr>
          <w:p w14:paraId="3B3AE6E2" w14:textId="77777777" w:rsidR="001A5A18" w:rsidRPr="00AC2481" w:rsidRDefault="001A5A18" w:rsidP="0097148B">
            <w:pP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lastRenderedPageBreak/>
              <w:t>Large Commercial and Industrial Custom Measure Programs</w:t>
            </w:r>
          </w:p>
        </w:tc>
        <w:tc>
          <w:tcPr>
            <w:tcW w:w="172" w:type="pct"/>
            <w:tcBorders>
              <w:top w:val="nil"/>
              <w:left w:val="nil"/>
              <w:bottom w:val="single" w:sz="4" w:space="0" w:color="auto"/>
              <w:right w:val="single" w:sz="4" w:space="0" w:color="auto"/>
            </w:tcBorders>
            <w:shd w:val="clear" w:color="auto" w:fill="D1E1FF"/>
            <w:noWrap/>
            <w:hideMark/>
          </w:tcPr>
          <w:p w14:paraId="5DB82D83" w14:textId="77777777" w:rsidR="001A5A18" w:rsidRPr="00AC2481" w:rsidRDefault="001A5A18" w:rsidP="0097148B">
            <w:pPr>
              <w:jc w:val="center"/>
              <w:rPr>
                <w:rFonts w:asciiTheme="majorHAnsi" w:eastAsia="Times New Roman" w:hAnsiTheme="majorHAnsi" w:cs="Calibri"/>
                <w:b/>
                <w:color w:val="000000"/>
                <w:sz w:val="20"/>
                <w:szCs w:val="20"/>
              </w:rPr>
            </w:pPr>
          </w:p>
        </w:tc>
        <w:tc>
          <w:tcPr>
            <w:tcW w:w="172" w:type="pct"/>
            <w:tcBorders>
              <w:top w:val="nil"/>
              <w:left w:val="nil"/>
              <w:bottom w:val="single" w:sz="4" w:space="0" w:color="auto"/>
              <w:right w:val="single" w:sz="4" w:space="0" w:color="auto"/>
            </w:tcBorders>
            <w:shd w:val="clear" w:color="auto" w:fill="D1E1FF"/>
            <w:noWrap/>
            <w:hideMark/>
          </w:tcPr>
          <w:p w14:paraId="7DB6EA61"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nil"/>
              <w:left w:val="nil"/>
              <w:bottom w:val="single" w:sz="4" w:space="0" w:color="auto"/>
              <w:right w:val="single" w:sz="4" w:space="0" w:color="auto"/>
            </w:tcBorders>
            <w:shd w:val="clear" w:color="auto" w:fill="D1E1FF"/>
            <w:noWrap/>
            <w:hideMark/>
          </w:tcPr>
          <w:p w14:paraId="6D4A8BBD" w14:textId="77777777" w:rsidR="001A5A18" w:rsidRPr="00AC2481" w:rsidRDefault="001A5A18" w:rsidP="0097148B">
            <w:pPr>
              <w:jc w:val="center"/>
              <w:rPr>
                <w:rFonts w:asciiTheme="majorHAnsi" w:eastAsia="Times New Roman" w:hAnsiTheme="majorHAnsi" w:cs="Calibri"/>
                <w:b/>
                <w:color w:val="000000"/>
                <w:sz w:val="20"/>
                <w:szCs w:val="20"/>
              </w:rPr>
            </w:pPr>
          </w:p>
        </w:tc>
        <w:tc>
          <w:tcPr>
            <w:tcW w:w="1170" w:type="pct"/>
            <w:tcBorders>
              <w:top w:val="nil"/>
              <w:left w:val="nil"/>
              <w:bottom w:val="single" w:sz="4" w:space="0" w:color="auto"/>
              <w:right w:val="single" w:sz="4" w:space="0" w:color="auto"/>
            </w:tcBorders>
            <w:shd w:val="clear" w:color="auto" w:fill="D1E1FF"/>
            <w:hideMark/>
          </w:tcPr>
          <w:p w14:paraId="5FDFBF47" w14:textId="77777777" w:rsidR="001A5A18" w:rsidRPr="00AC2481" w:rsidRDefault="001A5A18" w:rsidP="001A5A18">
            <w:pPr>
              <w:pStyle w:val="ListParagraph"/>
              <w:numPr>
                <w:ilvl w:val="0"/>
                <w:numId w:val="245"/>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Spot or short term metering of end uses and processes affected by retrofit to gather energy use and performance data</w:t>
            </w:r>
          </w:p>
          <w:p w14:paraId="25B9FD1B" w14:textId="77777777" w:rsidR="001A5A18" w:rsidRPr="00AC2481" w:rsidRDefault="001A5A18" w:rsidP="001A5A18">
            <w:pPr>
              <w:pStyle w:val="ListParagraph"/>
              <w:numPr>
                <w:ilvl w:val="0"/>
                <w:numId w:val="245"/>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Gather data on independent variables driving consumption, including production</w:t>
            </w:r>
          </w:p>
          <w:p w14:paraId="6B2FC761" w14:textId="77777777" w:rsidR="001A5A18" w:rsidRPr="00AC2481" w:rsidRDefault="001A5A18" w:rsidP="001A5A18">
            <w:pPr>
              <w:pStyle w:val="ListParagraph"/>
              <w:numPr>
                <w:ilvl w:val="0"/>
                <w:numId w:val="245"/>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Develop and validate engineering savings equations using regression analysis and above indicated data</w:t>
            </w:r>
          </w:p>
        </w:tc>
        <w:tc>
          <w:tcPr>
            <w:tcW w:w="1341" w:type="pct"/>
            <w:tcBorders>
              <w:top w:val="nil"/>
              <w:left w:val="nil"/>
              <w:bottom w:val="single" w:sz="4" w:space="0" w:color="auto"/>
              <w:right w:val="nil"/>
            </w:tcBorders>
            <w:shd w:val="clear" w:color="auto" w:fill="D1E1FF"/>
            <w:hideMark/>
          </w:tcPr>
          <w:p w14:paraId="2300B486" w14:textId="77777777" w:rsidR="001A5A18" w:rsidRPr="00AC2481" w:rsidRDefault="001A5A18" w:rsidP="0097148B">
            <w:pPr>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 xml:space="preserve">IPMVP – International Performance Measurement and Verification Protocol: </w:t>
            </w:r>
            <w:r w:rsidRPr="00AC2481">
              <w:rPr>
                <w:rFonts w:asciiTheme="majorHAnsi" w:eastAsia="Times New Roman" w:hAnsiTheme="majorHAnsi" w:cs="Calibri"/>
                <w:i/>
                <w:color w:val="000000"/>
                <w:sz w:val="20"/>
                <w:szCs w:val="20"/>
              </w:rPr>
              <w:t>Concepts and Options for Determining Energy and Water Savings Volume I</w:t>
            </w:r>
            <w:r w:rsidRPr="00AC2481">
              <w:rPr>
                <w:rFonts w:asciiTheme="majorHAnsi" w:eastAsia="Times New Roman" w:hAnsiTheme="majorHAnsi" w:cs="Calibri"/>
                <w:color w:val="000000"/>
                <w:sz w:val="20"/>
                <w:szCs w:val="20"/>
              </w:rPr>
              <w:t xml:space="preserve">, EVO-10000-1.2007, Efficiency Valuation Organization. </w:t>
            </w:r>
          </w:p>
        </w:tc>
        <w:tc>
          <w:tcPr>
            <w:tcW w:w="1126" w:type="pct"/>
            <w:tcBorders>
              <w:top w:val="nil"/>
              <w:left w:val="single" w:sz="4" w:space="0" w:color="auto"/>
              <w:bottom w:val="single" w:sz="4" w:space="0" w:color="auto"/>
              <w:right w:val="single" w:sz="4" w:space="0" w:color="auto"/>
            </w:tcBorders>
            <w:shd w:val="clear" w:color="auto" w:fill="D1E1FF"/>
            <w:noWrap/>
            <w:hideMark/>
          </w:tcPr>
          <w:p w14:paraId="6D1A3BE3" w14:textId="77777777" w:rsidR="001A5A18" w:rsidRPr="00AC2481" w:rsidRDefault="001A5A18" w:rsidP="0097148B">
            <w:pPr>
              <w:rPr>
                <w:rStyle w:val="Hyperlink"/>
                <w:rFonts w:asciiTheme="majorHAnsi" w:hAnsiTheme="majorHAnsi"/>
                <w:sz w:val="20"/>
                <w:szCs w:val="20"/>
              </w:rPr>
            </w:pPr>
            <w:r w:rsidRPr="00AC2481">
              <w:rPr>
                <w:rStyle w:val="Hyperlink"/>
                <w:rFonts w:asciiTheme="majorHAnsi" w:hAnsiTheme="majorHAnsi"/>
                <w:sz w:val="20"/>
                <w:szCs w:val="20"/>
              </w:rPr>
              <w:t>http://www.evo-world.org/index.php?view=download&amp;alias=1543-2012-ipmvp-volume-i-in-english-27-20&amp;option=com_docman&amp;Itemid=1585&amp;lang=en</w:t>
            </w:r>
          </w:p>
        </w:tc>
      </w:tr>
      <w:tr w:rsidR="001A5A18" w:rsidRPr="00AC2481" w14:paraId="31465F38" w14:textId="77777777" w:rsidTr="003660A6">
        <w:trPr>
          <w:cantSplit/>
          <w:jc w:val="center"/>
        </w:trPr>
        <w:tc>
          <w:tcPr>
            <w:tcW w:w="847" w:type="pct"/>
            <w:tcBorders>
              <w:top w:val="nil"/>
              <w:left w:val="single" w:sz="4" w:space="0" w:color="auto"/>
              <w:bottom w:val="single" w:sz="4" w:space="0" w:color="auto"/>
              <w:right w:val="single" w:sz="4" w:space="0" w:color="auto"/>
            </w:tcBorders>
            <w:shd w:val="clear" w:color="auto" w:fill="auto"/>
            <w:noWrap/>
            <w:hideMark/>
          </w:tcPr>
          <w:p w14:paraId="01959D53" w14:textId="77777777" w:rsidR="001A5A18" w:rsidRPr="00AC2481" w:rsidRDefault="001A5A18" w:rsidP="0097148B">
            <w:pP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 xml:space="preserve">Non Residential </w:t>
            </w:r>
            <w:proofErr w:type="spellStart"/>
            <w:r w:rsidRPr="00AC2481">
              <w:rPr>
                <w:rFonts w:asciiTheme="majorHAnsi" w:eastAsia="Times New Roman" w:hAnsiTheme="majorHAnsi" w:cs="Calibri"/>
                <w:b/>
                <w:color w:val="000000"/>
                <w:sz w:val="20"/>
                <w:szCs w:val="20"/>
              </w:rPr>
              <w:t>Retrocommissioning</w:t>
            </w:r>
            <w:proofErr w:type="spellEnd"/>
            <w:r w:rsidRPr="00AC2481">
              <w:rPr>
                <w:rFonts w:asciiTheme="majorHAnsi" w:eastAsia="Times New Roman" w:hAnsiTheme="majorHAnsi" w:cs="Calibri"/>
                <w:b/>
                <w:color w:val="000000"/>
                <w:sz w:val="20"/>
                <w:szCs w:val="20"/>
              </w:rPr>
              <w:t xml:space="preserve"> Programs</w:t>
            </w:r>
          </w:p>
        </w:tc>
        <w:tc>
          <w:tcPr>
            <w:tcW w:w="172" w:type="pct"/>
            <w:tcBorders>
              <w:top w:val="nil"/>
              <w:left w:val="nil"/>
              <w:bottom w:val="single" w:sz="4" w:space="0" w:color="auto"/>
              <w:right w:val="single" w:sz="4" w:space="0" w:color="auto"/>
            </w:tcBorders>
            <w:shd w:val="clear" w:color="auto" w:fill="auto"/>
            <w:noWrap/>
            <w:hideMark/>
          </w:tcPr>
          <w:p w14:paraId="63C122F6" w14:textId="77777777" w:rsidR="001A5A18" w:rsidRPr="00AC2481" w:rsidRDefault="001A5A18" w:rsidP="0097148B">
            <w:pPr>
              <w:jc w:val="center"/>
              <w:rPr>
                <w:rFonts w:asciiTheme="majorHAnsi" w:eastAsia="Times New Roman" w:hAnsiTheme="majorHAnsi" w:cs="Calibri"/>
                <w:b/>
                <w:color w:val="000000"/>
                <w:sz w:val="20"/>
                <w:szCs w:val="20"/>
              </w:rPr>
            </w:pPr>
          </w:p>
        </w:tc>
        <w:tc>
          <w:tcPr>
            <w:tcW w:w="172" w:type="pct"/>
            <w:tcBorders>
              <w:top w:val="nil"/>
              <w:left w:val="nil"/>
              <w:bottom w:val="single" w:sz="4" w:space="0" w:color="auto"/>
              <w:right w:val="single" w:sz="4" w:space="0" w:color="auto"/>
            </w:tcBorders>
            <w:shd w:val="clear" w:color="auto" w:fill="auto"/>
            <w:noWrap/>
            <w:hideMark/>
          </w:tcPr>
          <w:p w14:paraId="03671ED9" w14:textId="77777777" w:rsidR="001A5A18" w:rsidRPr="00AC2481" w:rsidRDefault="001A5A18" w:rsidP="0097148B">
            <w:pPr>
              <w:jc w:val="center"/>
              <w:rPr>
                <w:rFonts w:asciiTheme="majorHAnsi" w:eastAsia="Times New Roman" w:hAnsiTheme="majorHAnsi" w:cs="Calibri"/>
                <w:b/>
                <w:color w:val="000000"/>
                <w:sz w:val="20"/>
                <w:szCs w:val="20"/>
              </w:rPr>
            </w:pPr>
            <w:r w:rsidRPr="00AC2481">
              <w:rPr>
                <w:rFonts w:asciiTheme="majorHAnsi" w:eastAsia="Times New Roman" w:hAnsiTheme="majorHAnsi" w:cs="Calibri"/>
                <w:b/>
                <w:color w:val="000000"/>
                <w:sz w:val="20"/>
                <w:szCs w:val="20"/>
              </w:rPr>
              <w:t>X</w:t>
            </w:r>
          </w:p>
        </w:tc>
        <w:tc>
          <w:tcPr>
            <w:tcW w:w="172" w:type="pct"/>
            <w:tcBorders>
              <w:top w:val="nil"/>
              <w:left w:val="nil"/>
              <w:bottom w:val="single" w:sz="4" w:space="0" w:color="auto"/>
              <w:right w:val="single" w:sz="4" w:space="0" w:color="auto"/>
            </w:tcBorders>
            <w:shd w:val="clear" w:color="auto" w:fill="auto"/>
            <w:noWrap/>
            <w:hideMark/>
          </w:tcPr>
          <w:p w14:paraId="261723DB" w14:textId="77777777" w:rsidR="001A5A18" w:rsidRPr="00AC2481" w:rsidRDefault="001A5A18" w:rsidP="0097148B">
            <w:pPr>
              <w:jc w:val="center"/>
              <w:rPr>
                <w:rFonts w:asciiTheme="majorHAnsi" w:eastAsia="Times New Roman" w:hAnsiTheme="majorHAnsi" w:cs="Calibri"/>
                <w:b/>
                <w:color w:val="000000"/>
                <w:sz w:val="20"/>
                <w:szCs w:val="20"/>
              </w:rPr>
            </w:pPr>
          </w:p>
        </w:tc>
        <w:tc>
          <w:tcPr>
            <w:tcW w:w="1170" w:type="pct"/>
            <w:tcBorders>
              <w:top w:val="nil"/>
              <w:left w:val="nil"/>
              <w:bottom w:val="single" w:sz="4" w:space="0" w:color="auto"/>
              <w:right w:val="single" w:sz="4" w:space="0" w:color="auto"/>
            </w:tcBorders>
            <w:shd w:val="clear" w:color="auto" w:fill="auto"/>
            <w:hideMark/>
          </w:tcPr>
          <w:p w14:paraId="60C744CD" w14:textId="77777777" w:rsidR="001A5A18" w:rsidRPr="00AC2481" w:rsidRDefault="001A5A18" w:rsidP="001A5A18">
            <w:pPr>
              <w:pStyle w:val="ListParagraph"/>
              <w:numPr>
                <w:ilvl w:val="0"/>
                <w:numId w:val="246"/>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Gather data on independent variable driving usage pre and post installation of BAS and meter data for relevant systems within boundary for engineering or computer simulation analyses</w:t>
            </w:r>
          </w:p>
          <w:p w14:paraId="57A747CF" w14:textId="77777777" w:rsidR="001A5A18" w:rsidRPr="00AC2481" w:rsidRDefault="001A5A18" w:rsidP="001A5A18">
            <w:pPr>
              <w:pStyle w:val="ListParagraph"/>
              <w:numPr>
                <w:ilvl w:val="0"/>
                <w:numId w:val="246"/>
              </w:numPr>
              <w:ind w:left="301" w:hanging="180"/>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Regression analysis to adjust savings based on changes in independent variables</w:t>
            </w:r>
          </w:p>
        </w:tc>
        <w:tc>
          <w:tcPr>
            <w:tcW w:w="1341" w:type="pct"/>
            <w:tcBorders>
              <w:top w:val="nil"/>
              <w:left w:val="nil"/>
              <w:bottom w:val="single" w:sz="4" w:space="0" w:color="auto"/>
              <w:right w:val="nil"/>
            </w:tcBorders>
            <w:shd w:val="clear" w:color="auto" w:fill="auto"/>
            <w:hideMark/>
          </w:tcPr>
          <w:p w14:paraId="477ABA26" w14:textId="77777777" w:rsidR="001A5A18" w:rsidRPr="00AC2481" w:rsidRDefault="001A5A18" w:rsidP="0097148B">
            <w:pPr>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Uniform Methods Project,</w:t>
            </w:r>
            <w:r w:rsidRPr="00AC2481">
              <w:rPr>
                <w:rFonts w:asciiTheme="majorHAnsi" w:eastAsia="Times New Roman" w:hAnsiTheme="majorHAnsi" w:cs="Calibri"/>
                <w:color w:val="000000"/>
                <w:sz w:val="20"/>
                <w:szCs w:val="20"/>
                <w:u w:val="single"/>
              </w:rPr>
              <w:t xml:space="preserve"> </w:t>
            </w:r>
            <w:r w:rsidRPr="00AC2481">
              <w:rPr>
                <w:rFonts w:asciiTheme="majorHAnsi" w:eastAsia="Times New Roman" w:hAnsiTheme="majorHAnsi" w:cs="Calibri"/>
                <w:color w:val="000000"/>
                <w:sz w:val="20"/>
                <w:szCs w:val="20"/>
              </w:rPr>
              <w:t>Chapter 16:</w:t>
            </w:r>
            <w:r w:rsidRPr="00AC2481">
              <w:rPr>
                <w:rFonts w:asciiTheme="majorHAnsi" w:eastAsia="Times New Roman" w:hAnsiTheme="majorHAnsi" w:cs="Calibri"/>
                <w:i/>
                <w:color w:val="000000"/>
                <w:sz w:val="20"/>
                <w:szCs w:val="20"/>
              </w:rPr>
              <w:t xml:space="preserve"> </w:t>
            </w:r>
            <w:proofErr w:type="spellStart"/>
            <w:r w:rsidRPr="00AC2481">
              <w:rPr>
                <w:rFonts w:asciiTheme="majorHAnsi" w:eastAsia="Times New Roman" w:hAnsiTheme="majorHAnsi" w:cs="Calibri"/>
                <w:i/>
                <w:color w:val="000000"/>
                <w:sz w:val="20"/>
                <w:szCs w:val="20"/>
              </w:rPr>
              <w:t>Retrocommissioning</w:t>
            </w:r>
            <w:proofErr w:type="spellEnd"/>
            <w:r w:rsidRPr="00AC2481">
              <w:rPr>
                <w:rFonts w:asciiTheme="majorHAnsi" w:eastAsia="Times New Roman" w:hAnsiTheme="majorHAnsi" w:cs="Calibri"/>
                <w:i/>
                <w:color w:val="000000"/>
                <w:sz w:val="20"/>
                <w:szCs w:val="20"/>
              </w:rPr>
              <w:t xml:space="preserve"> Protocol</w:t>
            </w:r>
            <w:r w:rsidRPr="00AC2481">
              <w:rPr>
                <w:rFonts w:asciiTheme="majorHAnsi" w:eastAsia="Times New Roman" w:hAnsiTheme="majorHAnsi" w:cs="Calibri"/>
                <w:color w:val="000000"/>
                <w:sz w:val="20"/>
                <w:szCs w:val="20"/>
              </w:rPr>
              <w:t xml:space="preserve"> (September 2014)</w:t>
            </w:r>
          </w:p>
        </w:tc>
        <w:tc>
          <w:tcPr>
            <w:tcW w:w="1126" w:type="pct"/>
            <w:tcBorders>
              <w:top w:val="nil"/>
              <w:left w:val="single" w:sz="4" w:space="0" w:color="auto"/>
              <w:bottom w:val="single" w:sz="4" w:space="0" w:color="auto"/>
              <w:right w:val="single" w:sz="4" w:space="0" w:color="auto"/>
            </w:tcBorders>
            <w:shd w:val="clear" w:color="auto" w:fill="auto"/>
            <w:noWrap/>
            <w:hideMark/>
          </w:tcPr>
          <w:p w14:paraId="4A441780" w14:textId="77777777" w:rsidR="001A5A18" w:rsidRPr="00AC2481" w:rsidRDefault="001A5A18" w:rsidP="0097148B">
            <w:pPr>
              <w:rPr>
                <w:rStyle w:val="Hyperlink"/>
                <w:rFonts w:asciiTheme="majorHAnsi" w:hAnsiTheme="majorHAnsi"/>
                <w:sz w:val="20"/>
                <w:szCs w:val="20"/>
              </w:rPr>
            </w:pPr>
            <w:r w:rsidRPr="00AC2481">
              <w:rPr>
                <w:rStyle w:val="Hyperlink"/>
                <w:rFonts w:asciiTheme="majorHAnsi" w:hAnsiTheme="majorHAnsi"/>
                <w:sz w:val="20"/>
                <w:szCs w:val="20"/>
              </w:rPr>
              <w:t>http://energy.gov/sites/prod/files/2014/10/f18/Chapter%2016--Retrocommissioning%20Evaluation%20Protocol.pdf</w:t>
            </w:r>
          </w:p>
        </w:tc>
      </w:tr>
      <w:tr w:rsidR="001A5A18" w:rsidRPr="00AC2481" w14:paraId="1730447A" w14:textId="77777777" w:rsidTr="00AC2481">
        <w:trPr>
          <w:trHeight w:val="1049"/>
          <w:jc w:val="center"/>
        </w:trPr>
        <w:tc>
          <w:tcPr>
            <w:tcW w:w="5000" w:type="pct"/>
            <w:gridSpan w:val="7"/>
            <w:tcBorders>
              <w:top w:val="nil"/>
              <w:left w:val="nil"/>
              <w:right w:val="nil"/>
            </w:tcBorders>
            <w:shd w:val="clear" w:color="auto" w:fill="auto"/>
            <w:noWrap/>
            <w:vAlign w:val="bottom"/>
            <w:hideMark/>
          </w:tcPr>
          <w:p w14:paraId="73BFB963" w14:textId="77777777" w:rsidR="001A5A18" w:rsidRPr="00AC2481" w:rsidRDefault="001A5A18" w:rsidP="0097148B">
            <w:pPr>
              <w:rPr>
                <w:rFonts w:asciiTheme="majorHAnsi" w:eastAsia="Times New Roman" w:hAnsiTheme="majorHAnsi" w:cs="Calibri"/>
                <w:b/>
                <w:bCs/>
                <w:color w:val="000000"/>
                <w:sz w:val="20"/>
                <w:szCs w:val="20"/>
              </w:rPr>
            </w:pPr>
            <w:r w:rsidRPr="00AC2481">
              <w:rPr>
                <w:rFonts w:asciiTheme="majorHAnsi" w:eastAsia="Times New Roman" w:hAnsiTheme="majorHAnsi" w:cs="Calibri"/>
                <w:b/>
                <w:bCs/>
                <w:color w:val="000000"/>
                <w:sz w:val="20"/>
                <w:szCs w:val="20"/>
              </w:rPr>
              <w:t>Key for Evaluation Methods</w:t>
            </w:r>
          </w:p>
          <w:p w14:paraId="1D380733" w14:textId="77777777" w:rsidR="001A5A18" w:rsidRPr="00AC2481" w:rsidRDefault="001A5A18" w:rsidP="0097148B">
            <w:pPr>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C = Comparison of usage, billing analysis to estimate net savings </w:t>
            </w:r>
          </w:p>
          <w:p w14:paraId="0978E94D" w14:textId="77777777" w:rsidR="001A5A18" w:rsidRPr="00AC2481" w:rsidRDefault="001A5A18" w:rsidP="0097148B">
            <w:pPr>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M&amp;V = Measurement and verification of key parameters used to estimate savings </w:t>
            </w:r>
          </w:p>
          <w:p w14:paraId="7E9AE42B" w14:textId="77777777" w:rsidR="001A5A18" w:rsidRPr="00AC2481" w:rsidRDefault="001A5A18" w:rsidP="0097148B">
            <w:pPr>
              <w:rPr>
                <w:rFonts w:asciiTheme="majorHAnsi" w:eastAsia="Times New Roman" w:hAnsiTheme="majorHAnsi" w:cs="Calibri"/>
                <w:color w:val="000000"/>
                <w:sz w:val="20"/>
                <w:szCs w:val="20"/>
              </w:rPr>
            </w:pPr>
            <w:r w:rsidRPr="00AC2481">
              <w:rPr>
                <w:rFonts w:asciiTheme="majorHAnsi" w:eastAsia="Times New Roman" w:hAnsiTheme="majorHAnsi" w:cs="Calibri"/>
                <w:color w:val="000000"/>
                <w:sz w:val="20"/>
                <w:szCs w:val="20"/>
              </w:rPr>
              <w:t>D = Deemed values for key parameters used to estimate savings </w:t>
            </w:r>
          </w:p>
        </w:tc>
      </w:tr>
    </w:tbl>
    <w:p w14:paraId="31BFC3BA" w14:textId="77777777" w:rsidR="001A5A18" w:rsidRDefault="001A5A18" w:rsidP="001A5A18"/>
    <w:p w14:paraId="10826761" w14:textId="4F97321C" w:rsidR="00A7086F" w:rsidRPr="00A7086F" w:rsidRDefault="00A7086F" w:rsidP="00A7086F">
      <w:pPr>
        <w:pStyle w:val="Heading7"/>
        <w:rPr>
          <w:rFonts w:eastAsia="MS Mincho" w:cstheme="majorHAnsi"/>
        </w:rPr>
      </w:pPr>
      <w:r w:rsidRPr="00A7086F">
        <w:rPr>
          <w:rFonts w:eastAsia="MS Mincho" w:cstheme="majorHAnsi"/>
        </w:rPr>
        <w:lastRenderedPageBreak/>
        <w:t>P</w:t>
      </w:r>
      <w:r>
        <w:rPr>
          <w:rFonts w:eastAsia="MS Mincho" w:cstheme="majorHAnsi"/>
        </w:rPr>
        <w:t>roject-</w:t>
      </w:r>
      <w:r w:rsidRPr="00A7086F">
        <w:rPr>
          <w:rFonts w:eastAsia="MS Mincho" w:cstheme="majorHAnsi"/>
        </w:rPr>
        <w:t xml:space="preserve">Based Measurement and Verification for Common EE Technologies </w:t>
      </w:r>
    </w:p>
    <w:p w14:paraId="6F2C6D41" w14:textId="2C63664D" w:rsidR="00A7086F" w:rsidRDefault="00A7086F" w:rsidP="00A7086F">
      <w:pPr>
        <w:pStyle w:val="Heading7"/>
        <w:numPr>
          <w:ilvl w:val="0"/>
          <w:numId w:val="0"/>
        </w:numPr>
        <w:rPr>
          <w:rFonts w:eastAsia="MS Mincho" w:cstheme="majorHAnsi"/>
          <w:b w:val="0"/>
          <w:sz w:val="22"/>
          <w:szCs w:val="22"/>
        </w:rPr>
      </w:pPr>
      <w:r w:rsidRPr="00A7086F">
        <w:rPr>
          <w:rFonts w:eastAsia="MS Mincho" w:cstheme="majorHAnsi"/>
          <w:b w:val="0"/>
          <w:sz w:val="22"/>
          <w:szCs w:val="22"/>
        </w:rPr>
        <w:t xml:space="preserve">As discussed in Section 3.1, </w:t>
      </w:r>
      <w:r w:rsidRPr="00A7086F">
        <w:rPr>
          <w:rFonts w:eastAsia="MS Mincho" w:cstheme="majorHAnsi"/>
          <w:b w:val="0"/>
          <w:i/>
          <w:sz w:val="22"/>
          <w:szCs w:val="22"/>
        </w:rPr>
        <w:t xml:space="preserve">PB-MV </w:t>
      </w:r>
      <w:r w:rsidRPr="00A7086F">
        <w:rPr>
          <w:rFonts w:eastAsia="MS Mincho" w:cstheme="majorHAnsi"/>
          <w:b w:val="0"/>
          <w:sz w:val="22"/>
          <w:szCs w:val="22"/>
        </w:rPr>
        <w:t>is a set of procedures for quantifying savings from an individual EE measure or project, versus an EE program. Th</w:t>
      </w:r>
      <w:r w:rsidR="00E1316B">
        <w:rPr>
          <w:rFonts w:eastAsia="MS Mincho" w:cstheme="majorHAnsi"/>
          <w:b w:val="0"/>
          <w:sz w:val="22"/>
          <w:szCs w:val="22"/>
        </w:rPr>
        <w:t>e</w:t>
      </w:r>
      <w:r w:rsidRPr="00A7086F">
        <w:rPr>
          <w:rFonts w:eastAsia="MS Mincho" w:cstheme="majorHAnsi"/>
          <w:b w:val="0"/>
          <w:sz w:val="22"/>
          <w:szCs w:val="22"/>
        </w:rPr>
        <w:t xml:space="preserve"> </w:t>
      </w:r>
      <w:r w:rsidR="00E1316B">
        <w:rPr>
          <w:rFonts w:eastAsia="MS Mincho" w:cstheme="majorHAnsi"/>
          <w:b w:val="0"/>
          <w:sz w:val="22"/>
          <w:szCs w:val="22"/>
        </w:rPr>
        <w:t xml:space="preserve">information provided in this </w:t>
      </w:r>
      <w:r w:rsidRPr="00A7086F">
        <w:rPr>
          <w:rFonts w:eastAsia="MS Mincho" w:cstheme="majorHAnsi"/>
          <w:b w:val="0"/>
          <w:sz w:val="22"/>
          <w:szCs w:val="22"/>
        </w:rPr>
        <w:t xml:space="preserve">section illustrates how many of the </w:t>
      </w:r>
      <w:r w:rsidR="00E1316B">
        <w:rPr>
          <w:rFonts w:eastAsia="MS Mincho" w:cstheme="majorHAnsi"/>
          <w:b w:val="0"/>
          <w:sz w:val="22"/>
          <w:szCs w:val="22"/>
        </w:rPr>
        <w:t xml:space="preserve">EM&amp;V </w:t>
      </w:r>
      <w:r w:rsidRPr="00A7086F">
        <w:rPr>
          <w:rFonts w:eastAsia="MS Mincho" w:cstheme="majorHAnsi"/>
          <w:b w:val="0"/>
          <w:sz w:val="22"/>
          <w:szCs w:val="22"/>
        </w:rPr>
        <w:t xml:space="preserve">topics introduced in Section </w:t>
      </w:r>
      <w:r w:rsidR="00E1316B">
        <w:rPr>
          <w:rFonts w:eastAsia="MS Mincho" w:cstheme="majorHAnsi"/>
          <w:b w:val="0"/>
          <w:sz w:val="22"/>
          <w:szCs w:val="22"/>
        </w:rPr>
        <w:t>2 above</w:t>
      </w:r>
      <w:r w:rsidRPr="00A7086F">
        <w:rPr>
          <w:rFonts w:eastAsia="MS Mincho" w:cstheme="majorHAnsi"/>
          <w:b w:val="0"/>
          <w:sz w:val="22"/>
          <w:szCs w:val="22"/>
        </w:rPr>
        <w:t xml:space="preserve"> are typically applied in practice to quantify and verify savings. It describes the PB-MV approaches frequently applied to quantify savings for specific technologies at the project and measure level</w:t>
      </w:r>
      <w:r w:rsidR="00E1316B">
        <w:rPr>
          <w:rFonts w:eastAsia="MS Mincho" w:cstheme="majorHAnsi"/>
          <w:b w:val="0"/>
          <w:sz w:val="22"/>
          <w:szCs w:val="22"/>
        </w:rPr>
        <w:t xml:space="preserve">, but does </w:t>
      </w:r>
      <w:r w:rsidRPr="00A7086F">
        <w:rPr>
          <w:rFonts w:eastAsia="MS Mincho" w:cstheme="majorHAnsi"/>
          <w:b w:val="0"/>
          <w:sz w:val="22"/>
          <w:szCs w:val="22"/>
        </w:rPr>
        <w:t>not provide guidance on whether PB-MV or deemed savings is the preferred approach</w:t>
      </w:r>
      <w:r w:rsidR="00EC463F">
        <w:rPr>
          <w:rFonts w:eastAsia="MS Mincho" w:cstheme="majorHAnsi"/>
          <w:b w:val="0"/>
          <w:sz w:val="22"/>
          <w:szCs w:val="22"/>
        </w:rPr>
        <w:t xml:space="preserve"> (this section assumes that the decision to used PB-MV has already been made)</w:t>
      </w:r>
      <w:r w:rsidRPr="00A7086F">
        <w:rPr>
          <w:rFonts w:eastAsia="MS Mincho" w:cstheme="majorHAnsi"/>
          <w:b w:val="0"/>
          <w:sz w:val="22"/>
          <w:szCs w:val="22"/>
        </w:rPr>
        <w:t xml:space="preserve">. As discussed in Section </w:t>
      </w:r>
      <w:r w:rsidR="00EC463F">
        <w:rPr>
          <w:rFonts w:eastAsia="MS Mincho" w:cstheme="majorHAnsi"/>
          <w:b w:val="0"/>
          <w:sz w:val="22"/>
          <w:szCs w:val="22"/>
        </w:rPr>
        <w:t>2</w:t>
      </w:r>
      <w:r w:rsidRPr="00A7086F">
        <w:rPr>
          <w:rFonts w:eastAsia="MS Mincho" w:cstheme="majorHAnsi"/>
          <w:b w:val="0"/>
          <w:sz w:val="22"/>
          <w:szCs w:val="22"/>
        </w:rPr>
        <w:t xml:space="preserve">.1, </w:t>
      </w:r>
      <w:r w:rsidR="00EC463F">
        <w:rPr>
          <w:rFonts w:eastAsia="MS Mincho" w:cstheme="majorHAnsi"/>
          <w:b w:val="0"/>
          <w:sz w:val="22"/>
          <w:szCs w:val="22"/>
        </w:rPr>
        <w:t xml:space="preserve">selecting an EM&amp;V methods involves tradeoffs between </w:t>
      </w:r>
      <w:r w:rsidRPr="00A7086F">
        <w:rPr>
          <w:rFonts w:eastAsia="MS Mincho" w:cstheme="majorHAnsi"/>
          <w:b w:val="0"/>
          <w:sz w:val="22"/>
          <w:szCs w:val="22"/>
        </w:rPr>
        <w:t xml:space="preserve">cost, accuracy, and value of the resulting information in light of available budgets and desired levels of accuracy and reliability. </w:t>
      </w:r>
    </w:p>
    <w:p w14:paraId="24C49462" w14:textId="77777777" w:rsidR="008F1CC5" w:rsidRPr="000D6A5D" w:rsidRDefault="008F1CC5" w:rsidP="000A20EF">
      <w:pPr>
        <w:pStyle w:val="Heading7"/>
        <w:rPr>
          <w:rFonts w:eastAsia="MS Mincho" w:cstheme="majorHAnsi"/>
        </w:rPr>
      </w:pPr>
      <w:commentRangeStart w:id="734"/>
      <w:r w:rsidRPr="000D6A5D">
        <w:rPr>
          <w:rFonts w:cstheme="majorHAnsi"/>
        </w:rPr>
        <w:t>Residential</w:t>
      </w:r>
      <w:commentRangeEnd w:id="734"/>
      <w:r w:rsidR="00E1316B">
        <w:rPr>
          <w:rStyle w:val="CommentReference"/>
          <w:rFonts w:ascii="Times New Roman" w:eastAsiaTheme="minorEastAsia" w:hAnsi="Times New Roman" w:cstheme="minorBidi"/>
          <w:b w:val="0"/>
          <w:iCs w:val="0"/>
        </w:rPr>
        <w:commentReference w:id="734"/>
      </w:r>
      <w:r w:rsidRPr="000D6A5D">
        <w:rPr>
          <w:rFonts w:cstheme="majorHAnsi"/>
        </w:rPr>
        <w:t xml:space="preserve"> Lighting</w:t>
      </w:r>
      <w:bookmarkEnd w:id="733"/>
    </w:p>
    <w:p w14:paraId="247D36F7" w14:textId="77777777" w:rsidR="008F1CC5" w:rsidRPr="000D6A5D" w:rsidRDefault="008F1CC5" w:rsidP="00AB6C96">
      <w:pPr>
        <w:pStyle w:val="Heading8"/>
        <w:rPr>
          <w:rFonts w:asciiTheme="majorHAnsi" w:hAnsiTheme="majorHAnsi" w:cstheme="majorHAnsi"/>
        </w:rPr>
      </w:pPr>
      <w:r w:rsidRPr="000D6A5D">
        <w:rPr>
          <w:rFonts w:asciiTheme="majorHAnsi" w:hAnsiTheme="majorHAnsi" w:cstheme="majorHAnsi"/>
        </w:rPr>
        <w:t xml:space="preserve">Definition </w:t>
      </w:r>
    </w:p>
    <w:p w14:paraId="72B26085" w14:textId="77777777" w:rsidR="0001760A" w:rsidRPr="000D6A5D" w:rsidRDefault="0001760A" w:rsidP="00AB6C96">
      <w:pPr>
        <w:pStyle w:val="BodyText"/>
        <w:widowControl/>
        <w:rPr>
          <w:rFonts w:asciiTheme="majorHAnsi" w:eastAsia="MS Mincho" w:hAnsiTheme="majorHAnsi" w:cstheme="majorHAnsi"/>
          <w:szCs w:val="22"/>
        </w:rPr>
      </w:pPr>
      <w:r w:rsidRPr="000D6A5D">
        <w:rPr>
          <w:rFonts w:asciiTheme="majorHAnsi" w:eastAsia="MS Mincho" w:hAnsiTheme="majorHAnsi" w:cstheme="majorHAnsi"/>
          <w:szCs w:val="22"/>
        </w:rPr>
        <w:t xml:space="preserve">These projects involve installing efficient lighting products in residential dwelling, such as </w:t>
      </w:r>
      <w:r w:rsidR="00D65BEA" w:rsidRPr="000D6A5D">
        <w:rPr>
          <w:rFonts w:asciiTheme="majorHAnsi" w:eastAsia="MS Mincho" w:hAnsiTheme="majorHAnsi" w:cstheme="majorHAnsi"/>
          <w:szCs w:val="22"/>
        </w:rPr>
        <w:t>Light Emitting Diode (LED) lamps</w:t>
      </w:r>
      <w:r w:rsidRPr="000D6A5D">
        <w:rPr>
          <w:rFonts w:asciiTheme="majorHAnsi" w:eastAsia="MS Mincho" w:hAnsiTheme="majorHAnsi" w:cstheme="majorHAnsi"/>
          <w:szCs w:val="22"/>
        </w:rPr>
        <w:t xml:space="preserve">, and dimmable lights and. In all </w:t>
      </w:r>
      <w:r w:rsidR="007B541A" w:rsidRPr="000D6A5D">
        <w:rPr>
          <w:rFonts w:asciiTheme="majorHAnsi" w:eastAsia="MS Mincho" w:hAnsiTheme="majorHAnsi" w:cstheme="majorHAnsi"/>
          <w:szCs w:val="22"/>
        </w:rPr>
        <w:t>cases,</w:t>
      </w:r>
      <w:r w:rsidRPr="000D6A5D">
        <w:rPr>
          <w:rFonts w:asciiTheme="majorHAnsi" w:eastAsia="MS Mincho" w:hAnsiTheme="majorHAnsi" w:cstheme="majorHAnsi"/>
          <w:szCs w:val="22"/>
        </w:rPr>
        <w:t xml:space="preserve"> the measure installed is designed to promote lamps with higher efficacy (lumens/Watt) and the same or better color resolution index.</w:t>
      </w:r>
      <w:r w:rsidR="00896317" w:rsidRPr="000D6A5D">
        <w:rPr>
          <w:rFonts w:asciiTheme="majorHAnsi" w:eastAsia="MS Mincho" w:hAnsiTheme="majorHAnsi" w:cstheme="majorHAnsi"/>
          <w:szCs w:val="22"/>
        </w:rPr>
        <w:t xml:space="preserve"> </w:t>
      </w:r>
      <w:r w:rsidRPr="000D6A5D">
        <w:rPr>
          <w:rFonts w:asciiTheme="majorHAnsi" w:eastAsia="MS Mincho" w:hAnsiTheme="majorHAnsi" w:cstheme="majorHAnsi"/>
          <w:szCs w:val="22"/>
        </w:rPr>
        <w:t>This guidance is applicable to at least the following four common program design approaches, for both new construction and retrofit applications of residential lighting measures:</w:t>
      </w:r>
    </w:p>
    <w:p w14:paraId="402DB066" w14:textId="77777777" w:rsidR="0001760A" w:rsidRPr="000D6A5D" w:rsidRDefault="0001760A" w:rsidP="00AB6C96">
      <w:pPr>
        <w:pStyle w:val="BulletLevel1"/>
        <w:rPr>
          <w:rFonts w:asciiTheme="majorHAnsi" w:hAnsiTheme="majorHAnsi" w:cstheme="majorHAnsi"/>
          <w:szCs w:val="22"/>
        </w:rPr>
      </w:pPr>
      <w:r w:rsidRPr="000D6A5D">
        <w:rPr>
          <w:rFonts w:asciiTheme="majorHAnsi" w:hAnsiTheme="majorHAnsi" w:cstheme="majorHAnsi"/>
          <w:szCs w:val="22"/>
        </w:rPr>
        <w:t>Direct installation of lighting products, including Energy Service Company (ESCO) projects</w:t>
      </w:r>
    </w:p>
    <w:p w14:paraId="33D50A0E" w14:textId="77777777" w:rsidR="0001760A" w:rsidRPr="000D6A5D" w:rsidRDefault="0001760A" w:rsidP="00AB6C96">
      <w:pPr>
        <w:pStyle w:val="BulletLevel1"/>
        <w:rPr>
          <w:rFonts w:asciiTheme="majorHAnsi" w:hAnsiTheme="majorHAnsi" w:cstheme="majorHAnsi"/>
          <w:szCs w:val="22"/>
        </w:rPr>
      </w:pPr>
      <w:r w:rsidRPr="000D6A5D">
        <w:rPr>
          <w:rFonts w:asciiTheme="majorHAnsi" w:hAnsiTheme="majorHAnsi" w:cstheme="majorHAnsi"/>
          <w:szCs w:val="22"/>
        </w:rPr>
        <w:t>Consumer incentives (e.g., rebates, coupons)</w:t>
      </w:r>
    </w:p>
    <w:p w14:paraId="0EEF7C21" w14:textId="77777777" w:rsidR="0001760A" w:rsidRPr="000D6A5D" w:rsidRDefault="0001760A" w:rsidP="00AB6C96">
      <w:pPr>
        <w:pStyle w:val="BulletLevel1"/>
        <w:rPr>
          <w:rFonts w:asciiTheme="majorHAnsi" w:hAnsiTheme="majorHAnsi" w:cstheme="majorHAnsi"/>
          <w:szCs w:val="22"/>
        </w:rPr>
      </w:pPr>
      <w:r w:rsidRPr="000D6A5D">
        <w:rPr>
          <w:rFonts w:asciiTheme="majorHAnsi" w:hAnsiTheme="majorHAnsi" w:cstheme="majorHAnsi"/>
          <w:szCs w:val="22"/>
        </w:rPr>
        <w:t>Giveaways (installed for free during audits or mailed to homeowners)</w:t>
      </w:r>
    </w:p>
    <w:p w14:paraId="1479A494" w14:textId="77777777" w:rsidR="008F1CC5" w:rsidRPr="000D6A5D" w:rsidRDefault="0001760A" w:rsidP="00AB6C96">
      <w:pPr>
        <w:pStyle w:val="BulletLevel1"/>
        <w:rPr>
          <w:rFonts w:asciiTheme="majorHAnsi" w:eastAsia="MS Gothic" w:hAnsiTheme="majorHAnsi" w:cstheme="majorHAnsi"/>
          <w:bCs/>
          <w:iCs/>
          <w:szCs w:val="22"/>
        </w:rPr>
      </w:pPr>
      <w:r w:rsidRPr="000D6A5D">
        <w:rPr>
          <w:rFonts w:asciiTheme="majorHAnsi" w:hAnsiTheme="majorHAnsi" w:cstheme="majorHAnsi"/>
          <w:szCs w:val="22"/>
        </w:rPr>
        <w:t>Upstream/Mid-stream/Downstream buy downs of retail lamp/fixture prices (e.g., point of sale rebates)</w:t>
      </w:r>
    </w:p>
    <w:p w14:paraId="19AB8A26" w14:textId="77777777" w:rsidR="008F1CC5" w:rsidRPr="000D6A5D" w:rsidRDefault="008F1CC5" w:rsidP="00AB6C96">
      <w:pPr>
        <w:pStyle w:val="Heading8"/>
        <w:rPr>
          <w:rFonts w:asciiTheme="majorHAnsi" w:hAnsiTheme="majorHAnsi" w:cstheme="majorHAnsi"/>
        </w:rPr>
      </w:pPr>
      <w:r w:rsidRPr="000D6A5D">
        <w:rPr>
          <w:rFonts w:asciiTheme="majorHAnsi" w:hAnsiTheme="majorHAnsi" w:cstheme="majorHAnsi"/>
        </w:rPr>
        <w:t xml:space="preserve">Key </w:t>
      </w:r>
      <w:r w:rsidR="0001760A" w:rsidRPr="000D6A5D">
        <w:rPr>
          <w:rFonts w:asciiTheme="majorHAnsi" w:hAnsiTheme="majorHAnsi" w:cstheme="majorHAnsi"/>
        </w:rPr>
        <w:t>Challenges in Estimating Energy Savings</w:t>
      </w:r>
    </w:p>
    <w:p w14:paraId="64DF991D" w14:textId="77777777" w:rsidR="0001760A" w:rsidRPr="000D6A5D" w:rsidRDefault="0001760A" w:rsidP="00AB6C96">
      <w:pPr>
        <w:pStyle w:val="BodyText"/>
        <w:widowControl/>
        <w:rPr>
          <w:rFonts w:asciiTheme="majorHAnsi" w:eastAsia="MS Gothic" w:hAnsiTheme="majorHAnsi" w:cstheme="majorHAnsi"/>
          <w:color w:val="4F81BD"/>
          <w:szCs w:val="22"/>
        </w:rPr>
      </w:pPr>
      <w:r w:rsidRPr="000D6A5D">
        <w:rPr>
          <w:rFonts w:asciiTheme="majorHAnsi" w:eastAsia="MS Gothic" w:hAnsiTheme="majorHAnsi" w:cstheme="majorHAnsi"/>
          <w:szCs w:val="22"/>
        </w:rPr>
        <w:t>The primary measurement challenges for estimating lighting technology savings evaluation are:</w:t>
      </w:r>
    </w:p>
    <w:p w14:paraId="7101C80C" w14:textId="77777777" w:rsidR="0001760A" w:rsidRPr="000D6A5D" w:rsidRDefault="0001760A" w:rsidP="00703A52">
      <w:pPr>
        <w:pStyle w:val="ListParagraph"/>
        <w:numPr>
          <w:ilvl w:val="0"/>
          <w:numId w:val="218"/>
        </w:numPr>
      </w:pPr>
      <w:r w:rsidRPr="000D6A5D">
        <w:rPr>
          <w:b/>
        </w:rPr>
        <w:t>Operating hours</w:t>
      </w:r>
      <w:r w:rsidR="00AB69BE">
        <w:t xml:space="preserve"> –</w:t>
      </w:r>
      <w:r w:rsidRPr="000D6A5D">
        <w:t xml:space="preserve"> Determining the operating hours for the lighting systems (baseline and project operating hours) where in many cases the exact location, building type, and fixture type are not known or cannot be easily found.</w:t>
      </w:r>
    </w:p>
    <w:p w14:paraId="6C645E61" w14:textId="77777777" w:rsidR="0001760A" w:rsidRPr="000D6A5D" w:rsidRDefault="0001760A" w:rsidP="00703A52">
      <w:pPr>
        <w:pStyle w:val="ListParagraph"/>
        <w:numPr>
          <w:ilvl w:val="0"/>
          <w:numId w:val="218"/>
        </w:numPr>
        <w:rPr>
          <w:rFonts w:asciiTheme="majorHAnsi" w:eastAsia="MS Mincho" w:hAnsiTheme="majorHAnsi" w:cstheme="majorHAnsi"/>
          <w:szCs w:val="22"/>
        </w:rPr>
      </w:pPr>
      <w:r w:rsidRPr="000D6A5D">
        <w:rPr>
          <w:rFonts w:asciiTheme="majorHAnsi" w:eastAsia="MS Mincho" w:hAnsiTheme="majorHAnsi" w:cstheme="majorHAnsi"/>
          <w:b/>
          <w:szCs w:val="22"/>
        </w:rPr>
        <w:t>Baseline wattage</w:t>
      </w:r>
      <w:r w:rsidR="00AB69BE">
        <w:rPr>
          <w:rFonts w:asciiTheme="majorHAnsi" w:eastAsia="MS Mincho" w:hAnsiTheme="majorHAnsi" w:cstheme="majorHAnsi"/>
          <w:b/>
          <w:szCs w:val="22"/>
        </w:rPr>
        <w:t xml:space="preserve"> </w:t>
      </w:r>
      <w:r w:rsidR="00AB69BE">
        <w:rPr>
          <w:rFonts w:asciiTheme="majorHAnsi" w:eastAsia="MS Mincho" w:hAnsiTheme="majorHAnsi" w:cstheme="majorHAnsi"/>
          <w:szCs w:val="22"/>
        </w:rPr>
        <w:t>–</w:t>
      </w:r>
      <w:r w:rsidRPr="000D6A5D">
        <w:rPr>
          <w:rFonts w:asciiTheme="majorHAnsi" w:eastAsia="MS Mincho" w:hAnsiTheme="majorHAnsi" w:cstheme="majorHAnsi"/>
          <w:szCs w:val="22"/>
        </w:rPr>
        <w:t xml:space="preserve"> Determining the baseline wattage of lamps being replaced by more efficient lamps (baseline wattage) when in many cases the lumen output of the baseline bulb is not known and it is not known if the more efficient lamps provides lower, higher or equivalent lumens output. In </w:t>
      </w:r>
      <w:r w:rsidR="007B541A" w:rsidRPr="000D6A5D">
        <w:rPr>
          <w:rFonts w:asciiTheme="majorHAnsi" w:eastAsia="MS Mincho" w:hAnsiTheme="majorHAnsi" w:cstheme="majorHAnsi"/>
          <w:szCs w:val="22"/>
        </w:rPr>
        <w:t>addition,</w:t>
      </w:r>
      <w:r w:rsidRPr="000D6A5D">
        <w:rPr>
          <w:rFonts w:asciiTheme="majorHAnsi" w:eastAsia="MS Mincho" w:hAnsiTheme="majorHAnsi" w:cstheme="majorHAnsi"/>
          <w:szCs w:val="22"/>
        </w:rPr>
        <w:t xml:space="preserve"> for upstream programs it is not known if the more efficient bulb simply replaced a bulb of similar efficiency or efficacy. </w:t>
      </w:r>
    </w:p>
    <w:p w14:paraId="6185B057" w14:textId="77777777" w:rsidR="0001760A" w:rsidRDefault="0001760A" w:rsidP="00703A52">
      <w:pPr>
        <w:pStyle w:val="ListParagraph"/>
        <w:numPr>
          <w:ilvl w:val="0"/>
          <w:numId w:val="218"/>
        </w:numPr>
        <w:rPr>
          <w:rFonts w:asciiTheme="majorHAnsi" w:eastAsia="MS Mincho" w:hAnsiTheme="majorHAnsi" w:cstheme="majorHAnsi"/>
          <w:szCs w:val="22"/>
        </w:rPr>
      </w:pPr>
      <w:r w:rsidRPr="000D6A5D">
        <w:rPr>
          <w:rFonts w:asciiTheme="majorHAnsi" w:eastAsia="MS Mincho" w:hAnsiTheme="majorHAnsi" w:cstheme="majorHAnsi"/>
          <w:b/>
          <w:szCs w:val="22"/>
        </w:rPr>
        <w:t>Indirect savings or additional electricity use resulting from interaction with HVAC systems</w:t>
      </w:r>
      <w:r w:rsidR="00AB69BE">
        <w:rPr>
          <w:rFonts w:asciiTheme="majorHAnsi" w:eastAsia="MS Mincho" w:hAnsiTheme="majorHAnsi" w:cstheme="majorHAnsi"/>
          <w:szCs w:val="22"/>
        </w:rPr>
        <w:t xml:space="preserve"> –</w:t>
      </w:r>
      <w:r w:rsidRPr="000D6A5D">
        <w:rPr>
          <w:rFonts w:asciiTheme="majorHAnsi" w:eastAsia="MS Mincho" w:hAnsiTheme="majorHAnsi" w:cstheme="majorHAnsi"/>
          <w:szCs w:val="22"/>
        </w:rPr>
        <w:t xml:space="preserve">Estimating the </w:t>
      </w:r>
      <w:r w:rsidR="00D65BEA">
        <w:rPr>
          <w:rFonts w:asciiTheme="majorHAnsi" w:eastAsia="MS Mincho" w:hAnsiTheme="majorHAnsi" w:cstheme="majorHAnsi"/>
          <w:szCs w:val="22"/>
        </w:rPr>
        <w:t>i</w:t>
      </w:r>
      <w:r w:rsidRPr="000D6A5D">
        <w:rPr>
          <w:rFonts w:asciiTheme="majorHAnsi" w:eastAsia="MS Mincho" w:hAnsiTheme="majorHAnsi" w:cstheme="majorHAnsi"/>
          <w:szCs w:val="22"/>
        </w:rPr>
        <w:t xml:space="preserve">ndirect effects of installing more efficient lamps on the energy use of existing heating, ventilation and cooling systems. </w:t>
      </w:r>
    </w:p>
    <w:p w14:paraId="60CAD23E" w14:textId="77777777" w:rsidR="00D65BEA" w:rsidRDefault="00D65BEA" w:rsidP="00703A52">
      <w:pPr>
        <w:pStyle w:val="ListParagraph"/>
        <w:numPr>
          <w:ilvl w:val="0"/>
          <w:numId w:val="218"/>
        </w:numPr>
        <w:rPr>
          <w:rFonts w:asciiTheme="majorHAnsi" w:eastAsia="MS Mincho" w:hAnsiTheme="majorHAnsi" w:cstheme="majorHAnsi"/>
          <w:szCs w:val="22"/>
        </w:rPr>
      </w:pPr>
      <w:r>
        <w:rPr>
          <w:rFonts w:asciiTheme="majorHAnsi" w:eastAsia="MS Mincho" w:hAnsiTheme="majorHAnsi" w:cstheme="majorHAnsi"/>
          <w:b/>
          <w:szCs w:val="22"/>
        </w:rPr>
        <w:t xml:space="preserve">Free Riders and Technical Progress– </w:t>
      </w:r>
      <w:r>
        <w:rPr>
          <w:rFonts w:asciiTheme="majorHAnsi" w:eastAsia="MS Mincho" w:hAnsiTheme="majorHAnsi" w:cstheme="majorHAnsi"/>
          <w:szCs w:val="22"/>
        </w:rPr>
        <w:t>Estimating underlying market adoption rates is challenging.</w:t>
      </w:r>
      <w:r w:rsidR="001A5A18">
        <w:rPr>
          <w:rFonts w:asciiTheme="majorHAnsi" w:eastAsia="MS Mincho" w:hAnsiTheme="majorHAnsi" w:cstheme="majorHAnsi"/>
          <w:szCs w:val="22"/>
        </w:rPr>
        <w:t xml:space="preserve"> </w:t>
      </w:r>
      <w:r>
        <w:rPr>
          <w:rFonts w:asciiTheme="majorHAnsi" w:eastAsia="MS Mincho" w:hAnsiTheme="majorHAnsi" w:cstheme="majorHAnsi"/>
          <w:szCs w:val="22"/>
        </w:rPr>
        <w:t>Particularly in lighting where product innovation is occurring a rapid pace.</w:t>
      </w:r>
      <w:r w:rsidR="001A5A18">
        <w:rPr>
          <w:rFonts w:asciiTheme="majorHAnsi" w:eastAsia="MS Mincho" w:hAnsiTheme="majorHAnsi" w:cstheme="majorHAnsi"/>
          <w:szCs w:val="22"/>
        </w:rPr>
        <w:t xml:space="preserve"> </w:t>
      </w:r>
      <w:r>
        <w:rPr>
          <w:rFonts w:asciiTheme="majorHAnsi" w:eastAsia="MS Mincho" w:hAnsiTheme="majorHAnsi" w:cstheme="majorHAnsi"/>
          <w:szCs w:val="22"/>
        </w:rPr>
        <w:t xml:space="preserve">Consequently, programs that incent switching to current long-lived technology (e.g. a CFLs installed in 2010 persist through 2020 in a light use application) may yield short term energy savings but also reduce longer-term </w:t>
      </w:r>
      <w:r>
        <w:rPr>
          <w:rFonts w:asciiTheme="majorHAnsi" w:eastAsia="MS Mincho" w:hAnsiTheme="majorHAnsi" w:cstheme="majorHAnsi"/>
          <w:szCs w:val="22"/>
        </w:rPr>
        <w:lastRenderedPageBreak/>
        <w:t xml:space="preserve">savings that would have occurred if the consumer had later voluntarily switched to more efficient options (e.g. shifting directly from incandescent to a higher efficiency LED in 2015). </w:t>
      </w:r>
    </w:p>
    <w:p w14:paraId="5FF09027" w14:textId="77777777" w:rsidR="004C7CA8" w:rsidRPr="004C7CA8" w:rsidRDefault="004C7CA8" w:rsidP="00703A52"/>
    <w:p w14:paraId="2AD71D22" w14:textId="77777777" w:rsidR="007D7BE7" w:rsidRDefault="007D7BE7">
      <w:pPr>
        <w:spacing w:after="200"/>
        <w:rPr>
          <w:rFonts w:asciiTheme="majorHAnsi" w:eastAsia="MS Mincho" w:hAnsiTheme="majorHAnsi" w:cstheme="majorHAnsi"/>
          <w:szCs w:val="22"/>
        </w:rPr>
      </w:pPr>
      <w:r>
        <w:rPr>
          <w:rFonts w:asciiTheme="majorHAnsi" w:eastAsia="MS Mincho" w:hAnsiTheme="majorHAnsi" w:cstheme="majorHAnsi"/>
          <w:szCs w:val="22"/>
        </w:rPr>
        <w:br w:type="page"/>
      </w:r>
    </w:p>
    <w:p w14:paraId="19856996" w14:textId="77777777" w:rsidR="0001760A" w:rsidRPr="000D6A5D" w:rsidRDefault="0001760A" w:rsidP="00AB6C96">
      <w:pPr>
        <w:pStyle w:val="BodyText"/>
        <w:widowControl/>
        <w:rPr>
          <w:rFonts w:asciiTheme="majorHAnsi" w:eastAsia="MS Mincho" w:hAnsiTheme="majorHAnsi" w:cstheme="majorHAnsi"/>
          <w:szCs w:val="22"/>
        </w:rPr>
      </w:pPr>
      <w:r w:rsidRPr="000D6A5D">
        <w:rPr>
          <w:rFonts w:asciiTheme="majorHAnsi" w:eastAsia="MS Mincho" w:hAnsiTheme="majorHAnsi" w:cstheme="majorHAnsi"/>
          <w:szCs w:val="22"/>
        </w:rPr>
        <w:lastRenderedPageBreak/>
        <w:t>The most common evaluation methods for dealing with each challenge are discussed below:</w:t>
      </w:r>
    </w:p>
    <w:p w14:paraId="2E3056DE" w14:textId="77777777" w:rsidR="008F1CC5" w:rsidRPr="000D6A5D" w:rsidRDefault="0001760A" w:rsidP="00AB6C96">
      <w:pPr>
        <w:spacing w:after="120"/>
        <w:ind w:left="360"/>
        <w:rPr>
          <w:rFonts w:asciiTheme="majorHAnsi" w:eastAsia="MS Mincho" w:hAnsiTheme="majorHAnsi" w:cstheme="majorHAnsi"/>
          <w:szCs w:val="22"/>
        </w:rPr>
      </w:pPr>
      <w:r w:rsidRPr="000D6A5D">
        <w:rPr>
          <w:rFonts w:asciiTheme="majorHAnsi" w:eastAsia="MS Mincho" w:hAnsiTheme="majorHAnsi" w:cstheme="majorHAnsi"/>
          <w:b/>
          <w:szCs w:val="22"/>
        </w:rPr>
        <w:t>A.</w:t>
      </w:r>
      <w:r w:rsidR="00896317" w:rsidRPr="000D6A5D">
        <w:rPr>
          <w:rFonts w:asciiTheme="majorHAnsi" w:eastAsia="MS Mincho" w:hAnsiTheme="majorHAnsi" w:cstheme="majorHAnsi"/>
          <w:b/>
          <w:szCs w:val="22"/>
        </w:rPr>
        <w:t xml:space="preserve"> </w:t>
      </w:r>
      <w:r w:rsidRPr="000D6A5D">
        <w:rPr>
          <w:rFonts w:asciiTheme="majorHAnsi" w:eastAsia="MS Mincho" w:hAnsiTheme="majorHAnsi" w:cstheme="majorHAnsi"/>
          <w:b/>
          <w:szCs w:val="22"/>
        </w:rPr>
        <w:t>Estimating Hours of Operation (HOU)</w:t>
      </w:r>
      <w:r w:rsidRPr="000D6A5D">
        <w:rPr>
          <w:rStyle w:val="FootnoteReference"/>
          <w:rFonts w:asciiTheme="majorHAnsi" w:eastAsia="MS Mincho" w:hAnsiTheme="majorHAnsi" w:cstheme="majorHAnsi"/>
          <w:szCs w:val="22"/>
        </w:rPr>
        <w:footnoteReference w:id="69"/>
      </w: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4405"/>
        <w:gridCol w:w="4945"/>
      </w:tblGrid>
      <w:tr w:rsidR="0001760A" w:rsidRPr="000D6A5D" w14:paraId="2BD8E4FD" w14:textId="77777777" w:rsidTr="000D6A5D">
        <w:trPr>
          <w:cantSplit/>
        </w:trPr>
        <w:tc>
          <w:tcPr>
            <w:tcW w:w="4405" w:type="dxa"/>
            <w:shd w:val="clear" w:color="auto" w:fill="D1E1FF"/>
          </w:tcPr>
          <w:p w14:paraId="0F813F0B" w14:textId="77777777" w:rsidR="0001760A" w:rsidRPr="000D6A5D" w:rsidRDefault="00AB69BE" w:rsidP="00AB6C96">
            <w:pPr>
              <w:rPr>
                <w:rFonts w:asciiTheme="majorHAnsi" w:eastAsia="MS Mincho" w:hAnsiTheme="majorHAnsi" w:cstheme="majorHAnsi"/>
                <w:b/>
                <w:szCs w:val="22"/>
              </w:rPr>
            </w:pPr>
            <w:r>
              <w:rPr>
                <w:rFonts w:asciiTheme="majorHAnsi" w:eastAsia="MS Mincho" w:hAnsiTheme="majorHAnsi" w:cstheme="majorHAnsi"/>
                <w:b/>
                <w:szCs w:val="22"/>
              </w:rPr>
              <w:t>M&amp;V</w:t>
            </w:r>
            <w:r w:rsidRPr="000D6A5D">
              <w:rPr>
                <w:rFonts w:asciiTheme="majorHAnsi" w:eastAsia="MS Mincho" w:hAnsiTheme="majorHAnsi" w:cstheme="majorHAnsi"/>
                <w:b/>
                <w:szCs w:val="22"/>
              </w:rPr>
              <w:t xml:space="preserve"> </w:t>
            </w:r>
            <w:r>
              <w:rPr>
                <w:rFonts w:asciiTheme="majorHAnsi" w:eastAsia="MS Mincho" w:hAnsiTheme="majorHAnsi" w:cstheme="majorHAnsi"/>
                <w:b/>
                <w:szCs w:val="22"/>
              </w:rPr>
              <w:t>Approach</w:t>
            </w:r>
            <w:r w:rsidRPr="000D6A5D">
              <w:rPr>
                <w:rStyle w:val="FootnoteReference"/>
                <w:rFonts w:asciiTheme="majorHAnsi" w:eastAsia="MS Mincho" w:hAnsiTheme="majorHAnsi" w:cstheme="majorHAnsi"/>
                <w:szCs w:val="22"/>
              </w:rPr>
              <w:t xml:space="preserve"> </w:t>
            </w:r>
            <w:r w:rsidR="0001760A" w:rsidRPr="000D6A5D">
              <w:rPr>
                <w:rStyle w:val="FootnoteReference"/>
                <w:rFonts w:asciiTheme="majorHAnsi" w:eastAsia="MS Mincho" w:hAnsiTheme="majorHAnsi" w:cstheme="majorHAnsi"/>
                <w:szCs w:val="22"/>
              </w:rPr>
              <w:footnoteReference w:id="70"/>
            </w:r>
          </w:p>
        </w:tc>
        <w:tc>
          <w:tcPr>
            <w:tcW w:w="4945" w:type="dxa"/>
            <w:shd w:val="clear" w:color="auto" w:fill="D1E1FF"/>
          </w:tcPr>
          <w:p w14:paraId="6C5C4BE8" w14:textId="77777777" w:rsidR="0001760A" w:rsidRPr="000D6A5D" w:rsidRDefault="0001760A" w:rsidP="00AB6C96">
            <w:pPr>
              <w:rPr>
                <w:rFonts w:asciiTheme="majorHAnsi" w:eastAsia="MS Mincho" w:hAnsiTheme="majorHAnsi" w:cstheme="majorHAnsi"/>
                <w:b/>
                <w:szCs w:val="22"/>
              </w:rPr>
            </w:pPr>
            <w:r w:rsidRPr="000D6A5D">
              <w:rPr>
                <w:rFonts w:asciiTheme="majorHAnsi" w:eastAsia="MS Mincho" w:hAnsiTheme="majorHAnsi" w:cstheme="majorHAnsi"/>
                <w:b/>
                <w:szCs w:val="22"/>
              </w:rPr>
              <w:t>Typical Application</w:t>
            </w:r>
          </w:p>
        </w:tc>
      </w:tr>
      <w:tr w:rsidR="0001760A" w:rsidRPr="000D6A5D" w14:paraId="2D03AA7F" w14:textId="77777777" w:rsidTr="000D6A5D">
        <w:trPr>
          <w:cantSplit/>
        </w:trPr>
        <w:tc>
          <w:tcPr>
            <w:tcW w:w="4405" w:type="dxa"/>
          </w:tcPr>
          <w:p w14:paraId="3AD5925B" w14:textId="77777777" w:rsidR="0001760A" w:rsidRPr="000D6A5D" w:rsidRDefault="000D6A5D" w:rsidP="00AB6C96">
            <w:pPr>
              <w:rPr>
                <w:rFonts w:asciiTheme="majorHAnsi" w:eastAsia="MS Mincho" w:hAnsiTheme="majorHAnsi" w:cstheme="majorHAnsi"/>
                <w:szCs w:val="22"/>
              </w:rPr>
            </w:pPr>
            <w:r>
              <w:rPr>
                <w:rFonts w:asciiTheme="majorHAnsi" w:eastAsia="MS Mincho" w:hAnsiTheme="majorHAnsi" w:cstheme="majorHAnsi"/>
                <w:szCs w:val="22"/>
              </w:rPr>
              <w:t>Self-</w:t>
            </w:r>
            <w:r w:rsidR="0001760A" w:rsidRPr="000D6A5D">
              <w:rPr>
                <w:rFonts w:asciiTheme="majorHAnsi" w:eastAsia="MS Mincho" w:hAnsiTheme="majorHAnsi" w:cstheme="majorHAnsi"/>
                <w:szCs w:val="22"/>
              </w:rPr>
              <w:t>reports from homeowner</w:t>
            </w:r>
          </w:p>
        </w:tc>
        <w:tc>
          <w:tcPr>
            <w:tcW w:w="4945" w:type="dxa"/>
            <w:vAlign w:val="center"/>
          </w:tcPr>
          <w:p w14:paraId="2E5C7BBC" w14:textId="77777777" w:rsidR="0001760A" w:rsidRPr="000D6A5D" w:rsidRDefault="0001760A" w:rsidP="00AB6C96">
            <w:pPr>
              <w:rPr>
                <w:rFonts w:asciiTheme="majorHAnsi" w:eastAsia="MS Mincho" w:hAnsiTheme="majorHAnsi" w:cstheme="majorHAnsi"/>
                <w:szCs w:val="22"/>
              </w:rPr>
            </w:pPr>
            <w:r w:rsidRPr="000D6A5D">
              <w:rPr>
                <w:rFonts w:asciiTheme="majorHAnsi" w:eastAsia="MS Mincho" w:hAnsiTheme="majorHAnsi" w:cstheme="majorHAnsi"/>
                <w:szCs w:val="22"/>
              </w:rPr>
              <w:t>Sites where trained auditors/contractors have installed more efficient bulbs as part of residential audit or direct install program</w:t>
            </w:r>
          </w:p>
        </w:tc>
      </w:tr>
      <w:tr w:rsidR="0001760A" w:rsidRPr="000D6A5D" w14:paraId="3847A07E" w14:textId="77777777" w:rsidTr="000D6A5D">
        <w:trPr>
          <w:cantSplit/>
        </w:trPr>
        <w:tc>
          <w:tcPr>
            <w:tcW w:w="4405" w:type="dxa"/>
          </w:tcPr>
          <w:p w14:paraId="00B0A3C1" w14:textId="77777777" w:rsidR="0001760A" w:rsidRPr="000D6A5D" w:rsidRDefault="0001760A" w:rsidP="00AB6C96">
            <w:pPr>
              <w:rPr>
                <w:rFonts w:asciiTheme="majorHAnsi" w:eastAsia="MS Mincho" w:hAnsiTheme="majorHAnsi" w:cstheme="majorHAnsi"/>
                <w:szCs w:val="22"/>
              </w:rPr>
            </w:pPr>
            <w:r w:rsidRPr="000D6A5D">
              <w:rPr>
                <w:rFonts w:asciiTheme="majorHAnsi" w:eastAsia="MS Mincho" w:hAnsiTheme="majorHAnsi" w:cstheme="majorHAnsi"/>
                <w:szCs w:val="22"/>
              </w:rPr>
              <w:t>Deemed hours from previous evaluations or TRM</w:t>
            </w:r>
          </w:p>
        </w:tc>
        <w:tc>
          <w:tcPr>
            <w:tcW w:w="4945" w:type="dxa"/>
            <w:vAlign w:val="center"/>
          </w:tcPr>
          <w:p w14:paraId="1386DFE2" w14:textId="77777777" w:rsidR="0001760A" w:rsidRPr="000D6A5D" w:rsidRDefault="0001760A" w:rsidP="00AB6C96">
            <w:pPr>
              <w:rPr>
                <w:rFonts w:asciiTheme="majorHAnsi" w:eastAsia="MS Mincho" w:hAnsiTheme="majorHAnsi" w:cstheme="majorHAnsi"/>
                <w:szCs w:val="22"/>
              </w:rPr>
            </w:pPr>
            <w:r w:rsidRPr="000D6A5D">
              <w:rPr>
                <w:rFonts w:asciiTheme="majorHAnsi" w:eastAsia="MS Mincho" w:hAnsiTheme="majorHAnsi" w:cstheme="majorHAnsi"/>
                <w:szCs w:val="22"/>
              </w:rPr>
              <w:t>Evaluation of savings from upstream programs where retailers or distributors have received rebates to buy down incremental cost of bulbs, exact location of bulb installation is not known and the evaluation budget is not sufficient to cover cost of metering.</w:t>
            </w:r>
          </w:p>
        </w:tc>
      </w:tr>
      <w:tr w:rsidR="0001760A" w:rsidRPr="000D6A5D" w14:paraId="6D4280E1" w14:textId="77777777" w:rsidTr="000D6A5D">
        <w:trPr>
          <w:cantSplit/>
        </w:trPr>
        <w:tc>
          <w:tcPr>
            <w:tcW w:w="4405" w:type="dxa"/>
          </w:tcPr>
          <w:p w14:paraId="2EE4DA61" w14:textId="77777777" w:rsidR="0001760A" w:rsidRPr="000D6A5D" w:rsidRDefault="0001760A" w:rsidP="00AB6C96">
            <w:pPr>
              <w:rPr>
                <w:rFonts w:asciiTheme="majorHAnsi" w:eastAsia="MS Mincho" w:hAnsiTheme="majorHAnsi" w:cstheme="majorHAnsi"/>
                <w:szCs w:val="22"/>
              </w:rPr>
            </w:pPr>
            <w:r w:rsidRPr="000D6A5D">
              <w:rPr>
                <w:rFonts w:asciiTheme="majorHAnsi" w:eastAsia="MS Mincho" w:hAnsiTheme="majorHAnsi" w:cstheme="majorHAnsi"/>
                <w:szCs w:val="22"/>
              </w:rPr>
              <w:t>Install lighting loggers for short-term (from weeks to months) measurement and to extrapolate result to</w:t>
            </w:r>
            <w:r w:rsidR="00896317" w:rsidRPr="000D6A5D">
              <w:rPr>
                <w:rFonts w:asciiTheme="majorHAnsi" w:eastAsia="MS Mincho" w:hAnsiTheme="majorHAnsi" w:cstheme="majorHAnsi"/>
                <w:szCs w:val="22"/>
              </w:rPr>
              <w:t xml:space="preserve"> </w:t>
            </w:r>
            <w:r w:rsidRPr="000D6A5D">
              <w:rPr>
                <w:rFonts w:asciiTheme="majorHAnsi" w:eastAsia="MS Mincho" w:hAnsiTheme="majorHAnsi" w:cstheme="majorHAnsi"/>
                <w:szCs w:val="22"/>
              </w:rPr>
              <w:t>annual usage</w:t>
            </w:r>
          </w:p>
        </w:tc>
        <w:tc>
          <w:tcPr>
            <w:tcW w:w="4945" w:type="dxa"/>
            <w:vAlign w:val="center"/>
          </w:tcPr>
          <w:p w14:paraId="1C9A79E1" w14:textId="77777777" w:rsidR="0001760A" w:rsidRPr="000D6A5D" w:rsidRDefault="0001760A" w:rsidP="00AB6C96">
            <w:pPr>
              <w:rPr>
                <w:rFonts w:asciiTheme="majorHAnsi" w:eastAsia="MS Mincho" w:hAnsiTheme="majorHAnsi" w:cstheme="majorHAnsi"/>
                <w:szCs w:val="22"/>
              </w:rPr>
            </w:pPr>
            <w:r w:rsidRPr="000D6A5D">
              <w:rPr>
                <w:rFonts w:asciiTheme="majorHAnsi" w:eastAsia="MS Mincho" w:hAnsiTheme="majorHAnsi" w:cstheme="majorHAnsi"/>
                <w:szCs w:val="22"/>
              </w:rPr>
              <w:t xml:space="preserve">Most common application in </w:t>
            </w:r>
            <w:r w:rsidR="00EC6835" w:rsidRPr="000D6A5D">
              <w:rPr>
                <w:rFonts w:asciiTheme="majorHAnsi" w:eastAsia="MS Mincho" w:hAnsiTheme="majorHAnsi" w:cstheme="majorHAnsi"/>
                <w:szCs w:val="22"/>
              </w:rPr>
              <w:t>state</w:t>
            </w:r>
            <w:r w:rsidRPr="000D6A5D">
              <w:rPr>
                <w:rFonts w:asciiTheme="majorHAnsi" w:eastAsia="MS Mincho" w:hAnsiTheme="majorHAnsi" w:cstheme="majorHAnsi"/>
                <w:szCs w:val="22"/>
              </w:rPr>
              <w:t>s where lighting programs have been operated for many years, lighting represents a significant portion of portfolio savings and results can be used by multiple program administrators</w:t>
            </w:r>
          </w:p>
        </w:tc>
      </w:tr>
    </w:tbl>
    <w:p w14:paraId="2B573745" w14:textId="77777777" w:rsidR="008F1CC5" w:rsidRPr="000D6A5D" w:rsidRDefault="008F1CC5" w:rsidP="00AB6C96">
      <w:pPr>
        <w:rPr>
          <w:rFonts w:asciiTheme="majorHAnsi" w:eastAsia="MS Mincho" w:hAnsiTheme="majorHAnsi" w:cstheme="majorHAnsi"/>
          <w:szCs w:val="22"/>
        </w:rPr>
      </w:pPr>
    </w:p>
    <w:p w14:paraId="4BF00B89" w14:textId="77777777" w:rsidR="008F1CC5" w:rsidRPr="000D6A5D" w:rsidRDefault="008F1CC5" w:rsidP="00AB6C96">
      <w:pPr>
        <w:spacing w:after="120"/>
        <w:ind w:left="360"/>
        <w:rPr>
          <w:rFonts w:asciiTheme="majorHAnsi" w:eastAsia="MS Mincho" w:hAnsiTheme="majorHAnsi" w:cstheme="majorHAnsi"/>
          <w:szCs w:val="22"/>
        </w:rPr>
      </w:pPr>
      <w:r w:rsidRPr="000D6A5D">
        <w:rPr>
          <w:rFonts w:asciiTheme="majorHAnsi" w:eastAsia="MS Mincho" w:hAnsiTheme="majorHAnsi" w:cstheme="majorHAnsi"/>
          <w:b/>
          <w:szCs w:val="22"/>
        </w:rPr>
        <w:t>B.</w:t>
      </w:r>
      <w:r w:rsidR="00896317" w:rsidRPr="000D6A5D">
        <w:rPr>
          <w:rFonts w:asciiTheme="majorHAnsi" w:eastAsia="MS Mincho" w:hAnsiTheme="majorHAnsi" w:cstheme="majorHAnsi"/>
          <w:b/>
          <w:szCs w:val="22"/>
        </w:rPr>
        <w:t xml:space="preserve"> </w:t>
      </w:r>
      <w:r w:rsidRPr="000D6A5D">
        <w:rPr>
          <w:rFonts w:asciiTheme="majorHAnsi" w:eastAsia="MS Mincho" w:hAnsiTheme="majorHAnsi" w:cstheme="majorHAnsi"/>
          <w:b/>
          <w:szCs w:val="22"/>
        </w:rPr>
        <w:t>Estimating Baseline wattage</w:t>
      </w:r>
    </w:p>
    <w:tbl>
      <w:tblPr>
        <w:tblStyle w:val="TableGrid"/>
        <w:tblW w:w="9355" w:type="dxa"/>
        <w:tblCellMar>
          <w:top w:w="58" w:type="dxa"/>
          <w:left w:w="58" w:type="dxa"/>
          <w:bottom w:w="58" w:type="dxa"/>
          <w:right w:w="58" w:type="dxa"/>
        </w:tblCellMar>
        <w:tblLook w:val="04A0" w:firstRow="1" w:lastRow="0" w:firstColumn="1" w:lastColumn="0" w:noHBand="0" w:noVBand="1"/>
      </w:tblPr>
      <w:tblGrid>
        <w:gridCol w:w="4387"/>
        <w:gridCol w:w="4968"/>
      </w:tblGrid>
      <w:tr w:rsidR="0001760A" w:rsidRPr="000D6A5D" w14:paraId="739BFF89" w14:textId="77777777" w:rsidTr="000D6A5D">
        <w:trPr>
          <w:cantSplit/>
          <w:tblHeader/>
        </w:trPr>
        <w:tc>
          <w:tcPr>
            <w:tcW w:w="4387" w:type="dxa"/>
            <w:shd w:val="clear" w:color="auto" w:fill="D1E1FF"/>
          </w:tcPr>
          <w:p w14:paraId="52F76CD2" w14:textId="77777777" w:rsidR="0001760A" w:rsidRPr="000D6A5D" w:rsidRDefault="00AB69BE" w:rsidP="00AB6C96">
            <w:pPr>
              <w:rPr>
                <w:rFonts w:asciiTheme="majorHAnsi" w:eastAsia="MS Mincho" w:hAnsiTheme="majorHAnsi" w:cstheme="majorHAnsi"/>
                <w:b/>
                <w:szCs w:val="22"/>
              </w:rPr>
            </w:pPr>
            <w:r>
              <w:rPr>
                <w:rFonts w:asciiTheme="majorHAnsi" w:eastAsia="MS Mincho" w:hAnsiTheme="majorHAnsi" w:cstheme="majorHAnsi"/>
                <w:b/>
                <w:szCs w:val="22"/>
              </w:rPr>
              <w:t>M&amp;V</w:t>
            </w:r>
            <w:r w:rsidRPr="000D6A5D">
              <w:rPr>
                <w:rFonts w:asciiTheme="majorHAnsi" w:eastAsia="MS Mincho" w:hAnsiTheme="majorHAnsi" w:cstheme="majorHAnsi"/>
                <w:b/>
                <w:szCs w:val="22"/>
              </w:rPr>
              <w:t xml:space="preserve"> </w:t>
            </w:r>
            <w:r>
              <w:rPr>
                <w:rFonts w:asciiTheme="majorHAnsi" w:eastAsia="MS Mincho" w:hAnsiTheme="majorHAnsi" w:cstheme="majorHAnsi"/>
                <w:b/>
                <w:szCs w:val="22"/>
              </w:rPr>
              <w:t>Approach</w:t>
            </w:r>
          </w:p>
        </w:tc>
        <w:tc>
          <w:tcPr>
            <w:tcW w:w="4968" w:type="dxa"/>
            <w:shd w:val="clear" w:color="auto" w:fill="D1E1FF"/>
          </w:tcPr>
          <w:p w14:paraId="79169D43" w14:textId="77777777" w:rsidR="0001760A" w:rsidRPr="000D6A5D" w:rsidRDefault="0001760A" w:rsidP="00AB6C96">
            <w:pPr>
              <w:rPr>
                <w:rFonts w:asciiTheme="majorHAnsi" w:eastAsia="MS Mincho" w:hAnsiTheme="majorHAnsi" w:cstheme="majorHAnsi"/>
                <w:b/>
                <w:szCs w:val="22"/>
              </w:rPr>
            </w:pPr>
            <w:r w:rsidRPr="000D6A5D">
              <w:rPr>
                <w:rFonts w:asciiTheme="majorHAnsi" w:eastAsia="MS Mincho" w:hAnsiTheme="majorHAnsi" w:cstheme="majorHAnsi"/>
                <w:b/>
                <w:szCs w:val="22"/>
              </w:rPr>
              <w:t>Typical Application</w:t>
            </w:r>
          </w:p>
        </w:tc>
      </w:tr>
      <w:tr w:rsidR="0001760A" w:rsidRPr="000D6A5D" w14:paraId="367A6F0C" w14:textId="77777777" w:rsidTr="000D6A5D">
        <w:trPr>
          <w:cantSplit/>
        </w:trPr>
        <w:tc>
          <w:tcPr>
            <w:tcW w:w="4387" w:type="dxa"/>
          </w:tcPr>
          <w:p w14:paraId="42A70FB3" w14:textId="77777777" w:rsidR="0001760A" w:rsidRPr="000D6A5D" w:rsidRDefault="0001760A" w:rsidP="00AB6C96">
            <w:pPr>
              <w:rPr>
                <w:rFonts w:asciiTheme="majorHAnsi" w:eastAsia="MS Mincho" w:hAnsiTheme="majorHAnsi" w:cstheme="majorHAnsi"/>
                <w:szCs w:val="22"/>
              </w:rPr>
            </w:pPr>
            <w:r w:rsidRPr="000D6A5D">
              <w:rPr>
                <w:rFonts w:asciiTheme="majorHAnsi" w:eastAsia="MS Mincho" w:hAnsiTheme="majorHAnsi" w:cstheme="majorHAnsi"/>
                <w:szCs w:val="22"/>
              </w:rPr>
              <w:t>In-home Inspection of a sample of baseline bulbs</w:t>
            </w:r>
          </w:p>
        </w:tc>
        <w:tc>
          <w:tcPr>
            <w:tcW w:w="4968" w:type="dxa"/>
          </w:tcPr>
          <w:p w14:paraId="1E121348" w14:textId="77777777" w:rsidR="0001760A" w:rsidRPr="000D6A5D" w:rsidRDefault="0001760A" w:rsidP="00AB6C96">
            <w:pPr>
              <w:rPr>
                <w:rFonts w:asciiTheme="majorHAnsi" w:eastAsia="MS Mincho" w:hAnsiTheme="majorHAnsi" w:cstheme="majorHAnsi"/>
                <w:szCs w:val="22"/>
              </w:rPr>
            </w:pPr>
            <w:r w:rsidRPr="000D6A5D">
              <w:rPr>
                <w:rFonts w:asciiTheme="majorHAnsi" w:eastAsia="MS Mincho" w:hAnsiTheme="majorHAnsi" w:cstheme="majorHAnsi"/>
                <w:szCs w:val="22"/>
              </w:rPr>
              <w:t>Direct-install programs, Residential Audit Programs where CFL or LED’s are installed for low cost or free</w:t>
            </w:r>
          </w:p>
        </w:tc>
      </w:tr>
      <w:tr w:rsidR="0001760A" w:rsidRPr="000D6A5D" w14:paraId="59254EF3" w14:textId="77777777" w:rsidTr="000D6A5D">
        <w:trPr>
          <w:cantSplit/>
        </w:trPr>
        <w:tc>
          <w:tcPr>
            <w:tcW w:w="4387" w:type="dxa"/>
          </w:tcPr>
          <w:p w14:paraId="1202FA8D" w14:textId="77777777" w:rsidR="0001760A" w:rsidRPr="000D6A5D" w:rsidRDefault="0001760A" w:rsidP="00AB6C96">
            <w:pPr>
              <w:rPr>
                <w:rFonts w:asciiTheme="majorHAnsi" w:eastAsia="MS Mincho" w:hAnsiTheme="majorHAnsi" w:cstheme="majorHAnsi"/>
                <w:szCs w:val="22"/>
              </w:rPr>
            </w:pPr>
            <w:r w:rsidRPr="000D6A5D">
              <w:rPr>
                <w:rFonts w:asciiTheme="majorHAnsi" w:eastAsia="MS Mincho" w:hAnsiTheme="majorHAnsi" w:cstheme="majorHAnsi"/>
                <w:szCs w:val="22"/>
              </w:rPr>
              <w:t>Use multiplier factors taken from TRM or previous evaluations to directly convert tracking data on energy efficient bulb wattage to estimated delta watts</w:t>
            </w:r>
            <w:r w:rsidRPr="000D6A5D">
              <w:rPr>
                <w:rStyle w:val="FootnoteReference"/>
                <w:rFonts w:asciiTheme="majorHAnsi" w:eastAsia="MS Mincho" w:hAnsiTheme="majorHAnsi" w:cstheme="majorHAnsi"/>
                <w:szCs w:val="22"/>
              </w:rPr>
              <w:footnoteReference w:id="71"/>
            </w:r>
            <w:r w:rsidRPr="000D6A5D">
              <w:rPr>
                <w:rFonts w:asciiTheme="majorHAnsi" w:eastAsia="MS Mincho" w:hAnsiTheme="majorHAnsi" w:cstheme="majorHAnsi"/>
                <w:szCs w:val="22"/>
              </w:rPr>
              <w:t xml:space="preserve"> </w:t>
            </w:r>
          </w:p>
        </w:tc>
        <w:tc>
          <w:tcPr>
            <w:tcW w:w="4968" w:type="dxa"/>
          </w:tcPr>
          <w:p w14:paraId="1752A8E0" w14:textId="77777777" w:rsidR="0001760A" w:rsidRPr="000D6A5D" w:rsidRDefault="0001760A" w:rsidP="00AB6C96">
            <w:pPr>
              <w:rPr>
                <w:rFonts w:asciiTheme="majorHAnsi" w:eastAsia="MS Mincho" w:hAnsiTheme="majorHAnsi" w:cstheme="majorHAnsi"/>
                <w:szCs w:val="22"/>
              </w:rPr>
            </w:pPr>
            <w:r w:rsidRPr="000D6A5D">
              <w:rPr>
                <w:rFonts w:asciiTheme="majorHAnsi" w:eastAsia="MS Mincho" w:hAnsiTheme="majorHAnsi" w:cstheme="majorHAnsi"/>
                <w:szCs w:val="22"/>
              </w:rPr>
              <w:t>Upstream lighting programs where location of bulb installation is not known, tracking systems are not completely developed and program</w:t>
            </w:r>
            <w:r w:rsidR="00896317" w:rsidRPr="000D6A5D">
              <w:rPr>
                <w:rFonts w:asciiTheme="majorHAnsi" w:eastAsia="MS Mincho" w:hAnsiTheme="majorHAnsi" w:cstheme="majorHAnsi"/>
                <w:szCs w:val="22"/>
              </w:rPr>
              <w:t xml:space="preserve"> </w:t>
            </w:r>
            <w:r w:rsidRPr="000D6A5D">
              <w:rPr>
                <w:rFonts w:asciiTheme="majorHAnsi" w:eastAsia="MS Mincho" w:hAnsiTheme="majorHAnsi" w:cstheme="majorHAnsi"/>
                <w:szCs w:val="22"/>
              </w:rPr>
              <w:t xml:space="preserve">is in first few years of operation </w:t>
            </w:r>
          </w:p>
        </w:tc>
      </w:tr>
      <w:tr w:rsidR="0001760A" w:rsidRPr="000D6A5D" w14:paraId="23F8D18A" w14:textId="77777777" w:rsidTr="000D6A5D">
        <w:trPr>
          <w:cantSplit/>
        </w:trPr>
        <w:tc>
          <w:tcPr>
            <w:tcW w:w="4387" w:type="dxa"/>
          </w:tcPr>
          <w:p w14:paraId="07529540" w14:textId="77777777" w:rsidR="0001760A" w:rsidRPr="000D6A5D" w:rsidRDefault="0001760A" w:rsidP="00AB6C96">
            <w:pPr>
              <w:rPr>
                <w:rFonts w:asciiTheme="majorHAnsi" w:eastAsia="MS Mincho" w:hAnsiTheme="majorHAnsi" w:cstheme="majorHAnsi"/>
                <w:szCs w:val="22"/>
              </w:rPr>
            </w:pPr>
            <w:r w:rsidRPr="000D6A5D">
              <w:rPr>
                <w:rFonts w:asciiTheme="majorHAnsi" w:eastAsia="MS Mincho" w:hAnsiTheme="majorHAnsi" w:cstheme="majorHAnsi"/>
                <w:szCs w:val="22"/>
              </w:rPr>
              <w:t>Use E</w:t>
            </w:r>
            <w:r w:rsidRPr="000D6A5D">
              <w:rPr>
                <w:rFonts w:asciiTheme="majorHAnsi" w:eastAsia="Times New Roman" w:hAnsiTheme="majorHAnsi" w:cstheme="majorHAnsi"/>
                <w:color w:val="000000"/>
                <w:szCs w:val="22"/>
              </w:rPr>
              <w:t>nergy Star Lumen Equivalence Method with adjustment for EISA standards to estimate delta watts</w:t>
            </w:r>
            <w:r w:rsidRPr="000D6A5D">
              <w:rPr>
                <w:rFonts w:asciiTheme="majorHAnsi" w:eastAsia="MS Mincho" w:hAnsiTheme="majorHAnsi" w:cstheme="majorHAnsi"/>
                <w:szCs w:val="22"/>
              </w:rPr>
              <w:t>.</w:t>
            </w:r>
            <w:r w:rsidRPr="000D6A5D">
              <w:rPr>
                <w:rFonts w:asciiTheme="majorHAnsi" w:eastAsia="MS Mincho" w:hAnsiTheme="majorHAnsi" w:cstheme="majorHAnsi"/>
                <w:szCs w:val="22"/>
                <w:vertAlign w:val="superscript"/>
              </w:rPr>
              <w:footnoteReference w:id="72"/>
            </w:r>
          </w:p>
        </w:tc>
        <w:tc>
          <w:tcPr>
            <w:tcW w:w="4968" w:type="dxa"/>
          </w:tcPr>
          <w:p w14:paraId="06346AFB" w14:textId="77777777" w:rsidR="0001760A" w:rsidRPr="000D6A5D" w:rsidRDefault="0001760A" w:rsidP="00AB6C96">
            <w:pPr>
              <w:rPr>
                <w:rFonts w:asciiTheme="majorHAnsi" w:eastAsia="MS Mincho" w:hAnsiTheme="majorHAnsi" w:cstheme="majorHAnsi"/>
                <w:szCs w:val="22"/>
              </w:rPr>
            </w:pPr>
            <w:r w:rsidRPr="000D6A5D">
              <w:rPr>
                <w:rFonts w:asciiTheme="majorHAnsi" w:eastAsia="MS Mincho" w:hAnsiTheme="majorHAnsi" w:cstheme="majorHAnsi"/>
                <w:szCs w:val="22"/>
              </w:rPr>
              <w:t>Upstream lighting programs where tracking systems have matured and shelf data exists to adjust baseline</w:t>
            </w:r>
            <w:r w:rsidR="00896317" w:rsidRPr="000D6A5D">
              <w:rPr>
                <w:rFonts w:asciiTheme="majorHAnsi" w:eastAsia="MS Mincho" w:hAnsiTheme="majorHAnsi" w:cstheme="majorHAnsi"/>
                <w:szCs w:val="22"/>
              </w:rPr>
              <w:t xml:space="preserve"> </w:t>
            </w:r>
            <w:r w:rsidRPr="000D6A5D">
              <w:rPr>
                <w:rFonts w:asciiTheme="majorHAnsi" w:eastAsia="MS Mincho" w:hAnsiTheme="majorHAnsi" w:cstheme="majorHAnsi"/>
                <w:szCs w:val="22"/>
              </w:rPr>
              <w:t>usage to account for EISA standard impact and possible sell through of existing product</w:t>
            </w:r>
          </w:p>
        </w:tc>
      </w:tr>
    </w:tbl>
    <w:p w14:paraId="1B8B5102" w14:textId="77777777" w:rsidR="008F1CC5" w:rsidRPr="000D6A5D" w:rsidRDefault="008F1CC5" w:rsidP="00AB6C96">
      <w:pPr>
        <w:rPr>
          <w:rFonts w:asciiTheme="majorHAnsi" w:eastAsia="MS Mincho" w:hAnsiTheme="majorHAnsi" w:cstheme="majorHAnsi"/>
          <w:b/>
          <w:szCs w:val="22"/>
        </w:rPr>
      </w:pPr>
    </w:p>
    <w:p w14:paraId="4AAF8434" w14:textId="77777777" w:rsidR="008F1CC5" w:rsidRPr="000D6A5D" w:rsidRDefault="008F1CC5" w:rsidP="00AB6C96">
      <w:pPr>
        <w:spacing w:after="120"/>
        <w:ind w:left="360"/>
        <w:rPr>
          <w:rFonts w:asciiTheme="majorHAnsi" w:eastAsia="MS Mincho" w:hAnsiTheme="majorHAnsi" w:cstheme="majorHAnsi"/>
          <w:szCs w:val="22"/>
          <w:u w:val="single"/>
        </w:rPr>
      </w:pPr>
      <w:r w:rsidRPr="000D6A5D">
        <w:rPr>
          <w:rFonts w:asciiTheme="majorHAnsi" w:eastAsia="MS Mincho" w:hAnsiTheme="majorHAnsi" w:cstheme="majorHAnsi"/>
          <w:b/>
          <w:szCs w:val="22"/>
        </w:rPr>
        <w:t>C.</w:t>
      </w:r>
      <w:r w:rsidR="00896317" w:rsidRPr="000D6A5D">
        <w:rPr>
          <w:rFonts w:asciiTheme="majorHAnsi" w:eastAsia="MS Mincho" w:hAnsiTheme="majorHAnsi" w:cstheme="majorHAnsi"/>
          <w:b/>
          <w:szCs w:val="22"/>
        </w:rPr>
        <w:t xml:space="preserve"> </w:t>
      </w:r>
      <w:r w:rsidRPr="000D6A5D">
        <w:rPr>
          <w:rFonts w:asciiTheme="majorHAnsi" w:eastAsia="MS Mincho" w:hAnsiTheme="majorHAnsi" w:cstheme="majorHAnsi"/>
          <w:b/>
          <w:szCs w:val="22"/>
        </w:rPr>
        <w:t>Estimating Interactive effects from efficient lighting on HVAC system usage</w:t>
      </w:r>
    </w:p>
    <w:tbl>
      <w:tblPr>
        <w:tblStyle w:val="TableGrid"/>
        <w:tblW w:w="9355" w:type="dxa"/>
        <w:tblCellMar>
          <w:top w:w="58" w:type="dxa"/>
          <w:left w:w="58" w:type="dxa"/>
          <w:bottom w:w="58" w:type="dxa"/>
          <w:right w:w="58" w:type="dxa"/>
        </w:tblCellMar>
        <w:tblLook w:val="04A0" w:firstRow="1" w:lastRow="0" w:firstColumn="1" w:lastColumn="0" w:noHBand="0" w:noVBand="1"/>
      </w:tblPr>
      <w:tblGrid>
        <w:gridCol w:w="4945"/>
        <w:gridCol w:w="4410"/>
      </w:tblGrid>
      <w:tr w:rsidR="0001760A" w:rsidRPr="000D6A5D" w14:paraId="3F4B2BDE" w14:textId="77777777" w:rsidTr="000D6A5D">
        <w:trPr>
          <w:cantSplit/>
          <w:tblHeader/>
        </w:trPr>
        <w:tc>
          <w:tcPr>
            <w:tcW w:w="4945" w:type="dxa"/>
            <w:shd w:val="clear" w:color="auto" w:fill="D1E1FF"/>
          </w:tcPr>
          <w:p w14:paraId="4A6FADDC" w14:textId="77777777" w:rsidR="0001760A" w:rsidRPr="000D6A5D" w:rsidRDefault="00AB69BE" w:rsidP="00AB6C96">
            <w:pPr>
              <w:rPr>
                <w:rFonts w:asciiTheme="majorHAnsi" w:eastAsia="MS Mincho" w:hAnsiTheme="majorHAnsi" w:cstheme="majorHAnsi"/>
                <w:b/>
                <w:szCs w:val="22"/>
              </w:rPr>
            </w:pPr>
            <w:r>
              <w:rPr>
                <w:rFonts w:asciiTheme="majorHAnsi" w:eastAsia="MS Mincho" w:hAnsiTheme="majorHAnsi" w:cstheme="majorHAnsi"/>
                <w:b/>
                <w:szCs w:val="22"/>
              </w:rPr>
              <w:lastRenderedPageBreak/>
              <w:t>M&amp;V</w:t>
            </w:r>
            <w:r w:rsidRPr="000D6A5D">
              <w:rPr>
                <w:rFonts w:asciiTheme="majorHAnsi" w:eastAsia="MS Mincho" w:hAnsiTheme="majorHAnsi" w:cstheme="majorHAnsi"/>
                <w:b/>
                <w:szCs w:val="22"/>
              </w:rPr>
              <w:t xml:space="preserve"> </w:t>
            </w:r>
            <w:r>
              <w:rPr>
                <w:rFonts w:asciiTheme="majorHAnsi" w:eastAsia="MS Mincho" w:hAnsiTheme="majorHAnsi" w:cstheme="majorHAnsi"/>
                <w:b/>
                <w:szCs w:val="22"/>
              </w:rPr>
              <w:t>Approach</w:t>
            </w:r>
          </w:p>
        </w:tc>
        <w:tc>
          <w:tcPr>
            <w:tcW w:w="4410" w:type="dxa"/>
            <w:shd w:val="clear" w:color="auto" w:fill="D1E1FF"/>
          </w:tcPr>
          <w:p w14:paraId="396DAB23" w14:textId="77777777" w:rsidR="0001760A" w:rsidRPr="000D6A5D" w:rsidRDefault="0001760A" w:rsidP="00AB6C96">
            <w:pPr>
              <w:rPr>
                <w:rFonts w:asciiTheme="majorHAnsi" w:eastAsia="MS Mincho" w:hAnsiTheme="majorHAnsi" w:cstheme="majorHAnsi"/>
                <w:b/>
                <w:szCs w:val="22"/>
              </w:rPr>
            </w:pPr>
            <w:r w:rsidRPr="000D6A5D">
              <w:rPr>
                <w:rFonts w:asciiTheme="majorHAnsi" w:eastAsia="MS Mincho" w:hAnsiTheme="majorHAnsi" w:cstheme="majorHAnsi"/>
                <w:b/>
                <w:szCs w:val="22"/>
              </w:rPr>
              <w:t>Typical Application</w:t>
            </w:r>
          </w:p>
        </w:tc>
      </w:tr>
      <w:tr w:rsidR="0001760A" w:rsidRPr="000D6A5D" w14:paraId="459561BE" w14:textId="77777777" w:rsidTr="000D6A5D">
        <w:trPr>
          <w:cantSplit/>
        </w:trPr>
        <w:tc>
          <w:tcPr>
            <w:tcW w:w="4945" w:type="dxa"/>
          </w:tcPr>
          <w:p w14:paraId="41DEA86F" w14:textId="77777777" w:rsidR="0001760A" w:rsidRPr="000D6A5D" w:rsidRDefault="0001760A" w:rsidP="00AB6C96">
            <w:pPr>
              <w:rPr>
                <w:rFonts w:asciiTheme="majorHAnsi" w:eastAsia="MS Mincho" w:hAnsiTheme="majorHAnsi" w:cstheme="majorHAnsi"/>
                <w:szCs w:val="22"/>
              </w:rPr>
            </w:pPr>
            <w:r w:rsidRPr="000D6A5D">
              <w:rPr>
                <w:rFonts w:asciiTheme="majorHAnsi" w:eastAsia="MS Mincho" w:hAnsiTheme="majorHAnsi" w:cstheme="majorHAnsi"/>
                <w:szCs w:val="22"/>
              </w:rPr>
              <w:t xml:space="preserve">Estimate indirect savings impacts using Waste Heat factors taken from previous evaluation studies or TRMs from adjacent </w:t>
            </w:r>
            <w:r w:rsidR="00EC6835" w:rsidRPr="000D6A5D">
              <w:rPr>
                <w:rFonts w:asciiTheme="majorHAnsi" w:eastAsia="MS Mincho" w:hAnsiTheme="majorHAnsi" w:cstheme="majorHAnsi"/>
                <w:szCs w:val="22"/>
              </w:rPr>
              <w:t>state</w:t>
            </w:r>
            <w:r w:rsidRPr="000D6A5D">
              <w:rPr>
                <w:rFonts w:asciiTheme="majorHAnsi" w:eastAsia="MS Mincho" w:hAnsiTheme="majorHAnsi" w:cstheme="majorHAnsi"/>
                <w:szCs w:val="22"/>
              </w:rPr>
              <w:t>s or regions.</w:t>
            </w:r>
          </w:p>
        </w:tc>
        <w:tc>
          <w:tcPr>
            <w:tcW w:w="4410" w:type="dxa"/>
          </w:tcPr>
          <w:p w14:paraId="15F07A6D" w14:textId="77777777" w:rsidR="0001760A" w:rsidRPr="000D6A5D" w:rsidRDefault="0001760A" w:rsidP="00AB6C96">
            <w:pPr>
              <w:rPr>
                <w:rFonts w:asciiTheme="majorHAnsi" w:eastAsia="MS Mincho" w:hAnsiTheme="majorHAnsi" w:cstheme="majorHAnsi"/>
                <w:szCs w:val="22"/>
              </w:rPr>
            </w:pPr>
            <w:r w:rsidRPr="000D6A5D">
              <w:rPr>
                <w:rFonts w:asciiTheme="majorHAnsi" w:eastAsia="MS Mincho" w:hAnsiTheme="majorHAnsi" w:cstheme="majorHAnsi"/>
                <w:szCs w:val="22"/>
              </w:rPr>
              <w:t>Lighting Programs or Direct Project installations where efficiency of existing HVAC systems is not known</w:t>
            </w:r>
          </w:p>
        </w:tc>
      </w:tr>
      <w:tr w:rsidR="0001760A" w:rsidRPr="000D6A5D" w14:paraId="7B6FBD04" w14:textId="77777777" w:rsidTr="000D6A5D">
        <w:trPr>
          <w:cantSplit/>
        </w:trPr>
        <w:tc>
          <w:tcPr>
            <w:tcW w:w="4945" w:type="dxa"/>
          </w:tcPr>
          <w:p w14:paraId="0ED38E11" w14:textId="77777777" w:rsidR="0001760A" w:rsidRPr="000D6A5D" w:rsidRDefault="0001760A" w:rsidP="00AB6C96">
            <w:pPr>
              <w:rPr>
                <w:rFonts w:asciiTheme="majorHAnsi" w:eastAsia="MS Mincho" w:hAnsiTheme="majorHAnsi" w:cstheme="majorHAnsi"/>
                <w:szCs w:val="22"/>
              </w:rPr>
            </w:pPr>
            <w:r w:rsidRPr="000D6A5D">
              <w:rPr>
                <w:rFonts w:asciiTheme="majorHAnsi" w:eastAsia="MS Mincho" w:hAnsiTheme="majorHAnsi" w:cstheme="majorHAnsi"/>
                <w:szCs w:val="22"/>
              </w:rPr>
              <w:t xml:space="preserve">Use simulation modeling </w:t>
            </w:r>
          </w:p>
        </w:tc>
        <w:tc>
          <w:tcPr>
            <w:tcW w:w="4410" w:type="dxa"/>
          </w:tcPr>
          <w:p w14:paraId="64FDE60F" w14:textId="77777777" w:rsidR="0001760A" w:rsidRPr="000D6A5D" w:rsidRDefault="0001760A" w:rsidP="00AB6C96">
            <w:pPr>
              <w:rPr>
                <w:rFonts w:asciiTheme="majorHAnsi" w:eastAsia="MS Mincho" w:hAnsiTheme="majorHAnsi" w:cstheme="majorHAnsi"/>
                <w:szCs w:val="22"/>
              </w:rPr>
            </w:pPr>
            <w:r w:rsidRPr="000D6A5D">
              <w:rPr>
                <w:rFonts w:asciiTheme="majorHAnsi" w:eastAsia="MS Mincho" w:hAnsiTheme="majorHAnsi" w:cstheme="majorHAnsi"/>
                <w:szCs w:val="22"/>
              </w:rPr>
              <w:t>Lighting Programs have been in effect for many years and the evaluation budget is sufficient to gather data on the system efficiency of HVAC systems where lamps have been installed</w:t>
            </w:r>
          </w:p>
        </w:tc>
      </w:tr>
    </w:tbl>
    <w:p w14:paraId="08B32E0E" w14:textId="77777777" w:rsidR="008F1CC5" w:rsidRPr="000D6A5D" w:rsidRDefault="008F1CC5" w:rsidP="00AB6C96">
      <w:pPr>
        <w:rPr>
          <w:rFonts w:asciiTheme="majorHAnsi" w:hAnsiTheme="majorHAnsi" w:cstheme="majorHAnsi"/>
          <w:szCs w:val="22"/>
        </w:rPr>
      </w:pPr>
    </w:p>
    <w:p w14:paraId="5CFA7C44" w14:textId="77777777" w:rsidR="008F1CC5" w:rsidRPr="000D6A5D" w:rsidRDefault="008F1CC5" w:rsidP="00AB6C96">
      <w:pPr>
        <w:rPr>
          <w:rFonts w:asciiTheme="majorHAnsi" w:eastAsia="MS Mincho" w:hAnsiTheme="majorHAnsi" w:cstheme="majorHAnsi"/>
          <w:szCs w:val="22"/>
        </w:rPr>
      </w:pPr>
      <w:r w:rsidRPr="000D6A5D">
        <w:rPr>
          <w:rFonts w:asciiTheme="majorHAnsi" w:eastAsia="MS Mincho" w:hAnsiTheme="majorHAnsi" w:cstheme="majorHAnsi"/>
          <w:b/>
          <w:szCs w:val="22"/>
        </w:rPr>
        <w:t>D</w:t>
      </w:r>
      <w:r w:rsidRPr="000D6A5D">
        <w:rPr>
          <w:rFonts w:asciiTheme="majorHAnsi" w:eastAsia="MS Mincho" w:hAnsiTheme="majorHAnsi" w:cstheme="majorHAnsi"/>
          <w:szCs w:val="22"/>
        </w:rPr>
        <w:t>.</w:t>
      </w:r>
      <w:r w:rsidR="00896317" w:rsidRPr="000D6A5D">
        <w:rPr>
          <w:rFonts w:asciiTheme="majorHAnsi" w:eastAsia="MS Mincho" w:hAnsiTheme="majorHAnsi" w:cstheme="majorHAnsi"/>
          <w:szCs w:val="22"/>
        </w:rPr>
        <w:t xml:space="preserve"> </w:t>
      </w:r>
      <w:r w:rsidR="00CA0243" w:rsidRPr="000D6A5D">
        <w:rPr>
          <w:rFonts w:asciiTheme="majorHAnsi" w:eastAsia="MS Mincho" w:hAnsiTheme="majorHAnsi" w:cstheme="majorHAnsi"/>
          <w:b/>
          <w:szCs w:val="22"/>
        </w:rPr>
        <w:t>Other i</w:t>
      </w:r>
      <w:r w:rsidRPr="000D6A5D">
        <w:rPr>
          <w:rFonts w:asciiTheme="majorHAnsi" w:eastAsia="MS Mincho" w:hAnsiTheme="majorHAnsi" w:cstheme="majorHAnsi"/>
          <w:b/>
          <w:szCs w:val="22"/>
        </w:rPr>
        <w:t xml:space="preserve">mportant </w:t>
      </w:r>
      <w:r w:rsidR="00CA0243" w:rsidRPr="000D6A5D">
        <w:rPr>
          <w:rFonts w:asciiTheme="majorHAnsi" w:eastAsia="MS Mincho" w:hAnsiTheme="majorHAnsi" w:cstheme="majorHAnsi"/>
          <w:b/>
          <w:szCs w:val="22"/>
        </w:rPr>
        <w:t>e</w:t>
      </w:r>
      <w:r w:rsidRPr="000D6A5D">
        <w:rPr>
          <w:rFonts w:asciiTheme="majorHAnsi" w:eastAsia="MS Mincho" w:hAnsiTheme="majorHAnsi" w:cstheme="majorHAnsi"/>
          <w:b/>
          <w:szCs w:val="22"/>
        </w:rPr>
        <w:t>valuation issues</w:t>
      </w:r>
    </w:p>
    <w:p w14:paraId="107E2ADA" w14:textId="77777777" w:rsidR="008F1CC5" w:rsidRPr="000D6A5D" w:rsidRDefault="0001760A" w:rsidP="00AB6C96">
      <w:pPr>
        <w:pStyle w:val="BodyText"/>
        <w:widowControl/>
        <w:rPr>
          <w:rFonts w:asciiTheme="majorHAnsi" w:eastAsia="MS Mincho" w:hAnsiTheme="majorHAnsi" w:cstheme="majorHAnsi"/>
          <w:szCs w:val="22"/>
        </w:rPr>
      </w:pPr>
      <w:r w:rsidRPr="000D6A5D">
        <w:rPr>
          <w:rFonts w:asciiTheme="majorHAnsi" w:eastAsia="MS Mincho" w:hAnsiTheme="majorHAnsi" w:cstheme="majorHAnsi"/>
          <w:szCs w:val="22"/>
        </w:rPr>
        <w:t>Finally, it is important to note that as lighting efficiency programs mature and the saturation of CFLs and LED increase, there will be a higher possibility that efficient lighting products will be used to replace in situ or existing efficient lighting products previously purchased. This possibility can be assessed using survey of homeowner purchase patterns or limited on site visits to a sample of participants.</w:t>
      </w:r>
    </w:p>
    <w:p w14:paraId="533EA11F" w14:textId="77777777" w:rsidR="008F1CC5" w:rsidRPr="000D6A5D" w:rsidRDefault="00CA0243" w:rsidP="00AB6C96">
      <w:pPr>
        <w:pStyle w:val="Heading8"/>
        <w:rPr>
          <w:rFonts w:asciiTheme="majorHAnsi" w:hAnsiTheme="majorHAnsi" w:cstheme="majorHAnsi"/>
        </w:rPr>
      </w:pPr>
      <w:r w:rsidRPr="000D6A5D">
        <w:rPr>
          <w:rFonts w:asciiTheme="majorHAnsi" w:hAnsiTheme="majorHAnsi" w:cstheme="majorHAnsi"/>
        </w:rPr>
        <w:t>Relevant p</w:t>
      </w:r>
      <w:r w:rsidR="008F1CC5" w:rsidRPr="000D6A5D">
        <w:rPr>
          <w:rFonts w:asciiTheme="majorHAnsi" w:hAnsiTheme="majorHAnsi" w:cstheme="majorHAnsi"/>
        </w:rPr>
        <w:t xml:space="preserve">rotocols or </w:t>
      </w:r>
      <w:r w:rsidRPr="000D6A5D">
        <w:rPr>
          <w:rFonts w:asciiTheme="majorHAnsi" w:hAnsiTheme="majorHAnsi" w:cstheme="majorHAnsi"/>
        </w:rPr>
        <w:t>e</w:t>
      </w:r>
      <w:r w:rsidR="008F1CC5" w:rsidRPr="000D6A5D">
        <w:rPr>
          <w:rFonts w:asciiTheme="majorHAnsi" w:hAnsiTheme="majorHAnsi" w:cstheme="majorHAnsi"/>
        </w:rPr>
        <w:t>valuation studies for more information</w:t>
      </w:r>
    </w:p>
    <w:p w14:paraId="24B7F762" w14:textId="77777777" w:rsidR="0001760A" w:rsidRPr="000D6A5D" w:rsidRDefault="0001760A" w:rsidP="00703A52">
      <w:pPr>
        <w:pStyle w:val="ListParagraph"/>
        <w:numPr>
          <w:ilvl w:val="0"/>
          <w:numId w:val="223"/>
        </w:numPr>
        <w:rPr>
          <w:rFonts w:asciiTheme="majorHAnsi" w:eastAsia="MS Mincho" w:hAnsiTheme="majorHAnsi" w:cstheme="majorHAnsi"/>
          <w:szCs w:val="22"/>
          <w:u w:val="single"/>
        </w:rPr>
      </w:pPr>
      <w:bookmarkStart w:id="735" w:name="_Toc292140837"/>
      <w:r w:rsidRPr="000D6A5D">
        <w:rPr>
          <w:rFonts w:asciiTheme="majorHAnsi" w:hAnsiTheme="majorHAnsi" w:cstheme="majorHAnsi"/>
          <w:szCs w:val="22"/>
        </w:rPr>
        <w:t>Uniform</w:t>
      </w:r>
      <w:r w:rsidRPr="000D6A5D">
        <w:rPr>
          <w:rFonts w:asciiTheme="majorHAnsi" w:eastAsia="MS Mincho" w:hAnsiTheme="majorHAnsi" w:cstheme="majorHAnsi"/>
          <w:szCs w:val="22"/>
        </w:rPr>
        <w:t xml:space="preserve"> </w:t>
      </w:r>
      <w:r w:rsidRPr="000D6A5D">
        <w:rPr>
          <w:rFonts w:asciiTheme="majorHAnsi" w:hAnsiTheme="majorHAnsi" w:cstheme="majorHAnsi"/>
          <w:szCs w:val="22"/>
        </w:rPr>
        <w:t>Methods</w:t>
      </w:r>
      <w:r w:rsidRPr="000D6A5D">
        <w:rPr>
          <w:rFonts w:asciiTheme="majorHAnsi" w:eastAsia="MS Mincho" w:hAnsiTheme="majorHAnsi" w:cstheme="majorHAnsi"/>
          <w:szCs w:val="22"/>
        </w:rPr>
        <w:t xml:space="preserve"> </w:t>
      </w:r>
      <w:r w:rsidRPr="000D6A5D">
        <w:rPr>
          <w:rFonts w:asciiTheme="majorHAnsi" w:hAnsiTheme="majorHAnsi" w:cstheme="majorHAnsi"/>
          <w:szCs w:val="22"/>
        </w:rPr>
        <w:t>Project; Chapter 21</w:t>
      </w:r>
      <w:r w:rsidRPr="000D6A5D">
        <w:rPr>
          <w:rFonts w:asciiTheme="majorHAnsi" w:eastAsia="MS Mincho" w:hAnsiTheme="majorHAnsi" w:cstheme="majorHAnsi"/>
          <w:szCs w:val="22"/>
        </w:rPr>
        <w:t xml:space="preserve">: Residential Lighting Protocol (December 2014) </w:t>
      </w:r>
      <w:hyperlink r:id="rId36" w:history="1">
        <w:r w:rsidR="00922093" w:rsidRPr="000D6A5D">
          <w:rPr>
            <w:rStyle w:val="Hyperlink"/>
            <w:rFonts w:asciiTheme="majorHAnsi" w:eastAsia="MS Mincho" w:hAnsiTheme="majorHAnsi" w:cstheme="majorHAnsi"/>
            <w:szCs w:val="22"/>
          </w:rPr>
          <w:t>http://www.energy.gov/sites/prod/files/2015/02/f19/UMPChapter21-residential-lighting-evaluation-protocol.pdf</w:t>
        </w:r>
      </w:hyperlink>
      <w:r w:rsidR="00896317" w:rsidRPr="000D6A5D">
        <w:rPr>
          <w:rFonts w:asciiTheme="majorHAnsi" w:eastAsia="MS Mincho" w:hAnsiTheme="majorHAnsi" w:cstheme="majorHAnsi"/>
          <w:szCs w:val="22"/>
          <w:u w:val="single"/>
        </w:rPr>
        <w:t xml:space="preserve"> </w:t>
      </w:r>
    </w:p>
    <w:p w14:paraId="409A2B44" w14:textId="77777777" w:rsidR="0001760A" w:rsidRPr="000D6A5D" w:rsidRDefault="0001760A" w:rsidP="00703A52">
      <w:pPr>
        <w:pStyle w:val="ListParagraph"/>
        <w:numPr>
          <w:ilvl w:val="0"/>
          <w:numId w:val="223"/>
        </w:numPr>
        <w:rPr>
          <w:rFonts w:asciiTheme="majorHAnsi" w:eastAsia="MS Mincho" w:hAnsiTheme="majorHAnsi" w:cstheme="majorHAnsi"/>
          <w:szCs w:val="22"/>
          <w:u w:val="single"/>
        </w:rPr>
      </w:pPr>
      <w:r w:rsidRPr="000D6A5D">
        <w:rPr>
          <w:rFonts w:asciiTheme="majorHAnsi" w:hAnsiTheme="majorHAnsi" w:cstheme="majorHAnsi"/>
          <w:szCs w:val="22"/>
        </w:rPr>
        <w:t xml:space="preserve">KEMA, Inc.; </w:t>
      </w:r>
      <w:r w:rsidRPr="00703A52">
        <w:rPr>
          <w:rFonts w:asciiTheme="majorHAnsi" w:eastAsia="MS Mincho" w:hAnsiTheme="majorHAnsi" w:cstheme="majorHAnsi"/>
          <w:szCs w:val="22"/>
        </w:rPr>
        <w:t>Cadmus</w:t>
      </w:r>
      <w:r w:rsidRPr="000D6A5D">
        <w:rPr>
          <w:rFonts w:asciiTheme="majorHAnsi" w:hAnsiTheme="majorHAnsi" w:cstheme="majorHAnsi"/>
          <w:szCs w:val="22"/>
        </w:rPr>
        <w:t xml:space="preserve"> Group, Inc. (February 8, 2010). Final Evaluation Report: Upstream Lighting Program. Prepared for California Public Utilities Commission, Energy Division.</w:t>
      </w:r>
      <w:r w:rsidRPr="000D6A5D">
        <w:rPr>
          <w:rFonts w:asciiTheme="majorHAnsi" w:eastAsia="MS Mincho" w:hAnsiTheme="majorHAnsi" w:cstheme="majorHAnsi"/>
          <w:szCs w:val="22"/>
          <w:u w:val="single"/>
        </w:rPr>
        <w:t xml:space="preserve"> </w:t>
      </w:r>
      <w:hyperlink r:id="rId37" w:history="1">
        <w:r w:rsidRPr="000D6A5D">
          <w:rPr>
            <w:rStyle w:val="Hyperlink"/>
            <w:rFonts w:asciiTheme="majorHAnsi" w:eastAsia="MS Mincho" w:hAnsiTheme="majorHAnsi" w:cstheme="majorHAnsi"/>
            <w:szCs w:val="22"/>
          </w:rPr>
          <w:t>http://www.calmac.org/publications/FinalUpstreamLightingEvaluationReport_Vol2_C ALMAC.pdf</w:t>
        </w:r>
      </w:hyperlink>
      <w:r w:rsidRPr="000D6A5D">
        <w:rPr>
          <w:rFonts w:asciiTheme="majorHAnsi" w:eastAsia="MS Mincho" w:hAnsiTheme="majorHAnsi" w:cstheme="majorHAnsi"/>
          <w:szCs w:val="22"/>
          <w:u w:val="single"/>
        </w:rPr>
        <w:t>.</w:t>
      </w:r>
    </w:p>
    <w:p w14:paraId="757AA02C" w14:textId="77777777" w:rsidR="0001760A" w:rsidRPr="000D6A5D" w:rsidRDefault="0001760A" w:rsidP="00703A52">
      <w:pPr>
        <w:pStyle w:val="ListParagraph"/>
        <w:numPr>
          <w:ilvl w:val="0"/>
          <w:numId w:val="223"/>
        </w:numPr>
        <w:rPr>
          <w:rFonts w:asciiTheme="majorHAnsi" w:eastAsia="MS Mincho" w:hAnsiTheme="majorHAnsi" w:cstheme="majorHAnsi"/>
          <w:szCs w:val="22"/>
          <w:u w:val="single"/>
        </w:rPr>
      </w:pPr>
      <w:r w:rsidRPr="000D6A5D">
        <w:rPr>
          <w:rFonts w:asciiTheme="majorHAnsi" w:eastAsia="MS Mincho" w:hAnsiTheme="majorHAnsi" w:cstheme="majorHAnsi"/>
          <w:szCs w:val="22"/>
        </w:rPr>
        <w:t>Navigant</w:t>
      </w:r>
      <w:r w:rsidRPr="000D6A5D">
        <w:rPr>
          <w:rFonts w:asciiTheme="majorHAnsi" w:hAnsiTheme="majorHAnsi" w:cstheme="majorHAnsi"/>
          <w:szCs w:val="22"/>
        </w:rPr>
        <w:t xml:space="preserve"> </w:t>
      </w:r>
      <w:r w:rsidRPr="00703A52">
        <w:rPr>
          <w:rFonts w:asciiTheme="majorHAnsi" w:eastAsia="MS Mincho" w:hAnsiTheme="majorHAnsi" w:cstheme="majorHAnsi"/>
          <w:szCs w:val="22"/>
        </w:rPr>
        <w:t>Consulting</w:t>
      </w:r>
      <w:r w:rsidRPr="000D6A5D">
        <w:rPr>
          <w:rFonts w:asciiTheme="majorHAnsi" w:hAnsiTheme="majorHAnsi" w:cstheme="majorHAnsi"/>
          <w:szCs w:val="22"/>
        </w:rPr>
        <w:t xml:space="preserve">; </w:t>
      </w:r>
      <w:proofErr w:type="spellStart"/>
      <w:r w:rsidRPr="000D6A5D">
        <w:rPr>
          <w:rFonts w:asciiTheme="majorHAnsi" w:hAnsiTheme="majorHAnsi" w:cstheme="majorHAnsi"/>
          <w:szCs w:val="22"/>
        </w:rPr>
        <w:t>Itron</w:t>
      </w:r>
      <w:proofErr w:type="spellEnd"/>
      <w:r w:rsidRPr="000D6A5D">
        <w:rPr>
          <w:rFonts w:asciiTheme="majorHAnsi" w:hAnsiTheme="majorHAnsi" w:cstheme="majorHAnsi"/>
          <w:szCs w:val="22"/>
        </w:rPr>
        <w:t xml:space="preserve">; Opinion Dynamics; Michaels Energy (October 23, 2013). Residential Energy Star Lighting PY5 Evaluation Report. Presented to Commonwealth Edison Company. </w:t>
      </w:r>
      <w:hyperlink r:id="rId38" w:history="1">
        <w:r w:rsidRPr="000D6A5D">
          <w:rPr>
            <w:rStyle w:val="Hyperlink"/>
            <w:rFonts w:asciiTheme="majorHAnsi" w:hAnsiTheme="majorHAnsi" w:cstheme="majorHAnsi"/>
            <w:szCs w:val="22"/>
          </w:rPr>
          <w:t>http://www.ilsag.info/comed_eval_reports.html</w:t>
        </w:r>
      </w:hyperlink>
      <w:r w:rsidRPr="000D6A5D">
        <w:rPr>
          <w:rFonts w:asciiTheme="majorHAnsi" w:hAnsiTheme="majorHAnsi" w:cstheme="majorHAnsi"/>
          <w:szCs w:val="22"/>
        </w:rPr>
        <w:t xml:space="preserve">. </w:t>
      </w:r>
    </w:p>
    <w:p w14:paraId="7C5FBB55" w14:textId="77777777" w:rsidR="0001760A" w:rsidRPr="00703A52" w:rsidRDefault="0001760A" w:rsidP="00703A52">
      <w:pPr>
        <w:pStyle w:val="ListParagraph"/>
        <w:numPr>
          <w:ilvl w:val="0"/>
          <w:numId w:val="223"/>
        </w:numPr>
        <w:rPr>
          <w:rStyle w:val="Hyperlink"/>
          <w:rFonts w:asciiTheme="majorHAnsi" w:eastAsia="MS Mincho" w:hAnsiTheme="majorHAnsi" w:cstheme="majorHAnsi"/>
          <w:color w:val="auto"/>
          <w:szCs w:val="22"/>
          <w:u w:val="none"/>
        </w:rPr>
      </w:pPr>
      <w:r w:rsidRPr="000D6A5D">
        <w:rPr>
          <w:rFonts w:asciiTheme="majorHAnsi" w:eastAsia="MS Mincho" w:hAnsiTheme="majorHAnsi" w:cstheme="majorHAnsi"/>
          <w:szCs w:val="22"/>
        </w:rPr>
        <w:t xml:space="preserve">Nexus Market Research, Inc.; RLW Analytics, Inc. GDS Associates (January 20, 2009). Residential Lighting Markdown Impact Evaluation. Prepared for Markdown and </w:t>
      </w:r>
      <w:proofErr w:type="spellStart"/>
      <w:r w:rsidRPr="000D6A5D">
        <w:rPr>
          <w:rFonts w:asciiTheme="majorHAnsi" w:eastAsia="MS Mincho" w:hAnsiTheme="majorHAnsi" w:cstheme="majorHAnsi"/>
          <w:szCs w:val="22"/>
        </w:rPr>
        <w:t>Buydown</w:t>
      </w:r>
      <w:proofErr w:type="spellEnd"/>
      <w:r w:rsidRPr="000D6A5D">
        <w:rPr>
          <w:rFonts w:asciiTheme="majorHAnsi" w:eastAsia="MS Mincho" w:hAnsiTheme="majorHAnsi" w:cstheme="majorHAnsi"/>
          <w:szCs w:val="22"/>
        </w:rPr>
        <w:t xml:space="preserve"> Program Sponsors in Connecticut, Massachusetts, Rhode Island, and Vermont. </w:t>
      </w:r>
      <w:hyperlink r:id="rId39" w:history="1">
        <w:r w:rsidRPr="000D6A5D">
          <w:rPr>
            <w:rStyle w:val="Hyperlink"/>
            <w:rFonts w:asciiTheme="majorHAnsi" w:hAnsiTheme="majorHAnsi" w:cstheme="majorHAnsi"/>
            <w:szCs w:val="22"/>
          </w:rPr>
          <w:t>http://www.env.state.ma.us/dpu/docs/electric/09-64/12409nstrd2ae.pdf</w:t>
        </w:r>
      </w:hyperlink>
    </w:p>
    <w:p w14:paraId="7FA295C0" w14:textId="77777777" w:rsidR="004C7CA8" w:rsidRPr="00703A52" w:rsidRDefault="004C7CA8" w:rsidP="00703A52"/>
    <w:p w14:paraId="1B57D9EB" w14:textId="77777777" w:rsidR="008F1CC5" w:rsidRPr="000D6A5D" w:rsidRDefault="008F1CC5" w:rsidP="000A20EF">
      <w:pPr>
        <w:pStyle w:val="Heading7"/>
        <w:rPr>
          <w:rFonts w:cstheme="majorHAnsi"/>
        </w:rPr>
      </w:pPr>
      <w:r w:rsidRPr="000D6A5D">
        <w:rPr>
          <w:rFonts w:cstheme="majorHAnsi"/>
        </w:rPr>
        <w:t>Small Commercial and Residential Unitary and Split Cooling Systems</w:t>
      </w:r>
      <w:bookmarkEnd w:id="735"/>
    </w:p>
    <w:p w14:paraId="144FC6E5" w14:textId="77777777" w:rsidR="008F1CC5" w:rsidRPr="000D6A5D" w:rsidRDefault="008F1CC5" w:rsidP="00AB6C96">
      <w:pPr>
        <w:pStyle w:val="Heading8"/>
        <w:rPr>
          <w:rFonts w:asciiTheme="majorHAnsi" w:hAnsiTheme="majorHAnsi" w:cstheme="majorHAnsi"/>
        </w:rPr>
      </w:pPr>
      <w:r w:rsidRPr="000D6A5D">
        <w:rPr>
          <w:rFonts w:asciiTheme="majorHAnsi" w:hAnsiTheme="majorHAnsi" w:cstheme="majorHAnsi"/>
        </w:rPr>
        <w:t>Definition</w:t>
      </w:r>
    </w:p>
    <w:p w14:paraId="538DED59" w14:textId="77777777" w:rsidR="00134C51" w:rsidRPr="000D6A5D" w:rsidRDefault="00134C51" w:rsidP="00AB6C96">
      <w:pPr>
        <w:pStyle w:val="BodyText"/>
        <w:widowControl/>
        <w:rPr>
          <w:rFonts w:asciiTheme="majorHAnsi" w:eastAsia="MS Mincho" w:hAnsiTheme="majorHAnsi" w:cstheme="majorHAnsi"/>
          <w:szCs w:val="22"/>
        </w:rPr>
      </w:pPr>
      <w:r w:rsidRPr="000D6A5D">
        <w:rPr>
          <w:rFonts w:asciiTheme="majorHAnsi" w:eastAsia="MS Mincho" w:hAnsiTheme="majorHAnsi" w:cstheme="majorHAnsi"/>
          <w:szCs w:val="22"/>
        </w:rPr>
        <w:t>These projects involve installing efficient cooling systems in residential and small commercial applications. Typical projects involve packaged systems with capacities between three and 20 tons and split systems with capacities &lt;=65,000 BTU/hour (5.4 tons). This guidance is applicable to at least the following common program design approaches, for both new construction and retrofit applications of small commercial and residential unitary and split systems measures:</w:t>
      </w:r>
    </w:p>
    <w:p w14:paraId="06D744FB" w14:textId="77777777" w:rsidR="00134C51" w:rsidRPr="000D6A5D" w:rsidRDefault="00134C51" w:rsidP="00AB6C96">
      <w:pPr>
        <w:pStyle w:val="BulletLevel1"/>
        <w:rPr>
          <w:rFonts w:asciiTheme="majorHAnsi" w:hAnsiTheme="majorHAnsi" w:cstheme="majorHAnsi"/>
          <w:szCs w:val="22"/>
        </w:rPr>
      </w:pPr>
      <w:r w:rsidRPr="000D6A5D">
        <w:rPr>
          <w:rFonts w:asciiTheme="majorHAnsi" w:hAnsiTheme="majorHAnsi" w:cstheme="majorHAnsi"/>
          <w:szCs w:val="22"/>
        </w:rPr>
        <w:t>Direct installation of cooling systems, including ESCO projects</w:t>
      </w:r>
    </w:p>
    <w:p w14:paraId="0B7DF5E7" w14:textId="77777777" w:rsidR="00134C51" w:rsidRPr="000D6A5D" w:rsidRDefault="00134C51" w:rsidP="00AB6C96">
      <w:pPr>
        <w:pStyle w:val="BulletLevel1"/>
        <w:rPr>
          <w:rFonts w:asciiTheme="majorHAnsi" w:hAnsiTheme="majorHAnsi" w:cstheme="majorHAnsi"/>
          <w:szCs w:val="22"/>
        </w:rPr>
      </w:pPr>
      <w:r w:rsidRPr="000D6A5D">
        <w:rPr>
          <w:rFonts w:asciiTheme="majorHAnsi" w:hAnsiTheme="majorHAnsi" w:cstheme="majorHAnsi"/>
          <w:szCs w:val="22"/>
        </w:rPr>
        <w:t>Consumer incentives (e.g., rebates, coupons)</w:t>
      </w:r>
    </w:p>
    <w:p w14:paraId="7A4F528A" w14:textId="77777777" w:rsidR="00134C51" w:rsidRPr="000D6A5D" w:rsidRDefault="00134C51" w:rsidP="00AB6C96">
      <w:pPr>
        <w:pStyle w:val="BulletLevel1"/>
        <w:rPr>
          <w:rFonts w:asciiTheme="majorHAnsi" w:hAnsiTheme="majorHAnsi" w:cstheme="majorHAnsi"/>
          <w:szCs w:val="22"/>
        </w:rPr>
      </w:pPr>
      <w:r w:rsidRPr="000D6A5D">
        <w:rPr>
          <w:rFonts w:asciiTheme="majorHAnsi" w:hAnsiTheme="majorHAnsi" w:cstheme="majorHAnsi"/>
          <w:szCs w:val="22"/>
        </w:rPr>
        <w:t>Upstream/Mid-stream/Downstream buy downs of retail cooling system prices (e.g., point of sale rebates)</w:t>
      </w:r>
    </w:p>
    <w:p w14:paraId="501E7E1B" w14:textId="77777777" w:rsidR="008F1CC5" w:rsidRPr="000D6A5D" w:rsidRDefault="009629AA" w:rsidP="00AB6C96">
      <w:pPr>
        <w:pStyle w:val="Heading8"/>
        <w:rPr>
          <w:rFonts w:asciiTheme="majorHAnsi" w:hAnsiTheme="majorHAnsi" w:cstheme="majorHAnsi"/>
        </w:rPr>
      </w:pPr>
      <w:r w:rsidRPr="000D6A5D">
        <w:rPr>
          <w:rFonts w:asciiTheme="majorHAnsi" w:hAnsiTheme="majorHAnsi" w:cstheme="majorHAnsi"/>
        </w:rPr>
        <w:lastRenderedPageBreak/>
        <w:t xml:space="preserve">Key </w:t>
      </w:r>
      <w:r w:rsidR="00134C51" w:rsidRPr="000D6A5D">
        <w:rPr>
          <w:rFonts w:asciiTheme="majorHAnsi" w:hAnsiTheme="majorHAnsi" w:cstheme="majorHAnsi"/>
        </w:rPr>
        <w:t>Challenges in Estimating Energy Savings</w:t>
      </w:r>
    </w:p>
    <w:p w14:paraId="3CD8A2F5" w14:textId="77777777" w:rsidR="00134C51" w:rsidRPr="000D6A5D" w:rsidRDefault="00134C51" w:rsidP="00AB6C96">
      <w:pPr>
        <w:pStyle w:val="BodyText"/>
        <w:widowControl/>
        <w:rPr>
          <w:rFonts w:asciiTheme="majorHAnsi" w:eastAsia="MS Mincho" w:hAnsiTheme="majorHAnsi" w:cstheme="majorHAnsi"/>
          <w:szCs w:val="22"/>
        </w:rPr>
      </w:pPr>
      <w:r w:rsidRPr="000D6A5D">
        <w:rPr>
          <w:rFonts w:asciiTheme="majorHAnsi" w:eastAsia="MS Mincho" w:hAnsiTheme="majorHAnsi" w:cstheme="majorHAnsi"/>
          <w:szCs w:val="22"/>
        </w:rPr>
        <w:t>The two most difficult or primary measurement challenges for this technology are</w:t>
      </w:r>
      <w:r w:rsidR="007B541A" w:rsidRPr="000D6A5D">
        <w:rPr>
          <w:rFonts w:asciiTheme="majorHAnsi" w:eastAsia="MS Mincho" w:hAnsiTheme="majorHAnsi" w:cstheme="majorHAnsi"/>
          <w:szCs w:val="22"/>
        </w:rPr>
        <w:t>:</w:t>
      </w:r>
    </w:p>
    <w:p w14:paraId="5DF05FFA" w14:textId="77777777" w:rsidR="00134C51" w:rsidRPr="000D6A5D" w:rsidRDefault="002111B7" w:rsidP="00AB6C96">
      <w:pPr>
        <w:ind w:left="720"/>
        <w:rPr>
          <w:rFonts w:asciiTheme="majorHAnsi" w:eastAsia="MS Mincho" w:hAnsiTheme="majorHAnsi" w:cstheme="majorHAnsi"/>
          <w:szCs w:val="22"/>
        </w:rPr>
      </w:pPr>
      <w:r>
        <w:rPr>
          <w:rFonts w:asciiTheme="majorHAnsi" w:eastAsia="MS Mincho" w:hAnsiTheme="majorHAnsi" w:cstheme="majorHAnsi"/>
          <w:szCs w:val="22"/>
        </w:rPr>
        <w:t>1.</w:t>
      </w:r>
      <w:r w:rsidR="001A5A18">
        <w:rPr>
          <w:rFonts w:asciiTheme="majorHAnsi" w:eastAsia="MS Mincho" w:hAnsiTheme="majorHAnsi" w:cstheme="majorHAnsi"/>
          <w:szCs w:val="22"/>
        </w:rPr>
        <w:t xml:space="preserve"> </w:t>
      </w:r>
      <w:r w:rsidR="00134C51" w:rsidRPr="000D6A5D">
        <w:rPr>
          <w:rFonts w:asciiTheme="majorHAnsi" w:eastAsia="MS Mincho" w:hAnsiTheme="majorHAnsi" w:cstheme="majorHAnsi"/>
          <w:szCs w:val="22"/>
        </w:rPr>
        <w:t xml:space="preserve">Determining baseline efficiency conditions and </w:t>
      </w:r>
    </w:p>
    <w:p w14:paraId="699EE4E4" w14:textId="77777777" w:rsidR="00134C51" w:rsidRPr="000D6A5D" w:rsidRDefault="002111B7" w:rsidP="00AB6C96">
      <w:pPr>
        <w:ind w:left="720"/>
        <w:rPr>
          <w:rFonts w:asciiTheme="majorHAnsi" w:eastAsia="MS Mincho" w:hAnsiTheme="majorHAnsi" w:cstheme="majorHAnsi"/>
          <w:szCs w:val="22"/>
        </w:rPr>
      </w:pPr>
      <w:r>
        <w:rPr>
          <w:rFonts w:asciiTheme="majorHAnsi" w:eastAsia="MS Mincho" w:hAnsiTheme="majorHAnsi" w:cstheme="majorHAnsi"/>
          <w:szCs w:val="22"/>
        </w:rPr>
        <w:t>2.</w:t>
      </w:r>
      <w:r w:rsidR="001A5A18">
        <w:rPr>
          <w:rFonts w:asciiTheme="majorHAnsi" w:eastAsia="MS Mincho" w:hAnsiTheme="majorHAnsi" w:cstheme="majorHAnsi"/>
          <w:szCs w:val="22"/>
        </w:rPr>
        <w:t xml:space="preserve"> </w:t>
      </w:r>
      <w:r w:rsidR="00134C51" w:rsidRPr="000D6A5D">
        <w:rPr>
          <w:rFonts w:asciiTheme="majorHAnsi" w:eastAsia="MS Mincho" w:hAnsiTheme="majorHAnsi" w:cstheme="majorHAnsi"/>
          <w:szCs w:val="22"/>
        </w:rPr>
        <w:t xml:space="preserve">Determining Equivalent Full Load Hours (EFLH) for cooling system use. </w:t>
      </w:r>
    </w:p>
    <w:p w14:paraId="0FBFEE53" w14:textId="77777777" w:rsidR="00134C51" w:rsidRPr="000D6A5D" w:rsidRDefault="00134C51" w:rsidP="00AB6C96">
      <w:pPr>
        <w:ind w:left="2340"/>
        <w:rPr>
          <w:rFonts w:asciiTheme="majorHAnsi" w:eastAsia="MS Mincho" w:hAnsiTheme="majorHAnsi" w:cstheme="majorHAnsi"/>
          <w:szCs w:val="22"/>
        </w:rPr>
      </w:pPr>
    </w:p>
    <w:p w14:paraId="5126A46B" w14:textId="77777777" w:rsidR="00134C51" w:rsidRPr="000D6A5D" w:rsidRDefault="00134C51" w:rsidP="00AB6C96">
      <w:pPr>
        <w:pStyle w:val="BodyText"/>
        <w:widowControl/>
        <w:rPr>
          <w:rFonts w:asciiTheme="majorHAnsi" w:eastAsia="MS Mincho" w:hAnsiTheme="majorHAnsi" w:cstheme="majorHAnsi"/>
          <w:szCs w:val="22"/>
        </w:rPr>
      </w:pPr>
      <w:r w:rsidRPr="000D6A5D">
        <w:rPr>
          <w:rFonts w:asciiTheme="majorHAnsi" w:eastAsia="MS Mincho" w:hAnsiTheme="majorHAnsi" w:cstheme="majorHAnsi"/>
          <w:szCs w:val="22"/>
        </w:rPr>
        <w:t>The most common evaluation methods for dealing with each challenge are discussed below:</w:t>
      </w:r>
    </w:p>
    <w:p w14:paraId="527E7489" w14:textId="77777777" w:rsidR="008F1CC5" w:rsidRPr="000D6A5D" w:rsidRDefault="00134C51" w:rsidP="00AB6C96">
      <w:pPr>
        <w:spacing w:after="120"/>
        <w:ind w:left="360"/>
        <w:rPr>
          <w:rFonts w:asciiTheme="majorHAnsi" w:eastAsia="MS Mincho" w:hAnsiTheme="majorHAnsi" w:cstheme="majorHAnsi"/>
          <w:b/>
          <w:szCs w:val="22"/>
        </w:rPr>
      </w:pPr>
      <w:r w:rsidRPr="000D6A5D">
        <w:rPr>
          <w:rFonts w:asciiTheme="majorHAnsi" w:eastAsia="MS Mincho" w:hAnsiTheme="majorHAnsi" w:cstheme="majorHAnsi"/>
          <w:b/>
          <w:szCs w:val="22"/>
        </w:rPr>
        <w:t>A. Determining Baseline Efficiency Conditions or System Ratings</w:t>
      </w: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4675"/>
        <w:gridCol w:w="4675"/>
      </w:tblGrid>
      <w:tr w:rsidR="00134C51" w:rsidRPr="000D6A5D" w14:paraId="3FC0A746" w14:textId="77777777" w:rsidTr="000D6A5D">
        <w:tc>
          <w:tcPr>
            <w:tcW w:w="4675" w:type="dxa"/>
            <w:shd w:val="clear" w:color="auto" w:fill="D1E1FF"/>
          </w:tcPr>
          <w:p w14:paraId="5849998A" w14:textId="77777777" w:rsidR="00134C51" w:rsidRPr="000D6A5D" w:rsidRDefault="00AB69BE" w:rsidP="00AB69BE">
            <w:pPr>
              <w:rPr>
                <w:rFonts w:asciiTheme="majorHAnsi" w:eastAsia="MS Mincho" w:hAnsiTheme="majorHAnsi" w:cstheme="majorHAnsi"/>
                <w:b/>
                <w:szCs w:val="22"/>
              </w:rPr>
            </w:pPr>
            <w:r>
              <w:rPr>
                <w:rFonts w:asciiTheme="majorHAnsi" w:eastAsia="MS Mincho" w:hAnsiTheme="majorHAnsi" w:cstheme="majorHAnsi"/>
                <w:b/>
                <w:szCs w:val="22"/>
              </w:rPr>
              <w:t>M&amp;V</w:t>
            </w:r>
            <w:r w:rsidRPr="000D6A5D">
              <w:rPr>
                <w:rFonts w:asciiTheme="majorHAnsi" w:eastAsia="MS Mincho" w:hAnsiTheme="majorHAnsi" w:cstheme="majorHAnsi"/>
                <w:b/>
                <w:szCs w:val="22"/>
              </w:rPr>
              <w:t xml:space="preserve"> </w:t>
            </w:r>
            <w:r>
              <w:rPr>
                <w:rFonts w:asciiTheme="majorHAnsi" w:eastAsia="MS Mincho" w:hAnsiTheme="majorHAnsi" w:cstheme="majorHAnsi"/>
                <w:b/>
                <w:szCs w:val="22"/>
              </w:rPr>
              <w:t>Approach</w:t>
            </w:r>
          </w:p>
        </w:tc>
        <w:tc>
          <w:tcPr>
            <w:tcW w:w="4675" w:type="dxa"/>
            <w:shd w:val="clear" w:color="auto" w:fill="D1E1FF"/>
          </w:tcPr>
          <w:p w14:paraId="1A9420F2" w14:textId="77777777" w:rsidR="00134C51" w:rsidRPr="000D6A5D" w:rsidRDefault="00134C51" w:rsidP="00AB6C96">
            <w:pPr>
              <w:rPr>
                <w:rFonts w:asciiTheme="majorHAnsi" w:eastAsia="MS Mincho" w:hAnsiTheme="majorHAnsi" w:cstheme="majorHAnsi"/>
                <w:b/>
                <w:szCs w:val="22"/>
              </w:rPr>
            </w:pPr>
            <w:r w:rsidRPr="000D6A5D">
              <w:rPr>
                <w:rFonts w:asciiTheme="majorHAnsi" w:eastAsia="MS Mincho" w:hAnsiTheme="majorHAnsi" w:cstheme="majorHAnsi"/>
                <w:b/>
                <w:szCs w:val="22"/>
              </w:rPr>
              <w:t>Typical Application</w:t>
            </w:r>
          </w:p>
        </w:tc>
      </w:tr>
      <w:tr w:rsidR="00134C51" w:rsidRPr="000D6A5D" w14:paraId="3DD4BB8A" w14:textId="77777777" w:rsidTr="000D6A5D">
        <w:tc>
          <w:tcPr>
            <w:tcW w:w="4675" w:type="dxa"/>
          </w:tcPr>
          <w:p w14:paraId="5CDE0D95"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 xml:space="preserve">Gather baseline efficiency ratings from HVAC system equipment nameplates from a sample of participating homeowners or survey HVAC contractors to determine the </w:t>
            </w:r>
            <w:r w:rsidR="00580CC3" w:rsidRPr="000D6A5D">
              <w:rPr>
                <w:rFonts w:asciiTheme="majorHAnsi" w:eastAsia="MS Mincho" w:hAnsiTheme="majorHAnsi" w:cstheme="majorHAnsi"/>
                <w:szCs w:val="22"/>
              </w:rPr>
              <w:t>CPB</w:t>
            </w:r>
          </w:p>
        </w:tc>
        <w:tc>
          <w:tcPr>
            <w:tcW w:w="4675" w:type="dxa"/>
          </w:tcPr>
          <w:p w14:paraId="4DBBEF36"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 xml:space="preserve">For situations where contractor or homeowner reports cooling system is being replaced early or before the end of its useful life. </w:t>
            </w:r>
          </w:p>
        </w:tc>
      </w:tr>
      <w:tr w:rsidR="00134C51" w:rsidRPr="000D6A5D" w14:paraId="24C631C2" w14:textId="77777777" w:rsidTr="000D6A5D">
        <w:tc>
          <w:tcPr>
            <w:tcW w:w="4675" w:type="dxa"/>
          </w:tcPr>
          <w:p w14:paraId="252B7D91"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Use minimum efficiency level required by building or appliance code to estimate savings</w:t>
            </w:r>
          </w:p>
        </w:tc>
        <w:tc>
          <w:tcPr>
            <w:tcW w:w="4675" w:type="dxa"/>
            <w:vAlign w:val="center"/>
          </w:tcPr>
          <w:p w14:paraId="107CF4C0"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For situations where the cooling system is being installed because equipment is failing or burned</w:t>
            </w:r>
            <w:r w:rsidR="00896317" w:rsidRPr="000D6A5D">
              <w:rPr>
                <w:rFonts w:asciiTheme="majorHAnsi" w:eastAsia="MS Mincho" w:hAnsiTheme="majorHAnsi" w:cstheme="majorHAnsi"/>
                <w:szCs w:val="22"/>
              </w:rPr>
              <w:t xml:space="preserve"> </w:t>
            </w:r>
            <w:r w:rsidRPr="000D6A5D">
              <w:rPr>
                <w:rFonts w:asciiTheme="majorHAnsi" w:eastAsia="MS Mincho" w:hAnsiTheme="majorHAnsi" w:cstheme="majorHAnsi"/>
                <w:szCs w:val="22"/>
              </w:rPr>
              <w:t>out or as part of a new construction</w:t>
            </w:r>
            <w:r w:rsidR="00896317" w:rsidRPr="000D6A5D">
              <w:rPr>
                <w:rFonts w:asciiTheme="majorHAnsi" w:eastAsia="MS Mincho" w:hAnsiTheme="majorHAnsi" w:cstheme="majorHAnsi"/>
                <w:szCs w:val="22"/>
              </w:rPr>
              <w:t xml:space="preserve"> </w:t>
            </w:r>
            <w:r w:rsidRPr="000D6A5D">
              <w:rPr>
                <w:rFonts w:asciiTheme="majorHAnsi" w:eastAsia="MS Mincho" w:hAnsiTheme="majorHAnsi" w:cstheme="majorHAnsi"/>
                <w:szCs w:val="22"/>
              </w:rPr>
              <w:t>project</w:t>
            </w:r>
          </w:p>
        </w:tc>
      </w:tr>
    </w:tbl>
    <w:p w14:paraId="626FA84E" w14:textId="77777777" w:rsidR="008F1CC5" w:rsidRPr="000D6A5D" w:rsidRDefault="008F1CC5" w:rsidP="00AB6C96">
      <w:pPr>
        <w:rPr>
          <w:rFonts w:asciiTheme="majorHAnsi" w:eastAsia="MS Mincho" w:hAnsiTheme="majorHAnsi" w:cstheme="majorHAnsi"/>
          <w:szCs w:val="22"/>
        </w:rPr>
      </w:pPr>
    </w:p>
    <w:p w14:paraId="7098A774" w14:textId="77777777" w:rsidR="008F1CC5" w:rsidRPr="000D6A5D" w:rsidRDefault="008F1CC5" w:rsidP="00AB6C96">
      <w:pPr>
        <w:spacing w:after="120"/>
        <w:ind w:left="360"/>
        <w:rPr>
          <w:rFonts w:asciiTheme="majorHAnsi" w:eastAsia="MS Mincho" w:hAnsiTheme="majorHAnsi" w:cstheme="majorHAnsi"/>
          <w:b/>
          <w:szCs w:val="22"/>
        </w:rPr>
      </w:pPr>
      <w:r w:rsidRPr="000D6A5D">
        <w:rPr>
          <w:rFonts w:asciiTheme="majorHAnsi" w:eastAsia="MS Mincho" w:hAnsiTheme="majorHAnsi" w:cstheme="majorHAnsi"/>
          <w:b/>
          <w:szCs w:val="22"/>
        </w:rPr>
        <w:t>B. Determining Equivalent Full Load Hours for Cooling System Use</w:t>
      </w:r>
    </w:p>
    <w:tbl>
      <w:tblPr>
        <w:tblStyle w:val="TableGrid"/>
        <w:tblW w:w="9355" w:type="dxa"/>
        <w:tblCellMar>
          <w:top w:w="58" w:type="dxa"/>
          <w:left w:w="58" w:type="dxa"/>
          <w:bottom w:w="58" w:type="dxa"/>
          <w:right w:w="58" w:type="dxa"/>
        </w:tblCellMar>
        <w:tblLook w:val="04A0" w:firstRow="1" w:lastRow="0" w:firstColumn="1" w:lastColumn="0" w:noHBand="0" w:noVBand="1"/>
      </w:tblPr>
      <w:tblGrid>
        <w:gridCol w:w="4945"/>
        <w:gridCol w:w="4410"/>
      </w:tblGrid>
      <w:tr w:rsidR="00134C51" w:rsidRPr="000D6A5D" w14:paraId="7B20F7CE" w14:textId="77777777" w:rsidTr="000D6A5D">
        <w:trPr>
          <w:cantSplit/>
          <w:tblHeader/>
        </w:trPr>
        <w:tc>
          <w:tcPr>
            <w:tcW w:w="4945" w:type="dxa"/>
            <w:shd w:val="clear" w:color="auto" w:fill="D1E1FF"/>
          </w:tcPr>
          <w:p w14:paraId="2B5CF54B" w14:textId="77777777" w:rsidR="00134C51" w:rsidRPr="000D6A5D" w:rsidRDefault="00AB69BE" w:rsidP="00AB6C96">
            <w:pPr>
              <w:rPr>
                <w:rFonts w:asciiTheme="majorHAnsi" w:eastAsia="MS Mincho" w:hAnsiTheme="majorHAnsi" w:cstheme="majorHAnsi"/>
                <w:b/>
                <w:szCs w:val="22"/>
              </w:rPr>
            </w:pPr>
            <w:r>
              <w:rPr>
                <w:rFonts w:asciiTheme="majorHAnsi" w:eastAsia="MS Mincho" w:hAnsiTheme="majorHAnsi" w:cstheme="majorHAnsi"/>
                <w:b/>
                <w:szCs w:val="22"/>
              </w:rPr>
              <w:t>M&amp;V</w:t>
            </w:r>
            <w:r w:rsidRPr="000D6A5D">
              <w:rPr>
                <w:rFonts w:asciiTheme="majorHAnsi" w:eastAsia="MS Mincho" w:hAnsiTheme="majorHAnsi" w:cstheme="majorHAnsi"/>
                <w:b/>
                <w:szCs w:val="22"/>
              </w:rPr>
              <w:t xml:space="preserve"> </w:t>
            </w:r>
            <w:r>
              <w:rPr>
                <w:rFonts w:asciiTheme="majorHAnsi" w:eastAsia="MS Mincho" w:hAnsiTheme="majorHAnsi" w:cstheme="majorHAnsi"/>
                <w:b/>
                <w:szCs w:val="22"/>
              </w:rPr>
              <w:t>Approach</w:t>
            </w:r>
          </w:p>
        </w:tc>
        <w:tc>
          <w:tcPr>
            <w:tcW w:w="4410" w:type="dxa"/>
            <w:shd w:val="clear" w:color="auto" w:fill="D1E1FF"/>
          </w:tcPr>
          <w:p w14:paraId="283B044E" w14:textId="77777777" w:rsidR="00134C51" w:rsidRPr="000D6A5D" w:rsidRDefault="00134C51" w:rsidP="00AB6C96">
            <w:pPr>
              <w:rPr>
                <w:rFonts w:asciiTheme="majorHAnsi" w:eastAsia="MS Mincho" w:hAnsiTheme="majorHAnsi" w:cstheme="majorHAnsi"/>
                <w:b/>
                <w:szCs w:val="22"/>
              </w:rPr>
            </w:pPr>
            <w:r w:rsidRPr="000D6A5D">
              <w:rPr>
                <w:rFonts w:asciiTheme="majorHAnsi" w:eastAsia="MS Mincho" w:hAnsiTheme="majorHAnsi" w:cstheme="majorHAnsi"/>
                <w:b/>
                <w:szCs w:val="22"/>
              </w:rPr>
              <w:t>Typical Application</w:t>
            </w:r>
          </w:p>
        </w:tc>
      </w:tr>
      <w:tr w:rsidR="00134C51" w:rsidRPr="000D6A5D" w14:paraId="0728991E" w14:textId="77777777" w:rsidTr="000D6A5D">
        <w:trPr>
          <w:cantSplit/>
        </w:trPr>
        <w:tc>
          <w:tcPr>
            <w:tcW w:w="4945" w:type="dxa"/>
          </w:tcPr>
          <w:p w14:paraId="3ACF8103"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Simulate hours of HVAC system use using building simulation models based on prototypes of typical homes and climate conditions</w:t>
            </w:r>
          </w:p>
        </w:tc>
        <w:tc>
          <w:tcPr>
            <w:tcW w:w="4410" w:type="dxa"/>
          </w:tcPr>
          <w:p w14:paraId="45952E93"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Situations where size, climate conditions and layout of homes is known with reasonably accuracy based on current or previous data collection</w:t>
            </w:r>
          </w:p>
        </w:tc>
      </w:tr>
      <w:tr w:rsidR="00134C51" w:rsidRPr="000D6A5D" w14:paraId="49C6C28A" w14:textId="77777777" w:rsidTr="000D6A5D">
        <w:trPr>
          <w:cantSplit/>
        </w:trPr>
        <w:tc>
          <w:tcPr>
            <w:tcW w:w="4945" w:type="dxa"/>
          </w:tcPr>
          <w:p w14:paraId="3B86D3F6"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 xml:space="preserve">Conduct short-term metering of system use during cooling season for a short period of time, at least one month, during typical occupancy conditions), </w:t>
            </w:r>
          </w:p>
          <w:p w14:paraId="3E7E69D2" w14:textId="77777777" w:rsidR="00134C51" w:rsidRPr="000D6A5D" w:rsidRDefault="00134C51" w:rsidP="00AB6C96">
            <w:pPr>
              <w:rPr>
                <w:rFonts w:asciiTheme="majorHAnsi" w:eastAsia="MS Mincho" w:hAnsiTheme="majorHAnsi" w:cstheme="majorHAnsi"/>
                <w:szCs w:val="22"/>
              </w:rPr>
            </w:pPr>
          </w:p>
        </w:tc>
        <w:tc>
          <w:tcPr>
            <w:tcW w:w="4410" w:type="dxa"/>
          </w:tcPr>
          <w:p w14:paraId="12AE74E2"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 xml:space="preserve">Situations where accurate estimates of impacts on peak use are needed and there is sufficient evaluation budget to support the metering. </w:t>
            </w:r>
          </w:p>
        </w:tc>
      </w:tr>
      <w:tr w:rsidR="00134C51" w:rsidRPr="000D6A5D" w14:paraId="58789A91" w14:textId="77777777" w:rsidTr="000D6A5D">
        <w:trPr>
          <w:cantSplit/>
        </w:trPr>
        <w:tc>
          <w:tcPr>
            <w:tcW w:w="4945" w:type="dxa"/>
          </w:tcPr>
          <w:p w14:paraId="69220A10"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 xml:space="preserve">Use deemed hours of cooling use from neighboring </w:t>
            </w:r>
            <w:r w:rsidR="00EC6835" w:rsidRPr="000D6A5D">
              <w:rPr>
                <w:rFonts w:asciiTheme="majorHAnsi" w:eastAsia="MS Mincho" w:hAnsiTheme="majorHAnsi" w:cstheme="majorHAnsi"/>
                <w:szCs w:val="22"/>
              </w:rPr>
              <w:t>state</w:t>
            </w:r>
            <w:r w:rsidRPr="000D6A5D">
              <w:rPr>
                <w:rFonts w:asciiTheme="majorHAnsi" w:eastAsia="MS Mincho" w:hAnsiTheme="majorHAnsi" w:cstheme="majorHAnsi"/>
                <w:szCs w:val="22"/>
              </w:rPr>
              <w:t>,</w:t>
            </w:r>
            <w:r w:rsidR="00896317" w:rsidRPr="000D6A5D">
              <w:rPr>
                <w:rFonts w:asciiTheme="majorHAnsi" w:eastAsia="MS Mincho" w:hAnsiTheme="majorHAnsi" w:cstheme="majorHAnsi"/>
                <w:szCs w:val="22"/>
              </w:rPr>
              <w:t xml:space="preserve"> </w:t>
            </w:r>
            <w:r w:rsidRPr="000D6A5D">
              <w:rPr>
                <w:rFonts w:asciiTheme="majorHAnsi" w:eastAsia="MS Mincho" w:hAnsiTheme="majorHAnsi" w:cstheme="majorHAnsi"/>
                <w:szCs w:val="22"/>
              </w:rPr>
              <w:t xml:space="preserve">or regional TRMs </w:t>
            </w:r>
          </w:p>
        </w:tc>
        <w:tc>
          <w:tcPr>
            <w:tcW w:w="4410" w:type="dxa"/>
          </w:tcPr>
          <w:p w14:paraId="59E8F129"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Situations where programs are just starting out and or it is not practical to measure or meter system hours of use</w:t>
            </w:r>
          </w:p>
        </w:tc>
      </w:tr>
    </w:tbl>
    <w:p w14:paraId="25CEA35D" w14:textId="77777777" w:rsidR="008F1CC5" w:rsidRPr="000D6A5D" w:rsidRDefault="008F1CC5" w:rsidP="00AB6C96">
      <w:pPr>
        <w:ind w:left="720"/>
        <w:rPr>
          <w:rFonts w:asciiTheme="majorHAnsi" w:eastAsia="MS Mincho" w:hAnsiTheme="majorHAnsi" w:cstheme="majorHAnsi"/>
          <w:szCs w:val="22"/>
          <w:u w:val="single"/>
        </w:rPr>
      </w:pPr>
    </w:p>
    <w:p w14:paraId="035DF5D7" w14:textId="77777777" w:rsidR="00134C51" w:rsidRPr="000D6A5D" w:rsidRDefault="00134C51" w:rsidP="00AB6C96">
      <w:pPr>
        <w:pStyle w:val="Heading8"/>
        <w:rPr>
          <w:rFonts w:asciiTheme="majorHAnsi" w:eastAsia="MS Mincho" w:hAnsiTheme="majorHAnsi" w:cstheme="majorHAnsi"/>
          <w:u w:val="single"/>
        </w:rPr>
      </w:pPr>
      <w:r w:rsidRPr="000D6A5D">
        <w:rPr>
          <w:rFonts w:asciiTheme="majorHAnsi" w:hAnsiTheme="majorHAnsi" w:cstheme="majorHAnsi"/>
        </w:rPr>
        <w:t>Relevant Protocols and Sources for readers interested in more detailed information</w:t>
      </w:r>
    </w:p>
    <w:p w14:paraId="46ACDE6B" w14:textId="77777777" w:rsidR="00134C51" w:rsidRPr="000D6A5D" w:rsidRDefault="00134C51" w:rsidP="00703A52">
      <w:pPr>
        <w:pStyle w:val="ListParagraph"/>
        <w:numPr>
          <w:ilvl w:val="0"/>
          <w:numId w:val="232"/>
        </w:numPr>
        <w:rPr>
          <w:rFonts w:asciiTheme="majorHAnsi" w:hAnsiTheme="majorHAnsi" w:cstheme="majorHAnsi"/>
          <w:szCs w:val="22"/>
        </w:rPr>
      </w:pPr>
      <w:r w:rsidRPr="000D6A5D">
        <w:rPr>
          <w:rFonts w:asciiTheme="majorHAnsi" w:hAnsiTheme="majorHAnsi" w:cstheme="majorHAnsi"/>
          <w:szCs w:val="22"/>
        </w:rPr>
        <w:t xml:space="preserve">Uniform Methods Project, Chapter 4:Small Commercial and Residential Unitary and Split Cooling </w:t>
      </w:r>
      <w:r w:rsidRPr="00703A52">
        <w:rPr>
          <w:rFonts w:asciiTheme="majorHAnsi" w:eastAsia="MS Mincho" w:hAnsiTheme="majorHAnsi" w:cstheme="majorHAnsi"/>
          <w:szCs w:val="22"/>
        </w:rPr>
        <w:t>Systems</w:t>
      </w:r>
      <w:r w:rsidRPr="000D6A5D">
        <w:rPr>
          <w:rFonts w:asciiTheme="majorHAnsi" w:hAnsiTheme="majorHAnsi" w:cstheme="majorHAnsi"/>
          <w:szCs w:val="22"/>
        </w:rPr>
        <w:t xml:space="preserve"> protocol (April 2014)</w:t>
      </w:r>
    </w:p>
    <w:p w14:paraId="70DD9A3E" w14:textId="77777777" w:rsidR="00134C51" w:rsidRPr="000D6A5D" w:rsidRDefault="00134C51" w:rsidP="00703A52">
      <w:pPr>
        <w:pStyle w:val="ListParagraph"/>
        <w:numPr>
          <w:ilvl w:val="0"/>
          <w:numId w:val="232"/>
        </w:numPr>
        <w:rPr>
          <w:rFonts w:asciiTheme="majorHAnsi" w:hAnsiTheme="majorHAnsi" w:cstheme="majorHAnsi"/>
          <w:szCs w:val="22"/>
        </w:rPr>
      </w:pPr>
      <w:r w:rsidRPr="000D6A5D">
        <w:rPr>
          <w:rFonts w:asciiTheme="majorHAnsi" w:hAnsiTheme="majorHAnsi" w:cstheme="majorHAnsi"/>
          <w:szCs w:val="22"/>
        </w:rPr>
        <w:t xml:space="preserve">ASHRAE. (2010). Performance Measurement Protocols for Commercial Buildings. </w:t>
      </w:r>
    </w:p>
    <w:p w14:paraId="00732188" w14:textId="77777777" w:rsidR="00134C51" w:rsidRPr="000D6A5D" w:rsidRDefault="00134C51" w:rsidP="00703A52">
      <w:pPr>
        <w:pStyle w:val="ListParagraph"/>
        <w:numPr>
          <w:ilvl w:val="0"/>
          <w:numId w:val="232"/>
        </w:numPr>
        <w:rPr>
          <w:rFonts w:asciiTheme="majorHAnsi" w:hAnsiTheme="majorHAnsi" w:cstheme="majorHAnsi"/>
          <w:szCs w:val="22"/>
        </w:rPr>
      </w:pPr>
      <w:r w:rsidRPr="00703A52">
        <w:rPr>
          <w:rFonts w:asciiTheme="majorHAnsi" w:eastAsia="MS Mincho" w:hAnsiTheme="majorHAnsi" w:cstheme="majorHAnsi"/>
          <w:szCs w:val="22"/>
        </w:rPr>
        <w:t>Consortium</w:t>
      </w:r>
      <w:r w:rsidRPr="000D6A5D">
        <w:rPr>
          <w:rFonts w:asciiTheme="majorHAnsi" w:hAnsiTheme="majorHAnsi" w:cstheme="majorHAnsi"/>
          <w:szCs w:val="22"/>
        </w:rPr>
        <w:t xml:space="preserve"> for Energy Efficiency (CEE). (2009). Commercial Unitary AC and HP Specifications, Unitary Air Conditioning Specification. Effective January 16, 2009. www.cee1.org/com/hecac/hecactiers.pdf. ISO-New England, Inc. (June 2010). </w:t>
      </w:r>
    </w:p>
    <w:p w14:paraId="5BDA0C30" w14:textId="77777777" w:rsidR="00134C51" w:rsidRPr="000D6A5D" w:rsidRDefault="00134C51" w:rsidP="00703A52">
      <w:pPr>
        <w:pStyle w:val="ListParagraph"/>
        <w:numPr>
          <w:ilvl w:val="0"/>
          <w:numId w:val="232"/>
        </w:numPr>
        <w:rPr>
          <w:rFonts w:asciiTheme="majorHAnsi" w:hAnsiTheme="majorHAnsi" w:cstheme="majorHAnsi"/>
          <w:szCs w:val="22"/>
        </w:rPr>
      </w:pPr>
      <w:r w:rsidRPr="000D6A5D">
        <w:rPr>
          <w:rFonts w:asciiTheme="majorHAnsi" w:hAnsiTheme="majorHAnsi" w:cstheme="majorHAnsi"/>
          <w:szCs w:val="22"/>
        </w:rPr>
        <w:t xml:space="preserve">ISO New </w:t>
      </w:r>
      <w:r w:rsidRPr="00703A52">
        <w:rPr>
          <w:rFonts w:asciiTheme="majorHAnsi" w:eastAsia="MS Mincho" w:hAnsiTheme="majorHAnsi" w:cstheme="majorHAnsi"/>
          <w:szCs w:val="22"/>
        </w:rPr>
        <w:t>England</w:t>
      </w:r>
      <w:r w:rsidRPr="000D6A5D">
        <w:rPr>
          <w:rFonts w:asciiTheme="majorHAnsi" w:hAnsiTheme="majorHAnsi" w:cstheme="majorHAnsi"/>
          <w:szCs w:val="22"/>
        </w:rPr>
        <w:t xml:space="preserve"> Manual for Measurement and Verification of Demand Reduction Value from Demand Resources Manual (M-MVDR).</w:t>
      </w:r>
    </w:p>
    <w:p w14:paraId="5712669A" w14:textId="77777777" w:rsidR="008F1CC5" w:rsidRDefault="00134C51" w:rsidP="00703A52">
      <w:pPr>
        <w:pStyle w:val="ListParagraph"/>
        <w:numPr>
          <w:ilvl w:val="0"/>
          <w:numId w:val="232"/>
        </w:numPr>
        <w:rPr>
          <w:rFonts w:asciiTheme="majorHAnsi" w:hAnsiTheme="majorHAnsi" w:cstheme="majorHAnsi"/>
          <w:szCs w:val="22"/>
        </w:rPr>
      </w:pPr>
      <w:r w:rsidRPr="000D6A5D">
        <w:rPr>
          <w:rFonts w:asciiTheme="majorHAnsi" w:hAnsiTheme="majorHAnsi" w:cstheme="majorHAnsi"/>
          <w:szCs w:val="22"/>
        </w:rPr>
        <w:t xml:space="preserve">KEMA. (February 10, 2010). Evaluation Measurement and Verification of the California Public Utilities </w:t>
      </w:r>
      <w:r w:rsidRPr="00703A52">
        <w:rPr>
          <w:rFonts w:asciiTheme="majorHAnsi" w:eastAsia="MS Mincho" w:hAnsiTheme="majorHAnsi" w:cstheme="majorHAnsi"/>
          <w:szCs w:val="22"/>
        </w:rPr>
        <w:t>Commission</w:t>
      </w:r>
      <w:r w:rsidRPr="000D6A5D">
        <w:rPr>
          <w:rFonts w:asciiTheme="majorHAnsi" w:hAnsiTheme="majorHAnsi" w:cstheme="majorHAnsi"/>
          <w:szCs w:val="22"/>
        </w:rPr>
        <w:t xml:space="preserve"> HVAC High Impact Measures and Specialized Commercial Contract Group </w:t>
      </w:r>
      <w:r w:rsidRPr="000D6A5D">
        <w:rPr>
          <w:rFonts w:asciiTheme="majorHAnsi" w:hAnsiTheme="majorHAnsi" w:cstheme="majorHAnsi"/>
          <w:szCs w:val="22"/>
        </w:rPr>
        <w:lastRenderedPageBreak/>
        <w:t xml:space="preserve">Programs 2006-2008 Program Year. </w:t>
      </w:r>
      <w:hyperlink r:id="rId40" w:history="1">
        <w:r w:rsidR="000D6A5D" w:rsidRPr="00A25654">
          <w:rPr>
            <w:rStyle w:val="Hyperlink"/>
            <w:rFonts w:asciiTheme="majorHAnsi" w:hAnsiTheme="majorHAnsi" w:cstheme="majorHAnsi"/>
            <w:szCs w:val="22"/>
          </w:rPr>
          <w:t>www.calmac.org/publications/Vol_1_HVAC_Spec_Comm_Report_02-10-10.pdf</w:t>
        </w:r>
      </w:hyperlink>
      <w:r w:rsidRPr="000D6A5D">
        <w:rPr>
          <w:rFonts w:asciiTheme="majorHAnsi" w:hAnsiTheme="majorHAnsi" w:cstheme="majorHAnsi"/>
          <w:szCs w:val="22"/>
        </w:rPr>
        <w:t>.</w:t>
      </w:r>
    </w:p>
    <w:p w14:paraId="77F70D17" w14:textId="77777777" w:rsidR="000D6A5D" w:rsidRPr="000D6A5D" w:rsidRDefault="000D6A5D" w:rsidP="000D6A5D">
      <w:pPr>
        <w:spacing w:after="120"/>
        <w:ind w:left="720"/>
        <w:rPr>
          <w:rFonts w:asciiTheme="majorHAnsi" w:hAnsiTheme="majorHAnsi" w:cstheme="majorHAnsi"/>
          <w:szCs w:val="22"/>
        </w:rPr>
      </w:pPr>
    </w:p>
    <w:p w14:paraId="5BBE21D1" w14:textId="77777777" w:rsidR="008F1CC5" w:rsidRPr="000D6A5D" w:rsidRDefault="008F1CC5" w:rsidP="000A20EF">
      <w:pPr>
        <w:pStyle w:val="Heading7"/>
        <w:rPr>
          <w:rFonts w:cstheme="majorHAnsi"/>
        </w:rPr>
      </w:pPr>
      <w:bookmarkStart w:id="736" w:name="_Toc292140839"/>
      <w:r w:rsidRPr="000D6A5D">
        <w:rPr>
          <w:rFonts w:cstheme="majorHAnsi"/>
        </w:rPr>
        <w:t>Residential Whole Building Retrofits</w:t>
      </w:r>
      <w:bookmarkEnd w:id="736"/>
    </w:p>
    <w:p w14:paraId="28242F83" w14:textId="77777777" w:rsidR="008F1CC5" w:rsidRPr="000D6A5D" w:rsidRDefault="008F1CC5" w:rsidP="00AB6C96">
      <w:pPr>
        <w:pStyle w:val="Heading8"/>
        <w:rPr>
          <w:rFonts w:asciiTheme="majorHAnsi" w:hAnsiTheme="majorHAnsi" w:cstheme="majorHAnsi"/>
        </w:rPr>
      </w:pPr>
      <w:r w:rsidRPr="000D6A5D">
        <w:rPr>
          <w:rFonts w:asciiTheme="majorHAnsi" w:hAnsiTheme="majorHAnsi" w:cstheme="majorHAnsi"/>
        </w:rPr>
        <w:t xml:space="preserve">Definition </w:t>
      </w:r>
    </w:p>
    <w:p w14:paraId="0F3F6D3D" w14:textId="77777777" w:rsidR="00134C51" w:rsidRPr="000D6A5D" w:rsidRDefault="00134C51" w:rsidP="00AB6C96">
      <w:pPr>
        <w:pStyle w:val="BodyText"/>
        <w:widowControl/>
        <w:rPr>
          <w:rFonts w:asciiTheme="majorHAnsi" w:eastAsia="MS Mincho" w:hAnsiTheme="majorHAnsi" w:cstheme="majorHAnsi"/>
          <w:szCs w:val="22"/>
        </w:rPr>
      </w:pPr>
      <w:r w:rsidRPr="000D6A5D">
        <w:rPr>
          <w:rFonts w:asciiTheme="majorHAnsi" w:eastAsia="MS Mincho" w:hAnsiTheme="majorHAnsi" w:cstheme="majorHAnsi"/>
          <w:szCs w:val="22"/>
        </w:rPr>
        <w:t xml:space="preserve">These projects involve installing multiple </w:t>
      </w:r>
      <w:r w:rsidR="00CA4214" w:rsidRPr="000D6A5D">
        <w:rPr>
          <w:rFonts w:asciiTheme="majorHAnsi" w:eastAsia="MS Mincho" w:hAnsiTheme="majorHAnsi" w:cstheme="majorHAnsi"/>
          <w:szCs w:val="22"/>
        </w:rPr>
        <w:t>EE</w:t>
      </w:r>
      <w:r w:rsidRPr="000D6A5D">
        <w:rPr>
          <w:rFonts w:asciiTheme="majorHAnsi" w:eastAsia="MS Mincho" w:hAnsiTheme="majorHAnsi" w:cstheme="majorHAnsi"/>
          <w:szCs w:val="22"/>
        </w:rPr>
        <w:t xml:space="preserve"> measures, such as insulation, weather stripping, set-back thermostats, efficient lighting and/or efficient heating and cooling systems in residential dwellings. The savings from individual measures usually interact with each other</w:t>
      </w:r>
      <w:r w:rsidR="00CA4214" w:rsidRPr="000D6A5D">
        <w:rPr>
          <w:rFonts w:asciiTheme="majorHAnsi" w:eastAsia="MS Mincho" w:hAnsiTheme="majorHAnsi" w:cstheme="majorHAnsi"/>
          <w:szCs w:val="22"/>
        </w:rPr>
        <w:t>,</w:t>
      </w:r>
      <w:r w:rsidRPr="000D6A5D">
        <w:rPr>
          <w:rFonts w:asciiTheme="majorHAnsi" w:eastAsia="MS Mincho" w:hAnsiTheme="majorHAnsi" w:cstheme="majorHAnsi"/>
          <w:szCs w:val="22"/>
        </w:rPr>
        <w:t xml:space="preserve"> so it is not appropriate to estimate the savings from individual measures and sum them.</w:t>
      </w:r>
      <w:r w:rsidR="00896317" w:rsidRPr="000D6A5D">
        <w:rPr>
          <w:rFonts w:asciiTheme="majorHAnsi" w:eastAsia="MS Mincho" w:hAnsiTheme="majorHAnsi" w:cstheme="majorHAnsi"/>
          <w:szCs w:val="22"/>
        </w:rPr>
        <w:t xml:space="preserve"> </w:t>
      </w:r>
    </w:p>
    <w:p w14:paraId="0F4E7CED" w14:textId="77777777" w:rsidR="00134C51" w:rsidRPr="000D6A5D" w:rsidRDefault="00134C51" w:rsidP="00AB6C96">
      <w:pPr>
        <w:pStyle w:val="BodyText"/>
        <w:widowControl/>
        <w:rPr>
          <w:rFonts w:asciiTheme="majorHAnsi" w:eastAsia="MS Mincho" w:hAnsiTheme="majorHAnsi" w:cstheme="majorHAnsi"/>
          <w:szCs w:val="22"/>
        </w:rPr>
      </w:pPr>
      <w:r w:rsidRPr="000D6A5D">
        <w:rPr>
          <w:rFonts w:asciiTheme="majorHAnsi" w:eastAsia="MS Mincho" w:hAnsiTheme="majorHAnsi" w:cstheme="majorHAnsi"/>
          <w:szCs w:val="22"/>
        </w:rPr>
        <w:t>This guidance is applicable to c</w:t>
      </w:r>
      <w:r w:rsidR="00AB64D1" w:rsidRPr="000D6A5D">
        <w:rPr>
          <w:rFonts w:asciiTheme="majorHAnsi" w:eastAsia="MS Mincho" w:hAnsiTheme="majorHAnsi" w:cstheme="majorHAnsi"/>
          <w:szCs w:val="22"/>
        </w:rPr>
        <w:t>ommon program-</w:t>
      </w:r>
      <w:r w:rsidRPr="000D6A5D">
        <w:rPr>
          <w:rFonts w:asciiTheme="majorHAnsi" w:eastAsia="MS Mincho" w:hAnsiTheme="majorHAnsi" w:cstheme="majorHAnsi"/>
          <w:szCs w:val="22"/>
        </w:rPr>
        <w:t>design approaches</w:t>
      </w:r>
      <w:r w:rsidR="00CA0243" w:rsidRPr="000D6A5D">
        <w:rPr>
          <w:rFonts w:asciiTheme="majorHAnsi" w:eastAsia="MS Mincho" w:hAnsiTheme="majorHAnsi" w:cstheme="majorHAnsi"/>
          <w:szCs w:val="22"/>
        </w:rPr>
        <w:t xml:space="preserve"> such as </w:t>
      </w:r>
      <w:r w:rsidRPr="000D6A5D">
        <w:rPr>
          <w:rFonts w:asciiTheme="majorHAnsi" w:eastAsia="MS Mincho" w:hAnsiTheme="majorHAnsi" w:cstheme="majorHAnsi"/>
          <w:szCs w:val="22"/>
        </w:rPr>
        <w:t>Home Performance with Energy Star</w:t>
      </w:r>
      <w:r w:rsidR="00CA0243" w:rsidRPr="000D6A5D">
        <w:rPr>
          <w:rFonts w:asciiTheme="majorHAnsi" w:eastAsia="MS Mincho" w:hAnsiTheme="majorHAnsi" w:cstheme="majorHAnsi"/>
          <w:szCs w:val="22"/>
        </w:rPr>
        <w:t xml:space="preserve"> (</w:t>
      </w:r>
      <w:proofErr w:type="spellStart"/>
      <w:r w:rsidR="00CA0243" w:rsidRPr="000D6A5D">
        <w:rPr>
          <w:rFonts w:asciiTheme="majorHAnsi" w:eastAsia="MS Mincho" w:hAnsiTheme="majorHAnsi" w:cstheme="majorHAnsi"/>
          <w:szCs w:val="22"/>
        </w:rPr>
        <w:t>HPwES</w:t>
      </w:r>
      <w:proofErr w:type="spellEnd"/>
      <w:r w:rsidR="00CA0243" w:rsidRPr="000D6A5D">
        <w:rPr>
          <w:rFonts w:asciiTheme="majorHAnsi" w:eastAsia="MS Mincho" w:hAnsiTheme="majorHAnsi" w:cstheme="majorHAnsi"/>
          <w:szCs w:val="22"/>
        </w:rPr>
        <w:t>)</w:t>
      </w:r>
      <w:r w:rsidRPr="000D6A5D">
        <w:rPr>
          <w:rFonts w:asciiTheme="majorHAnsi" w:eastAsia="MS Mincho" w:hAnsiTheme="majorHAnsi" w:cstheme="majorHAnsi"/>
          <w:szCs w:val="22"/>
        </w:rPr>
        <w:t xml:space="preserve">, </w:t>
      </w:r>
      <w:r w:rsidR="00CA0243" w:rsidRPr="000D6A5D">
        <w:rPr>
          <w:rFonts w:asciiTheme="majorHAnsi" w:eastAsia="MS Mincho" w:hAnsiTheme="majorHAnsi" w:cstheme="majorHAnsi"/>
          <w:szCs w:val="22"/>
        </w:rPr>
        <w:t>r</w:t>
      </w:r>
      <w:r w:rsidRPr="000D6A5D">
        <w:rPr>
          <w:rFonts w:asciiTheme="majorHAnsi" w:eastAsia="MS Mincho" w:hAnsiTheme="majorHAnsi" w:cstheme="majorHAnsi"/>
          <w:szCs w:val="22"/>
        </w:rPr>
        <w:t xml:space="preserve">esidential </w:t>
      </w:r>
      <w:r w:rsidR="00CA0243" w:rsidRPr="000D6A5D">
        <w:rPr>
          <w:rFonts w:asciiTheme="majorHAnsi" w:eastAsia="MS Mincho" w:hAnsiTheme="majorHAnsi" w:cstheme="majorHAnsi"/>
          <w:szCs w:val="22"/>
        </w:rPr>
        <w:t>a</w:t>
      </w:r>
      <w:r w:rsidRPr="000D6A5D">
        <w:rPr>
          <w:rFonts w:asciiTheme="majorHAnsi" w:eastAsia="MS Mincho" w:hAnsiTheme="majorHAnsi" w:cstheme="majorHAnsi"/>
          <w:szCs w:val="22"/>
        </w:rPr>
        <w:t xml:space="preserve">udit </w:t>
      </w:r>
      <w:r w:rsidR="00CA0243" w:rsidRPr="000D6A5D">
        <w:rPr>
          <w:rFonts w:asciiTheme="majorHAnsi" w:eastAsia="MS Mincho" w:hAnsiTheme="majorHAnsi" w:cstheme="majorHAnsi"/>
          <w:szCs w:val="22"/>
        </w:rPr>
        <w:t>p</w:t>
      </w:r>
      <w:r w:rsidRPr="000D6A5D">
        <w:rPr>
          <w:rFonts w:asciiTheme="majorHAnsi" w:eastAsia="MS Mincho" w:hAnsiTheme="majorHAnsi" w:cstheme="majorHAnsi"/>
          <w:szCs w:val="22"/>
        </w:rPr>
        <w:t>rograms, and any other program that seeks to reduce overall energy use in residential dwellings using measures that address both building shell and building system improvements.</w:t>
      </w:r>
    </w:p>
    <w:p w14:paraId="511B59AD" w14:textId="77777777" w:rsidR="008F1CC5" w:rsidRPr="000D6A5D" w:rsidRDefault="008F1CC5" w:rsidP="00AB6C96">
      <w:pPr>
        <w:pStyle w:val="Heading8"/>
        <w:rPr>
          <w:rFonts w:asciiTheme="majorHAnsi" w:hAnsiTheme="majorHAnsi" w:cstheme="majorHAnsi"/>
        </w:rPr>
      </w:pPr>
      <w:r w:rsidRPr="000D6A5D">
        <w:rPr>
          <w:rFonts w:asciiTheme="majorHAnsi" w:hAnsiTheme="majorHAnsi" w:cstheme="majorHAnsi"/>
        </w:rPr>
        <w:t>Key Measurement Challenges</w:t>
      </w:r>
    </w:p>
    <w:p w14:paraId="214C29ED" w14:textId="77777777" w:rsidR="00134C51" w:rsidRPr="000D6A5D" w:rsidRDefault="00134C51" w:rsidP="00AB6C96">
      <w:pPr>
        <w:pStyle w:val="BodyText"/>
        <w:widowControl/>
        <w:rPr>
          <w:rFonts w:asciiTheme="majorHAnsi" w:eastAsia="MS Mincho" w:hAnsiTheme="majorHAnsi" w:cstheme="majorHAnsi"/>
          <w:szCs w:val="22"/>
          <w:u w:val="single"/>
        </w:rPr>
      </w:pPr>
      <w:r w:rsidRPr="000D6A5D">
        <w:rPr>
          <w:rFonts w:asciiTheme="majorHAnsi" w:eastAsia="MS Mincho" w:hAnsiTheme="majorHAnsi" w:cstheme="majorHAnsi"/>
          <w:szCs w:val="22"/>
        </w:rPr>
        <w:t xml:space="preserve">The key challenge in estimating energy savings from this program type is to isolate the electricity savings from the installation of multiple measures in the participating houses from market, weather, economic and other factors that </w:t>
      </w:r>
      <w:r w:rsidR="007B541A" w:rsidRPr="000D6A5D">
        <w:rPr>
          <w:rFonts w:asciiTheme="majorHAnsi" w:eastAsia="MS Mincho" w:hAnsiTheme="majorHAnsi" w:cstheme="majorHAnsi"/>
          <w:szCs w:val="22"/>
        </w:rPr>
        <w:t>affect</w:t>
      </w:r>
      <w:r w:rsidRPr="000D6A5D">
        <w:rPr>
          <w:rFonts w:asciiTheme="majorHAnsi" w:eastAsia="MS Mincho" w:hAnsiTheme="majorHAnsi" w:cstheme="majorHAnsi"/>
          <w:szCs w:val="22"/>
        </w:rPr>
        <w:t xml:space="preserve"> household electricity consumption. Three different evaluation methods to deal with this challenge and their typical applications are described in the tables below. </w:t>
      </w:r>
    </w:p>
    <w:tbl>
      <w:tblPr>
        <w:tblStyle w:val="TableGrid"/>
        <w:tblW w:w="9355" w:type="dxa"/>
        <w:tblCellMar>
          <w:top w:w="58" w:type="dxa"/>
          <w:left w:w="58" w:type="dxa"/>
          <w:bottom w:w="58" w:type="dxa"/>
          <w:right w:w="58" w:type="dxa"/>
        </w:tblCellMar>
        <w:tblLook w:val="04A0" w:firstRow="1" w:lastRow="0" w:firstColumn="1" w:lastColumn="0" w:noHBand="0" w:noVBand="1"/>
      </w:tblPr>
      <w:tblGrid>
        <w:gridCol w:w="4945"/>
        <w:gridCol w:w="4410"/>
      </w:tblGrid>
      <w:tr w:rsidR="008F1CC5" w:rsidRPr="000D6A5D" w14:paraId="76FECC90" w14:textId="77777777" w:rsidTr="000D6A5D">
        <w:trPr>
          <w:cantSplit/>
          <w:tblHeader/>
        </w:trPr>
        <w:tc>
          <w:tcPr>
            <w:tcW w:w="4945" w:type="dxa"/>
            <w:shd w:val="clear" w:color="auto" w:fill="D1E1FF"/>
          </w:tcPr>
          <w:p w14:paraId="01F1280B" w14:textId="77777777" w:rsidR="008F1CC5" w:rsidRPr="000D6A5D" w:rsidRDefault="00AB69BE" w:rsidP="00703A52">
            <w:pPr>
              <w:keepNext/>
              <w:rPr>
                <w:rFonts w:asciiTheme="majorHAnsi" w:eastAsia="MS Mincho" w:hAnsiTheme="majorHAnsi" w:cstheme="majorHAnsi"/>
                <w:b/>
                <w:szCs w:val="22"/>
              </w:rPr>
            </w:pPr>
            <w:r>
              <w:rPr>
                <w:rFonts w:asciiTheme="majorHAnsi" w:eastAsia="MS Mincho" w:hAnsiTheme="majorHAnsi" w:cstheme="majorHAnsi"/>
                <w:b/>
                <w:szCs w:val="22"/>
              </w:rPr>
              <w:t>M&amp;V</w:t>
            </w:r>
            <w:r w:rsidRPr="000D6A5D">
              <w:rPr>
                <w:rFonts w:asciiTheme="majorHAnsi" w:eastAsia="MS Mincho" w:hAnsiTheme="majorHAnsi" w:cstheme="majorHAnsi"/>
                <w:b/>
                <w:szCs w:val="22"/>
              </w:rPr>
              <w:t xml:space="preserve"> </w:t>
            </w:r>
            <w:r>
              <w:rPr>
                <w:rFonts w:asciiTheme="majorHAnsi" w:eastAsia="MS Mincho" w:hAnsiTheme="majorHAnsi" w:cstheme="majorHAnsi"/>
                <w:b/>
                <w:szCs w:val="22"/>
              </w:rPr>
              <w:t>Approach</w:t>
            </w:r>
          </w:p>
        </w:tc>
        <w:tc>
          <w:tcPr>
            <w:tcW w:w="4410" w:type="dxa"/>
            <w:shd w:val="clear" w:color="auto" w:fill="D1E1FF"/>
          </w:tcPr>
          <w:p w14:paraId="1B99D14A" w14:textId="77777777" w:rsidR="008F1CC5" w:rsidRPr="000D6A5D" w:rsidRDefault="008F1CC5" w:rsidP="00AB6C96">
            <w:pPr>
              <w:rPr>
                <w:rFonts w:asciiTheme="majorHAnsi" w:eastAsia="MS Mincho" w:hAnsiTheme="majorHAnsi" w:cstheme="majorHAnsi"/>
                <w:b/>
                <w:szCs w:val="22"/>
              </w:rPr>
            </w:pPr>
            <w:r w:rsidRPr="000D6A5D">
              <w:rPr>
                <w:rFonts w:asciiTheme="majorHAnsi" w:eastAsia="MS Mincho" w:hAnsiTheme="majorHAnsi" w:cstheme="majorHAnsi"/>
                <w:b/>
                <w:szCs w:val="22"/>
              </w:rPr>
              <w:t>Typical Application</w:t>
            </w:r>
          </w:p>
        </w:tc>
      </w:tr>
      <w:tr w:rsidR="008F1CC5" w:rsidRPr="000D6A5D" w14:paraId="7D085636" w14:textId="77777777" w:rsidTr="000D6A5D">
        <w:trPr>
          <w:cantSplit/>
        </w:trPr>
        <w:tc>
          <w:tcPr>
            <w:tcW w:w="4945" w:type="dxa"/>
          </w:tcPr>
          <w:p w14:paraId="27FAA880" w14:textId="77777777" w:rsidR="008F1CC5" w:rsidRPr="000D6A5D" w:rsidRDefault="008F1CC5" w:rsidP="00AB69BE">
            <w:pPr>
              <w:rPr>
                <w:rFonts w:asciiTheme="majorHAnsi" w:eastAsia="MS Mincho" w:hAnsiTheme="majorHAnsi" w:cstheme="majorHAnsi"/>
                <w:szCs w:val="22"/>
              </w:rPr>
            </w:pPr>
            <w:r w:rsidRPr="00AB69BE">
              <w:rPr>
                <w:rFonts w:asciiTheme="majorHAnsi" w:eastAsia="MS Mincho" w:hAnsiTheme="majorHAnsi" w:cstheme="majorHAnsi"/>
                <w:i/>
                <w:szCs w:val="22"/>
              </w:rPr>
              <w:t>Randomized Control Trials</w:t>
            </w:r>
            <w:r w:rsidRPr="000D6A5D">
              <w:rPr>
                <w:rFonts w:asciiTheme="majorHAnsi" w:eastAsia="MS Mincho" w:hAnsiTheme="majorHAnsi" w:cstheme="majorHAnsi"/>
                <w:szCs w:val="22"/>
              </w:rPr>
              <w:t xml:space="preserve"> </w:t>
            </w:r>
            <w:r w:rsidR="00AB69BE">
              <w:rPr>
                <w:rFonts w:asciiTheme="majorHAnsi" w:eastAsia="MS Mincho" w:hAnsiTheme="majorHAnsi" w:cstheme="majorHAnsi"/>
                <w:szCs w:val="22"/>
              </w:rPr>
              <w:t xml:space="preserve">applied to </w:t>
            </w:r>
            <w:r w:rsidRPr="000D6A5D">
              <w:rPr>
                <w:rFonts w:asciiTheme="majorHAnsi" w:eastAsia="MS Mincho" w:hAnsiTheme="majorHAnsi" w:cstheme="majorHAnsi"/>
                <w:szCs w:val="22"/>
              </w:rPr>
              <w:t>a sample of participants and non</w:t>
            </w:r>
            <w:r w:rsidR="0055728F" w:rsidRPr="000D6A5D">
              <w:rPr>
                <w:rFonts w:asciiTheme="majorHAnsi" w:eastAsia="MS Mincho" w:hAnsiTheme="majorHAnsi" w:cstheme="majorHAnsi"/>
                <w:szCs w:val="22"/>
              </w:rPr>
              <w:t>-</w:t>
            </w:r>
            <w:r w:rsidRPr="000D6A5D">
              <w:rPr>
                <w:rFonts w:asciiTheme="majorHAnsi" w:eastAsia="MS Mincho" w:hAnsiTheme="majorHAnsi" w:cstheme="majorHAnsi"/>
                <w:szCs w:val="22"/>
              </w:rPr>
              <w:t>participants in the program</w:t>
            </w:r>
            <w:r w:rsidR="00FB0D3D" w:rsidRPr="000D6A5D">
              <w:rPr>
                <w:rFonts w:asciiTheme="majorHAnsi" w:hAnsiTheme="majorHAnsi" w:cstheme="majorHAnsi"/>
                <w:szCs w:val="22"/>
                <w:vertAlign w:val="superscript"/>
              </w:rPr>
              <w:footnoteReference w:id="73"/>
            </w:r>
          </w:p>
        </w:tc>
        <w:tc>
          <w:tcPr>
            <w:tcW w:w="4410" w:type="dxa"/>
          </w:tcPr>
          <w:p w14:paraId="561EF776" w14:textId="77777777" w:rsidR="008F1CC5" w:rsidRPr="000D6A5D" w:rsidRDefault="008F1CC5" w:rsidP="00AB6C96">
            <w:pPr>
              <w:rPr>
                <w:rFonts w:asciiTheme="majorHAnsi" w:eastAsia="MS Mincho" w:hAnsiTheme="majorHAnsi" w:cstheme="majorHAnsi"/>
                <w:szCs w:val="22"/>
              </w:rPr>
            </w:pPr>
            <w:r w:rsidRPr="000D6A5D">
              <w:rPr>
                <w:rFonts w:asciiTheme="majorHAnsi" w:eastAsia="MS Mincho" w:hAnsiTheme="majorHAnsi" w:cstheme="majorHAnsi"/>
                <w:szCs w:val="22"/>
              </w:rPr>
              <w:t xml:space="preserve">Programs or projects where customers can be randomly assigned the opportunity to participate in the program and </w:t>
            </w:r>
            <w:r w:rsidR="007B541A" w:rsidRPr="000D6A5D">
              <w:rPr>
                <w:rFonts w:asciiTheme="majorHAnsi" w:eastAsia="MS Mincho" w:hAnsiTheme="majorHAnsi" w:cstheme="majorHAnsi"/>
                <w:szCs w:val="22"/>
              </w:rPr>
              <w:t>do not</w:t>
            </w:r>
            <w:r w:rsidRPr="000D6A5D">
              <w:rPr>
                <w:rFonts w:asciiTheme="majorHAnsi" w:eastAsia="MS Mincho" w:hAnsiTheme="majorHAnsi" w:cstheme="majorHAnsi"/>
                <w:szCs w:val="22"/>
              </w:rPr>
              <w:t xml:space="preserve"> have to be recruited.</w:t>
            </w:r>
          </w:p>
        </w:tc>
      </w:tr>
      <w:tr w:rsidR="00134C51" w:rsidRPr="000D6A5D" w14:paraId="07B86DAB" w14:textId="77777777" w:rsidTr="000D6A5D">
        <w:trPr>
          <w:cantSplit/>
        </w:trPr>
        <w:tc>
          <w:tcPr>
            <w:tcW w:w="4945" w:type="dxa"/>
          </w:tcPr>
          <w:p w14:paraId="43E0487B" w14:textId="77777777" w:rsidR="00134C51" w:rsidRPr="000D6A5D" w:rsidRDefault="00134C51" w:rsidP="00AB6C96">
            <w:pPr>
              <w:rPr>
                <w:rFonts w:asciiTheme="majorHAnsi" w:eastAsia="MS Mincho" w:hAnsiTheme="majorHAnsi" w:cstheme="majorHAnsi"/>
                <w:szCs w:val="22"/>
              </w:rPr>
            </w:pPr>
            <w:r w:rsidRPr="00AB69BE">
              <w:rPr>
                <w:rFonts w:asciiTheme="majorHAnsi" w:eastAsia="MS Mincho" w:hAnsiTheme="majorHAnsi" w:cstheme="majorHAnsi"/>
                <w:i/>
                <w:szCs w:val="22"/>
              </w:rPr>
              <w:t xml:space="preserve">Quasi Experimental Design to Select Participant and </w:t>
            </w:r>
            <w:r w:rsidR="00C86DF5">
              <w:rPr>
                <w:rFonts w:asciiTheme="majorHAnsi" w:eastAsia="MS Mincho" w:hAnsiTheme="majorHAnsi" w:cstheme="majorHAnsi"/>
                <w:i/>
                <w:szCs w:val="22"/>
              </w:rPr>
              <w:t>Comparison</w:t>
            </w:r>
            <w:r w:rsidRPr="00AB69BE">
              <w:rPr>
                <w:rFonts w:asciiTheme="majorHAnsi" w:eastAsia="MS Mincho" w:hAnsiTheme="majorHAnsi" w:cstheme="majorHAnsi"/>
                <w:i/>
                <w:szCs w:val="22"/>
              </w:rPr>
              <w:t xml:space="preserve"> Groups</w:t>
            </w:r>
            <w:r w:rsidRPr="000D6A5D">
              <w:rPr>
                <w:rFonts w:asciiTheme="majorHAnsi" w:eastAsia="MS Mincho" w:hAnsiTheme="majorHAnsi" w:cstheme="majorHAnsi"/>
                <w:szCs w:val="22"/>
              </w:rPr>
              <w:t xml:space="preserve"> and control for self-selection bias using regression and pooled techniques.</w:t>
            </w:r>
            <w:r w:rsidRPr="000D6A5D">
              <w:rPr>
                <w:rStyle w:val="FootnoteReference"/>
                <w:rFonts w:asciiTheme="majorHAnsi" w:eastAsia="MS Mincho" w:hAnsiTheme="majorHAnsi" w:cstheme="majorHAnsi"/>
                <w:szCs w:val="22"/>
              </w:rPr>
              <w:footnoteReference w:id="74"/>
            </w:r>
            <w:r w:rsidR="00896317" w:rsidRPr="000D6A5D">
              <w:rPr>
                <w:rFonts w:asciiTheme="majorHAnsi" w:eastAsia="MS Mincho" w:hAnsiTheme="majorHAnsi" w:cstheme="majorHAnsi"/>
                <w:szCs w:val="22"/>
              </w:rPr>
              <w:t xml:space="preserve"> </w:t>
            </w:r>
            <w:r w:rsidRPr="000D6A5D">
              <w:rPr>
                <w:rFonts w:asciiTheme="majorHAnsi" w:eastAsia="MS Mincho" w:hAnsiTheme="majorHAnsi" w:cstheme="majorHAnsi"/>
                <w:szCs w:val="22"/>
              </w:rPr>
              <w:t xml:space="preserve">Two </w:t>
            </w:r>
            <w:r w:rsidR="00AB69BE">
              <w:rPr>
                <w:rFonts w:asciiTheme="majorHAnsi" w:eastAsia="MS Mincho" w:hAnsiTheme="majorHAnsi" w:cstheme="majorHAnsi"/>
                <w:szCs w:val="22"/>
              </w:rPr>
              <w:t>approaches include</w:t>
            </w:r>
            <w:r w:rsidRPr="000D6A5D">
              <w:rPr>
                <w:rFonts w:asciiTheme="majorHAnsi" w:eastAsia="MS Mincho" w:hAnsiTheme="majorHAnsi" w:cstheme="majorHAnsi"/>
                <w:szCs w:val="22"/>
              </w:rPr>
              <w:t>:</w:t>
            </w:r>
          </w:p>
          <w:p w14:paraId="0E49820F" w14:textId="77777777" w:rsidR="00134C51" w:rsidRPr="000D6A5D" w:rsidRDefault="00134C51" w:rsidP="00AB6C96">
            <w:pPr>
              <w:pStyle w:val="ListParagraph"/>
              <w:numPr>
                <w:ilvl w:val="0"/>
                <w:numId w:val="147"/>
              </w:numPr>
              <w:ind w:left="535"/>
              <w:rPr>
                <w:rFonts w:asciiTheme="majorHAnsi" w:eastAsia="MS Mincho" w:hAnsiTheme="majorHAnsi" w:cstheme="majorHAnsi"/>
                <w:szCs w:val="22"/>
              </w:rPr>
            </w:pPr>
            <w:r w:rsidRPr="000D6A5D">
              <w:rPr>
                <w:rFonts w:asciiTheme="majorHAnsi" w:eastAsia="MS Mincho" w:hAnsiTheme="majorHAnsi" w:cstheme="majorHAnsi"/>
                <w:szCs w:val="22"/>
              </w:rPr>
              <w:t>Two-stage</w:t>
            </w:r>
            <w:r w:rsidRPr="000D6A5D">
              <w:rPr>
                <w:rStyle w:val="FootnoteReference"/>
                <w:rFonts w:asciiTheme="majorHAnsi" w:eastAsia="MS Mincho" w:hAnsiTheme="majorHAnsi" w:cstheme="majorHAnsi"/>
                <w:szCs w:val="22"/>
              </w:rPr>
              <w:footnoteReference w:id="75"/>
            </w:r>
            <w:r w:rsidRPr="000D6A5D">
              <w:rPr>
                <w:rFonts w:asciiTheme="majorHAnsi" w:eastAsia="MS Mincho" w:hAnsiTheme="majorHAnsi" w:cstheme="majorHAnsi"/>
                <w:szCs w:val="22"/>
              </w:rPr>
              <w:t xml:space="preserve"> regression approach using past and future participants as the comparison or control group</w:t>
            </w:r>
          </w:p>
          <w:p w14:paraId="350F3817" w14:textId="77777777" w:rsidR="00134C51" w:rsidRPr="000D6A5D" w:rsidRDefault="00134C51" w:rsidP="00AB6C96">
            <w:pPr>
              <w:pStyle w:val="ListParagraph"/>
              <w:numPr>
                <w:ilvl w:val="0"/>
                <w:numId w:val="147"/>
              </w:numPr>
              <w:ind w:left="535"/>
              <w:rPr>
                <w:rFonts w:asciiTheme="majorHAnsi" w:eastAsia="MS Mincho" w:hAnsiTheme="majorHAnsi" w:cstheme="majorHAnsi"/>
                <w:szCs w:val="22"/>
              </w:rPr>
            </w:pPr>
            <w:r w:rsidRPr="000D6A5D">
              <w:rPr>
                <w:rFonts w:asciiTheme="majorHAnsi" w:eastAsia="MS Mincho" w:hAnsiTheme="majorHAnsi" w:cstheme="majorHAnsi"/>
                <w:szCs w:val="22"/>
              </w:rPr>
              <w:t>Pooled fixed effects regression approach if there is insufficient data on past or future participants to create the comparison group</w:t>
            </w:r>
          </w:p>
        </w:tc>
        <w:tc>
          <w:tcPr>
            <w:tcW w:w="4410" w:type="dxa"/>
          </w:tcPr>
          <w:p w14:paraId="23E79E81" w14:textId="77777777" w:rsidR="00134C51" w:rsidRPr="000D6A5D" w:rsidRDefault="00134C51" w:rsidP="00C86DF5">
            <w:pPr>
              <w:rPr>
                <w:rFonts w:asciiTheme="majorHAnsi" w:eastAsia="MS Mincho" w:hAnsiTheme="majorHAnsi" w:cstheme="majorHAnsi"/>
                <w:szCs w:val="22"/>
              </w:rPr>
            </w:pPr>
            <w:r w:rsidRPr="000D6A5D">
              <w:rPr>
                <w:rFonts w:asciiTheme="majorHAnsi" w:eastAsia="MS Mincho" w:hAnsiTheme="majorHAnsi" w:cstheme="majorHAnsi"/>
                <w:szCs w:val="22"/>
              </w:rPr>
              <w:t xml:space="preserve">Most common program situation where customers must be recruited to join programs and install measures, </w:t>
            </w:r>
            <w:r w:rsidR="00C86DF5">
              <w:rPr>
                <w:rFonts w:asciiTheme="majorHAnsi" w:eastAsia="MS Mincho" w:hAnsiTheme="majorHAnsi" w:cstheme="majorHAnsi"/>
                <w:szCs w:val="22"/>
              </w:rPr>
              <w:t>b</w:t>
            </w:r>
            <w:r w:rsidRPr="000D6A5D">
              <w:rPr>
                <w:rFonts w:asciiTheme="majorHAnsi" w:eastAsia="MS Mincho" w:hAnsiTheme="majorHAnsi" w:cstheme="majorHAnsi"/>
                <w:szCs w:val="22"/>
              </w:rPr>
              <w:t xml:space="preserve">illing data is available and evaluation budget is sufficient to gather detailed data on home characteristics. </w:t>
            </w:r>
          </w:p>
        </w:tc>
      </w:tr>
      <w:tr w:rsidR="00134C51" w:rsidRPr="000D6A5D" w14:paraId="7B018979" w14:textId="77777777" w:rsidTr="000D6A5D">
        <w:trPr>
          <w:cantSplit/>
        </w:trPr>
        <w:tc>
          <w:tcPr>
            <w:tcW w:w="4945" w:type="dxa"/>
          </w:tcPr>
          <w:p w14:paraId="4953F271" w14:textId="77777777" w:rsidR="00134C51" w:rsidRPr="000D6A5D" w:rsidRDefault="00134C51" w:rsidP="00AB6C96">
            <w:pPr>
              <w:rPr>
                <w:rFonts w:asciiTheme="majorHAnsi" w:eastAsia="MS Mincho" w:hAnsiTheme="majorHAnsi" w:cstheme="majorHAnsi"/>
                <w:szCs w:val="22"/>
              </w:rPr>
            </w:pPr>
            <w:r w:rsidRPr="00AB69BE">
              <w:rPr>
                <w:rFonts w:asciiTheme="majorHAnsi" w:eastAsia="MS Mincho" w:hAnsiTheme="majorHAnsi" w:cstheme="majorHAnsi"/>
                <w:i/>
                <w:szCs w:val="22"/>
              </w:rPr>
              <w:lastRenderedPageBreak/>
              <w:t>Building simulation models</w:t>
            </w:r>
            <w:r w:rsidRPr="000D6A5D">
              <w:rPr>
                <w:rFonts w:asciiTheme="majorHAnsi" w:eastAsia="MS Mincho" w:hAnsiTheme="majorHAnsi" w:cstheme="majorHAnsi"/>
                <w:szCs w:val="22"/>
              </w:rPr>
              <w:t xml:space="preserve"> to estimate savings using Building Characteristic Data Gathered by Program contractors or implementers </w:t>
            </w:r>
          </w:p>
        </w:tc>
        <w:tc>
          <w:tcPr>
            <w:tcW w:w="4410" w:type="dxa"/>
          </w:tcPr>
          <w:p w14:paraId="3488B12B"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 xml:space="preserve">Situations where it is difficult to access sufficient billing data and or administrator has confidence in implementer’s building simulation models because it has been calibrated to billing energy usage. </w:t>
            </w:r>
          </w:p>
        </w:tc>
      </w:tr>
    </w:tbl>
    <w:p w14:paraId="0503D268" w14:textId="77777777" w:rsidR="008F1CC5" w:rsidRPr="000D6A5D" w:rsidRDefault="008F1CC5" w:rsidP="00AB6C96">
      <w:pPr>
        <w:ind w:left="720"/>
        <w:rPr>
          <w:rFonts w:asciiTheme="majorHAnsi" w:eastAsia="MS Mincho" w:hAnsiTheme="majorHAnsi" w:cstheme="majorHAnsi"/>
          <w:szCs w:val="22"/>
          <w:u w:val="single"/>
        </w:rPr>
      </w:pPr>
    </w:p>
    <w:p w14:paraId="7EABA589" w14:textId="77777777" w:rsidR="008F1CC5" w:rsidRPr="000D6A5D" w:rsidRDefault="008F1CC5" w:rsidP="00AB6C96">
      <w:pPr>
        <w:pStyle w:val="Heading8"/>
        <w:rPr>
          <w:rFonts w:asciiTheme="majorHAnsi" w:hAnsiTheme="majorHAnsi" w:cstheme="majorHAnsi"/>
        </w:rPr>
      </w:pPr>
      <w:r w:rsidRPr="000D6A5D">
        <w:rPr>
          <w:rFonts w:asciiTheme="majorHAnsi" w:hAnsiTheme="majorHAnsi" w:cstheme="majorHAnsi"/>
        </w:rPr>
        <w:t>Relevant Protocols for More Information</w:t>
      </w:r>
    </w:p>
    <w:p w14:paraId="19FA7D18" w14:textId="77777777" w:rsidR="00AB69BE" w:rsidRPr="000D6A5D" w:rsidRDefault="00D65BEA" w:rsidP="00703A52">
      <w:pPr>
        <w:pStyle w:val="BodyText"/>
      </w:pPr>
      <w:bookmarkStart w:id="737" w:name="_Toc292140840"/>
      <w:r>
        <w:t xml:space="preserve">See </w:t>
      </w:r>
      <w:r w:rsidR="00134C51" w:rsidRPr="000D6A5D">
        <w:t>Uniform Methods Project, Chapter 8: Whole-Building Retrofit with Consumption Data Analysis Evaluation Protocol reference.</w:t>
      </w:r>
      <w:r w:rsidR="00AB64D1" w:rsidRPr="000D6A5D">
        <w:t xml:space="preserve"> </w:t>
      </w:r>
      <w:r w:rsidR="00134C51" w:rsidRPr="000D6A5D">
        <w:rPr>
          <w:rStyle w:val="Hyperlink"/>
          <w:szCs w:val="22"/>
        </w:rPr>
        <w:t>http://</w:t>
      </w:r>
      <w:r w:rsidR="00922093" w:rsidRPr="000D6A5D">
        <w:rPr>
          <w:rStyle w:val="Hyperlink"/>
          <w:szCs w:val="22"/>
        </w:rPr>
        <w:t>www.</w:t>
      </w:r>
      <w:r w:rsidR="00134C51" w:rsidRPr="000D6A5D">
        <w:rPr>
          <w:rStyle w:val="Hyperlink"/>
          <w:szCs w:val="22"/>
        </w:rPr>
        <w:t>energy.gov/sites/prod/files/2013/11/f5/53827-8.pdf</w:t>
      </w:r>
    </w:p>
    <w:p w14:paraId="399DD32B" w14:textId="77777777" w:rsidR="008F1CC5" w:rsidRPr="00AB69BE" w:rsidRDefault="008F1CC5" w:rsidP="000A20EF">
      <w:pPr>
        <w:pStyle w:val="Heading7"/>
        <w:rPr>
          <w:rFonts w:cstheme="majorHAnsi"/>
        </w:rPr>
      </w:pPr>
      <w:r w:rsidRPr="00AB69BE">
        <w:rPr>
          <w:rFonts w:cstheme="majorHAnsi"/>
        </w:rPr>
        <w:t>Commercial Lighting</w:t>
      </w:r>
      <w:bookmarkEnd w:id="737"/>
    </w:p>
    <w:p w14:paraId="76BADD1A" w14:textId="77777777" w:rsidR="008F1CC5" w:rsidRPr="000D6A5D" w:rsidRDefault="008F1CC5" w:rsidP="00AB6C96">
      <w:pPr>
        <w:pStyle w:val="Heading8"/>
        <w:rPr>
          <w:rFonts w:asciiTheme="majorHAnsi" w:hAnsiTheme="majorHAnsi" w:cstheme="majorHAnsi"/>
        </w:rPr>
      </w:pPr>
      <w:r w:rsidRPr="000D6A5D">
        <w:rPr>
          <w:rFonts w:asciiTheme="majorHAnsi" w:hAnsiTheme="majorHAnsi" w:cstheme="majorHAnsi"/>
        </w:rPr>
        <w:t xml:space="preserve">Definition </w:t>
      </w:r>
    </w:p>
    <w:p w14:paraId="79C12F65" w14:textId="77777777" w:rsidR="00134C51" w:rsidRPr="000D6A5D" w:rsidRDefault="00134C51" w:rsidP="00AB6C96">
      <w:pPr>
        <w:pStyle w:val="BodyText"/>
        <w:widowControl/>
        <w:rPr>
          <w:rFonts w:asciiTheme="majorHAnsi" w:eastAsia="MS Mincho" w:hAnsiTheme="majorHAnsi" w:cstheme="majorHAnsi"/>
          <w:szCs w:val="22"/>
        </w:rPr>
      </w:pPr>
      <w:r w:rsidRPr="000D6A5D">
        <w:rPr>
          <w:rFonts w:asciiTheme="majorHAnsi" w:eastAsia="MS Mincho" w:hAnsiTheme="majorHAnsi" w:cstheme="majorHAnsi"/>
          <w:szCs w:val="22"/>
        </w:rPr>
        <w:t>These projects involve installing efficient lighting products (ballasts, lamps, and fixtures) in nonresidential buildings such as offices, grocery stores, restaurants, warehouses, retail, and multifamily housing units. Example projects include installing T5/T8 fluorescent lighting systems for general area lighting and more focused LEDs for task lighting. There are three common program delivery approaches:</w:t>
      </w:r>
    </w:p>
    <w:p w14:paraId="034426C3" w14:textId="77777777" w:rsidR="00134C51" w:rsidRPr="000D6A5D" w:rsidRDefault="00134C51" w:rsidP="00AB6C96">
      <w:pPr>
        <w:pStyle w:val="BulletLevel1"/>
        <w:rPr>
          <w:rFonts w:asciiTheme="majorHAnsi" w:hAnsiTheme="majorHAnsi" w:cstheme="majorHAnsi"/>
          <w:szCs w:val="22"/>
        </w:rPr>
      </w:pPr>
      <w:r w:rsidRPr="000D6A5D">
        <w:rPr>
          <w:rFonts w:asciiTheme="majorHAnsi" w:hAnsiTheme="majorHAnsi" w:cstheme="majorHAnsi"/>
          <w:szCs w:val="22"/>
        </w:rPr>
        <w:t>Direct installation of lighting products, including ESCO projects</w:t>
      </w:r>
    </w:p>
    <w:p w14:paraId="688FBE0F" w14:textId="77777777" w:rsidR="00134C51" w:rsidRPr="000D6A5D" w:rsidRDefault="00134C51" w:rsidP="00AB6C96">
      <w:pPr>
        <w:pStyle w:val="BulletLevel1"/>
        <w:rPr>
          <w:rFonts w:asciiTheme="majorHAnsi" w:hAnsiTheme="majorHAnsi" w:cstheme="majorHAnsi"/>
          <w:szCs w:val="22"/>
        </w:rPr>
      </w:pPr>
      <w:r w:rsidRPr="000D6A5D">
        <w:rPr>
          <w:rFonts w:asciiTheme="majorHAnsi" w:hAnsiTheme="majorHAnsi" w:cstheme="majorHAnsi"/>
          <w:szCs w:val="22"/>
        </w:rPr>
        <w:t>Consumer incentives (e.g., rebates)</w:t>
      </w:r>
    </w:p>
    <w:p w14:paraId="6D7B40A2" w14:textId="77777777" w:rsidR="008F1CC5" w:rsidRPr="000D6A5D" w:rsidRDefault="008F1CC5" w:rsidP="00AB6C96">
      <w:pPr>
        <w:pStyle w:val="BulletLevel1"/>
        <w:rPr>
          <w:rFonts w:asciiTheme="majorHAnsi" w:hAnsiTheme="majorHAnsi" w:cstheme="majorHAnsi"/>
          <w:szCs w:val="22"/>
        </w:rPr>
      </w:pPr>
      <w:r w:rsidRPr="000D6A5D">
        <w:rPr>
          <w:rFonts w:asciiTheme="majorHAnsi" w:hAnsiTheme="majorHAnsi" w:cstheme="majorHAnsi"/>
          <w:szCs w:val="22"/>
        </w:rPr>
        <w:t>Upstream/Mid-stream/Downstream buy downs of lamp</w:t>
      </w:r>
      <w:r w:rsidR="000D6A5D" w:rsidRPr="000D6A5D">
        <w:rPr>
          <w:rFonts w:asciiTheme="majorHAnsi" w:hAnsiTheme="majorHAnsi" w:cstheme="majorHAnsi"/>
          <w:szCs w:val="22"/>
        </w:rPr>
        <w:t xml:space="preserve"> and </w:t>
      </w:r>
      <w:r w:rsidRPr="000D6A5D">
        <w:rPr>
          <w:rFonts w:asciiTheme="majorHAnsi" w:hAnsiTheme="majorHAnsi" w:cstheme="majorHAnsi"/>
          <w:szCs w:val="22"/>
        </w:rPr>
        <w:t>fixture prices (e.g., distributor incentives).</w:t>
      </w:r>
    </w:p>
    <w:p w14:paraId="2C6B6902" w14:textId="77777777" w:rsidR="008F1CC5" w:rsidRPr="000D6A5D" w:rsidRDefault="008F1CC5" w:rsidP="00AB6C96">
      <w:pPr>
        <w:pStyle w:val="Heading8"/>
        <w:rPr>
          <w:rFonts w:asciiTheme="majorHAnsi" w:hAnsiTheme="majorHAnsi" w:cstheme="majorHAnsi"/>
        </w:rPr>
      </w:pPr>
      <w:r w:rsidRPr="000D6A5D">
        <w:rPr>
          <w:rFonts w:asciiTheme="majorHAnsi" w:hAnsiTheme="majorHAnsi" w:cstheme="majorHAnsi"/>
        </w:rPr>
        <w:t>Key Measurement Challenges</w:t>
      </w:r>
    </w:p>
    <w:p w14:paraId="2FA849C5" w14:textId="77777777" w:rsidR="00134C51" w:rsidRPr="000D6A5D" w:rsidRDefault="00134C51" w:rsidP="00AB6C96">
      <w:pPr>
        <w:pStyle w:val="BodyText"/>
        <w:widowControl/>
        <w:rPr>
          <w:rFonts w:asciiTheme="majorHAnsi" w:eastAsia="MS Mincho" w:hAnsiTheme="majorHAnsi" w:cstheme="majorHAnsi"/>
          <w:szCs w:val="22"/>
        </w:rPr>
      </w:pPr>
      <w:r w:rsidRPr="000D6A5D">
        <w:rPr>
          <w:rFonts w:asciiTheme="majorHAnsi" w:eastAsia="MS Mincho" w:hAnsiTheme="majorHAnsi" w:cstheme="majorHAnsi"/>
          <w:szCs w:val="22"/>
        </w:rPr>
        <w:t>Key measurement challenges include: 1) Ensuring lighting logger readings are carefully reviewed and screened to ensure accurate estimates of hours of use in rooms where daylighting and occupancy fluctuations can cause flicker problems. 2) Accurately weighting these use area specific HOU results into an average hours of use for the entire building</w:t>
      </w:r>
      <w:r w:rsidR="00896317" w:rsidRPr="000D6A5D">
        <w:rPr>
          <w:rFonts w:asciiTheme="majorHAnsi" w:eastAsia="MS Mincho" w:hAnsiTheme="majorHAnsi" w:cstheme="majorHAnsi"/>
          <w:szCs w:val="22"/>
        </w:rPr>
        <w:t xml:space="preserve"> </w:t>
      </w:r>
      <w:r w:rsidRPr="000D6A5D">
        <w:rPr>
          <w:rFonts w:asciiTheme="majorHAnsi" w:eastAsia="MS Mincho" w:hAnsiTheme="majorHAnsi" w:cstheme="majorHAnsi"/>
          <w:szCs w:val="22"/>
        </w:rPr>
        <w:t>3) Determining baseline wattage of lighting systems where the precise physical location is unknown and inventories of lighting systems that do not meet current code are still available for sale.</w:t>
      </w:r>
      <w:r w:rsidR="00896317" w:rsidRPr="000D6A5D">
        <w:rPr>
          <w:rFonts w:asciiTheme="majorHAnsi" w:eastAsia="MS Mincho" w:hAnsiTheme="majorHAnsi" w:cstheme="majorHAnsi"/>
          <w:szCs w:val="22"/>
        </w:rPr>
        <w:t xml:space="preserve"> </w:t>
      </w:r>
    </w:p>
    <w:p w14:paraId="6622CE73" w14:textId="77777777" w:rsidR="00134C51" w:rsidRPr="000D6A5D" w:rsidRDefault="00134C51" w:rsidP="00AB6C96">
      <w:pPr>
        <w:pStyle w:val="BodyText"/>
        <w:widowControl/>
        <w:rPr>
          <w:rFonts w:asciiTheme="majorHAnsi" w:eastAsia="MS Mincho" w:hAnsiTheme="majorHAnsi" w:cstheme="majorHAnsi"/>
          <w:szCs w:val="22"/>
        </w:rPr>
      </w:pPr>
      <w:r w:rsidRPr="000D6A5D">
        <w:rPr>
          <w:rFonts w:asciiTheme="majorHAnsi" w:eastAsia="MS Mincho" w:hAnsiTheme="majorHAnsi" w:cstheme="majorHAnsi"/>
          <w:szCs w:val="22"/>
        </w:rPr>
        <w:t>The most common evaluation methods for dealing with each challenge are discussed below:</w:t>
      </w:r>
    </w:p>
    <w:p w14:paraId="60570158" w14:textId="77777777" w:rsidR="008F1CC5" w:rsidRPr="000D6A5D" w:rsidRDefault="008F1CC5" w:rsidP="00AB6C96">
      <w:pPr>
        <w:spacing w:after="120"/>
        <w:ind w:left="720" w:hanging="360"/>
        <w:rPr>
          <w:rFonts w:asciiTheme="majorHAnsi" w:eastAsia="MS Mincho" w:hAnsiTheme="majorHAnsi" w:cstheme="majorHAnsi"/>
          <w:b/>
          <w:szCs w:val="22"/>
        </w:rPr>
      </w:pPr>
      <w:r w:rsidRPr="000D6A5D">
        <w:rPr>
          <w:rFonts w:asciiTheme="majorHAnsi" w:eastAsia="MS Mincho" w:hAnsiTheme="majorHAnsi" w:cstheme="majorHAnsi"/>
          <w:b/>
          <w:szCs w:val="22"/>
        </w:rPr>
        <w:t xml:space="preserve">A. Determining Average HOU by Room </w:t>
      </w:r>
      <w:r w:rsidR="000D6A5D" w:rsidRPr="000D6A5D">
        <w:rPr>
          <w:rFonts w:asciiTheme="majorHAnsi" w:eastAsia="MS Mincho" w:hAnsiTheme="majorHAnsi" w:cstheme="majorHAnsi"/>
          <w:b/>
          <w:szCs w:val="22"/>
        </w:rPr>
        <w:t>T</w:t>
      </w:r>
      <w:r w:rsidRPr="000D6A5D">
        <w:rPr>
          <w:rFonts w:asciiTheme="majorHAnsi" w:eastAsia="MS Mincho" w:hAnsiTheme="majorHAnsi" w:cstheme="majorHAnsi"/>
          <w:b/>
          <w:szCs w:val="22"/>
        </w:rPr>
        <w:t xml:space="preserve">ype and </w:t>
      </w:r>
      <w:r w:rsidR="000D6A5D" w:rsidRPr="000D6A5D">
        <w:rPr>
          <w:rFonts w:asciiTheme="majorHAnsi" w:eastAsia="MS Mincho" w:hAnsiTheme="majorHAnsi" w:cstheme="majorHAnsi"/>
          <w:b/>
          <w:szCs w:val="22"/>
        </w:rPr>
        <w:t>W</w:t>
      </w:r>
      <w:r w:rsidRPr="000D6A5D">
        <w:rPr>
          <w:rFonts w:asciiTheme="majorHAnsi" w:eastAsia="MS Mincho" w:hAnsiTheme="majorHAnsi" w:cstheme="majorHAnsi"/>
          <w:b/>
          <w:szCs w:val="22"/>
        </w:rPr>
        <w:t xml:space="preserve">hole </w:t>
      </w:r>
      <w:r w:rsidR="000D6A5D" w:rsidRPr="000D6A5D">
        <w:rPr>
          <w:rFonts w:asciiTheme="majorHAnsi" w:eastAsia="MS Mincho" w:hAnsiTheme="majorHAnsi" w:cstheme="majorHAnsi"/>
          <w:b/>
          <w:szCs w:val="22"/>
        </w:rPr>
        <w:t>B</w:t>
      </w:r>
      <w:r w:rsidRPr="000D6A5D">
        <w:rPr>
          <w:rFonts w:asciiTheme="majorHAnsi" w:eastAsia="MS Mincho" w:hAnsiTheme="majorHAnsi" w:cstheme="majorHAnsi"/>
          <w:b/>
          <w:szCs w:val="22"/>
        </w:rPr>
        <w:t>uilding</w:t>
      </w:r>
    </w:p>
    <w:tbl>
      <w:tblPr>
        <w:tblStyle w:val="TableGrid"/>
        <w:tblW w:w="9355" w:type="dxa"/>
        <w:tblCellMar>
          <w:top w:w="58" w:type="dxa"/>
          <w:left w:w="58" w:type="dxa"/>
          <w:bottom w:w="58" w:type="dxa"/>
          <w:right w:w="58" w:type="dxa"/>
        </w:tblCellMar>
        <w:tblLook w:val="04A0" w:firstRow="1" w:lastRow="0" w:firstColumn="1" w:lastColumn="0" w:noHBand="0" w:noVBand="1"/>
      </w:tblPr>
      <w:tblGrid>
        <w:gridCol w:w="4945"/>
        <w:gridCol w:w="4410"/>
      </w:tblGrid>
      <w:tr w:rsidR="008F1CC5" w:rsidRPr="000D6A5D" w14:paraId="77A0207C" w14:textId="77777777" w:rsidTr="000D6A5D">
        <w:tc>
          <w:tcPr>
            <w:tcW w:w="4945" w:type="dxa"/>
            <w:shd w:val="clear" w:color="auto" w:fill="D1E1FF"/>
          </w:tcPr>
          <w:p w14:paraId="04DB7892" w14:textId="77777777" w:rsidR="008F1CC5" w:rsidRPr="000D6A5D" w:rsidRDefault="00AB69BE" w:rsidP="00CA0243">
            <w:pPr>
              <w:rPr>
                <w:rFonts w:asciiTheme="majorHAnsi" w:eastAsia="MS Mincho" w:hAnsiTheme="majorHAnsi" w:cstheme="majorHAnsi"/>
                <w:b/>
                <w:szCs w:val="22"/>
              </w:rPr>
            </w:pPr>
            <w:r>
              <w:rPr>
                <w:rFonts w:asciiTheme="majorHAnsi" w:eastAsia="MS Mincho" w:hAnsiTheme="majorHAnsi" w:cstheme="majorHAnsi"/>
                <w:b/>
                <w:szCs w:val="22"/>
              </w:rPr>
              <w:t>M&amp;V</w:t>
            </w:r>
            <w:r w:rsidRPr="000D6A5D">
              <w:rPr>
                <w:rFonts w:asciiTheme="majorHAnsi" w:eastAsia="MS Mincho" w:hAnsiTheme="majorHAnsi" w:cstheme="majorHAnsi"/>
                <w:b/>
                <w:szCs w:val="22"/>
              </w:rPr>
              <w:t xml:space="preserve"> </w:t>
            </w:r>
            <w:r>
              <w:rPr>
                <w:rFonts w:asciiTheme="majorHAnsi" w:eastAsia="MS Mincho" w:hAnsiTheme="majorHAnsi" w:cstheme="majorHAnsi"/>
                <w:b/>
                <w:szCs w:val="22"/>
              </w:rPr>
              <w:t>Approach</w:t>
            </w:r>
          </w:p>
        </w:tc>
        <w:tc>
          <w:tcPr>
            <w:tcW w:w="4410" w:type="dxa"/>
            <w:shd w:val="clear" w:color="auto" w:fill="D1E1FF"/>
          </w:tcPr>
          <w:p w14:paraId="72AD2638" w14:textId="77777777" w:rsidR="008F1CC5" w:rsidRPr="000D6A5D" w:rsidRDefault="00134C51" w:rsidP="00AB6C96">
            <w:pPr>
              <w:rPr>
                <w:rFonts w:asciiTheme="majorHAnsi" w:eastAsia="MS Mincho" w:hAnsiTheme="majorHAnsi" w:cstheme="majorHAnsi"/>
                <w:b/>
                <w:szCs w:val="22"/>
              </w:rPr>
            </w:pPr>
            <w:r w:rsidRPr="000D6A5D">
              <w:rPr>
                <w:rFonts w:asciiTheme="majorHAnsi" w:eastAsia="MS Mincho" w:hAnsiTheme="majorHAnsi" w:cstheme="majorHAnsi"/>
                <w:b/>
                <w:szCs w:val="22"/>
              </w:rPr>
              <w:t>Typical Application</w:t>
            </w:r>
          </w:p>
        </w:tc>
      </w:tr>
      <w:tr w:rsidR="00134C51" w:rsidRPr="000D6A5D" w14:paraId="4EE7CB1F" w14:textId="77777777" w:rsidTr="000D6A5D">
        <w:tc>
          <w:tcPr>
            <w:tcW w:w="4945" w:type="dxa"/>
          </w:tcPr>
          <w:p w14:paraId="550B35D9"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Collect average hours of usage by area use type</w:t>
            </w:r>
            <w:r w:rsidRPr="000D6A5D">
              <w:rPr>
                <w:rStyle w:val="FootnoteReference"/>
                <w:rFonts w:asciiTheme="majorHAnsi" w:eastAsia="MS Mincho" w:hAnsiTheme="majorHAnsi" w:cstheme="majorHAnsi"/>
                <w:szCs w:val="22"/>
              </w:rPr>
              <w:footnoteReference w:id="76"/>
            </w:r>
            <w:r w:rsidRPr="000D6A5D">
              <w:rPr>
                <w:rFonts w:asciiTheme="majorHAnsi" w:eastAsia="MS Mincho" w:hAnsiTheme="majorHAnsi" w:cstheme="majorHAnsi"/>
                <w:szCs w:val="22"/>
              </w:rPr>
              <w:t xml:space="preserve"> from a representative sample of buildings using self-</w:t>
            </w:r>
            <w:r w:rsidRPr="000D6A5D">
              <w:rPr>
                <w:rFonts w:asciiTheme="majorHAnsi" w:eastAsia="MS Mincho" w:hAnsiTheme="majorHAnsi" w:cstheme="majorHAnsi"/>
                <w:szCs w:val="22"/>
              </w:rPr>
              <w:lastRenderedPageBreak/>
              <w:t>reports from building managers and or HOU estimates from forecasting models.</w:t>
            </w:r>
          </w:p>
        </w:tc>
        <w:tc>
          <w:tcPr>
            <w:tcW w:w="4410" w:type="dxa"/>
          </w:tcPr>
          <w:p w14:paraId="2A1DA8F7"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lastRenderedPageBreak/>
              <w:t xml:space="preserve">Project or program evaluations of new lighting projects or measures where there is insufficient </w:t>
            </w:r>
            <w:r w:rsidRPr="000D6A5D">
              <w:rPr>
                <w:rFonts w:asciiTheme="majorHAnsi" w:eastAsia="MS Mincho" w:hAnsiTheme="majorHAnsi" w:cstheme="majorHAnsi"/>
                <w:szCs w:val="22"/>
              </w:rPr>
              <w:lastRenderedPageBreak/>
              <w:t xml:space="preserve">time or resources to install lighting loggers and collect usage data over a 6 to 12 week period. </w:t>
            </w:r>
          </w:p>
        </w:tc>
      </w:tr>
      <w:tr w:rsidR="00134C51" w:rsidRPr="000D6A5D" w14:paraId="0F2A2FE1" w14:textId="77777777" w:rsidTr="000D6A5D">
        <w:tc>
          <w:tcPr>
            <w:tcW w:w="4945" w:type="dxa"/>
          </w:tcPr>
          <w:p w14:paraId="2D68315D"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lastRenderedPageBreak/>
              <w:t>Retrieve hours of lighting system or fixture usage by room type from building energy management systems or time clocks</w:t>
            </w:r>
          </w:p>
        </w:tc>
        <w:tc>
          <w:tcPr>
            <w:tcW w:w="4410" w:type="dxa"/>
          </w:tcPr>
          <w:p w14:paraId="113A931B"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 xml:space="preserve">Evaluations at sites where sophisticated energy management systems log lighting usage and schedules. </w:t>
            </w:r>
          </w:p>
        </w:tc>
      </w:tr>
      <w:tr w:rsidR="00134C51" w:rsidRPr="000D6A5D" w14:paraId="303C1CFB" w14:textId="77777777" w:rsidTr="000D6A5D">
        <w:tc>
          <w:tcPr>
            <w:tcW w:w="4945" w:type="dxa"/>
          </w:tcPr>
          <w:p w14:paraId="607B7FA3"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 xml:space="preserve">Install lighting loggers in a representative sample of area use types within a sample of participating buildings. </w:t>
            </w:r>
          </w:p>
        </w:tc>
        <w:tc>
          <w:tcPr>
            <w:tcW w:w="4410" w:type="dxa"/>
          </w:tcPr>
          <w:p w14:paraId="7CDC7331"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Evaluations where savings from lighting projects constitute the majority of portfolio savings and no recent studies of lighting HOU have been conducted in available TRMS or recent evaluations</w:t>
            </w:r>
          </w:p>
        </w:tc>
      </w:tr>
    </w:tbl>
    <w:p w14:paraId="0D309E88" w14:textId="77777777" w:rsidR="008F1CC5" w:rsidRPr="000D6A5D" w:rsidRDefault="008F1CC5" w:rsidP="00AB6C96">
      <w:pPr>
        <w:ind w:left="720" w:hanging="360"/>
        <w:rPr>
          <w:rFonts w:asciiTheme="majorHAnsi" w:eastAsia="MS Mincho" w:hAnsiTheme="majorHAnsi" w:cstheme="majorHAnsi"/>
          <w:szCs w:val="22"/>
        </w:rPr>
      </w:pPr>
    </w:p>
    <w:p w14:paraId="1D3E769D" w14:textId="77777777" w:rsidR="008F1CC5" w:rsidRPr="000D6A5D" w:rsidRDefault="008F1CC5" w:rsidP="00AB6C96">
      <w:pPr>
        <w:spacing w:after="120"/>
        <w:ind w:left="720" w:hanging="360"/>
        <w:rPr>
          <w:rFonts w:asciiTheme="majorHAnsi" w:eastAsia="MS Mincho" w:hAnsiTheme="majorHAnsi" w:cstheme="majorHAnsi"/>
          <w:b/>
          <w:szCs w:val="22"/>
        </w:rPr>
      </w:pPr>
      <w:r w:rsidRPr="000D6A5D">
        <w:rPr>
          <w:rFonts w:asciiTheme="majorHAnsi" w:eastAsia="MS Mincho" w:hAnsiTheme="majorHAnsi" w:cstheme="majorHAnsi"/>
          <w:b/>
          <w:szCs w:val="22"/>
        </w:rPr>
        <w:t>B. Determining Baseline Lighting System Wattage</w:t>
      </w:r>
    </w:p>
    <w:tbl>
      <w:tblPr>
        <w:tblStyle w:val="TableGrid"/>
        <w:tblW w:w="9355" w:type="dxa"/>
        <w:tblCellMar>
          <w:top w:w="58" w:type="dxa"/>
          <w:left w:w="58" w:type="dxa"/>
          <w:bottom w:w="58" w:type="dxa"/>
          <w:right w:w="58" w:type="dxa"/>
        </w:tblCellMar>
        <w:tblLook w:val="04A0" w:firstRow="1" w:lastRow="0" w:firstColumn="1" w:lastColumn="0" w:noHBand="0" w:noVBand="1"/>
      </w:tblPr>
      <w:tblGrid>
        <w:gridCol w:w="4945"/>
        <w:gridCol w:w="4410"/>
      </w:tblGrid>
      <w:tr w:rsidR="008F1CC5" w:rsidRPr="000D6A5D" w14:paraId="5CAE5675" w14:textId="77777777" w:rsidTr="000D6A5D">
        <w:trPr>
          <w:cantSplit/>
          <w:tblHeader/>
        </w:trPr>
        <w:tc>
          <w:tcPr>
            <w:tcW w:w="4945" w:type="dxa"/>
            <w:shd w:val="clear" w:color="auto" w:fill="D1E1FF"/>
          </w:tcPr>
          <w:p w14:paraId="00592926" w14:textId="77777777" w:rsidR="008F1CC5" w:rsidRPr="000D6A5D" w:rsidRDefault="00AB69BE" w:rsidP="00CA0243">
            <w:pPr>
              <w:rPr>
                <w:rFonts w:asciiTheme="majorHAnsi" w:eastAsia="MS Mincho" w:hAnsiTheme="majorHAnsi" w:cstheme="majorHAnsi"/>
                <w:b/>
                <w:szCs w:val="22"/>
              </w:rPr>
            </w:pPr>
            <w:r>
              <w:rPr>
                <w:rFonts w:asciiTheme="majorHAnsi" w:eastAsia="MS Mincho" w:hAnsiTheme="majorHAnsi" w:cstheme="majorHAnsi"/>
                <w:b/>
                <w:szCs w:val="22"/>
              </w:rPr>
              <w:t>M&amp;V</w:t>
            </w:r>
            <w:r w:rsidRPr="000D6A5D">
              <w:rPr>
                <w:rFonts w:asciiTheme="majorHAnsi" w:eastAsia="MS Mincho" w:hAnsiTheme="majorHAnsi" w:cstheme="majorHAnsi"/>
                <w:b/>
                <w:szCs w:val="22"/>
              </w:rPr>
              <w:t xml:space="preserve"> </w:t>
            </w:r>
            <w:r>
              <w:rPr>
                <w:rFonts w:asciiTheme="majorHAnsi" w:eastAsia="MS Mincho" w:hAnsiTheme="majorHAnsi" w:cstheme="majorHAnsi"/>
                <w:b/>
                <w:szCs w:val="22"/>
              </w:rPr>
              <w:t>Approach</w:t>
            </w:r>
          </w:p>
        </w:tc>
        <w:tc>
          <w:tcPr>
            <w:tcW w:w="4410" w:type="dxa"/>
            <w:shd w:val="clear" w:color="auto" w:fill="D1E1FF"/>
          </w:tcPr>
          <w:p w14:paraId="778C4E8C" w14:textId="77777777" w:rsidR="008F1CC5" w:rsidRPr="000D6A5D" w:rsidRDefault="008F1CC5" w:rsidP="00AB6C96">
            <w:pPr>
              <w:rPr>
                <w:rFonts w:asciiTheme="majorHAnsi" w:eastAsia="MS Mincho" w:hAnsiTheme="majorHAnsi" w:cstheme="majorHAnsi"/>
                <w:b/>
                <w:szCs w:val="22"/>
              </w:rPr>
            </w:pPr>
            <w:r w:rsidRPr="000D6A5D">
              <w:rPr>
                <w:rFonts w:asciiTheme="majorHAnsi" w:eastAsia="MS Mincho" w:hAnsiTheme="majorHAnsi" w:cstheme="majorHAnsi"/>
                <w:b/>
                <w:szCs w:val="22"/>
              </w:rPr>
              <w:t>Typical Application</w:t>
            </w:r>
          </w:p>
        </w:tc>
      </w:tr>
      <w:tr w:rsidR="00134C51" w:rsidRPr="000D6A5D" w14:paraId="75A5B468" w14:textId="77777777" w:rsidTr="000D6A5D">
        <w:trPr>
          <w:cantSplit/>
        </w:trPr>
        <w:tc>
          <w:tcPr>
            <w:tcW w:w="4945" w:type="dxa"/>
          </w:tcPr>
          <w:p w14:paraId="2737A9A3"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Collect detailed fixture wattage inventory by area usage type before the lighting retrofits are installed.</w:t>
            </w:r>
            <w:r w:rsidR="00896317" w:rsidRPr="000D6A5D">
              <w:rPr>
                <w:rFonts w:asciiTheme="majorHAnsi" w:eastAsia="MS Mincho" w:hAnsiTheme="majorHAnsi" w:cstheme="majorHAnsi"/>
                <w:szCs w:val="22"/>
              </w:rPr>
              <w:t xml:space="preserve"> </w:t>
            </w:r>
          </w:p>
        </w:tc>
        <w:tc>
          <w:tcPr>
            <w:tcW w:w="4410" w:type="dxa"/>
          </w:tcPr>
          <w:p w14:paraId="1D73919B" w14:textId="77777777" w:rsidR="00134C51" w:rsidRPr="000D6A5D" w:rsidRDefault="00134C51" w:rsidP="007B541A">
            <w:pPr>
              <w:rPr>
                <w:rFonts w:asciiTheme="majorHAnsi" w:eastAsia="MS Mincho" w:hAnsiTheme="majorHAnsi" w:cstheme="majorHAnsi"/>
                <w:szCs w:val="22"/>
              </w:rPr>
            </w:pPr>
            <w:r w:rsidRPr="000D6A5D">
              <w:rPr>
                <w:rFonts w:asciiTheme="majorHAnsi" w:eastAsia="MS Mincho" w:hAnsiTheme="majorHAnsi" w:cstheme="majorHAnsi"/>
                <w:szCs w:val="22"/>
              </w:rPr>
              <w:t xml:space="preserve">For accelerated or early retirement of existing lighting systems before the projected or anticipated end of their useful lives from building manager’s perspective. </w:t>
            </w:r>
          </w:p>
        </w:tc>
      </w:tr>
      <w:tr w:rsidR="00134C51" w:rsidRPr="000D6A5D" w14:paraId="6AF46EF2" w14:textId="77777777" w:rsidTr="000D6A5D">
        <w:trPr>
          <w:cantSplit/>
        </w:trPr>
        <w:tc>
          <w:tcPr>
            <w:tcW w:w="4945" w:type="dxa"/>
          </w:tcPr>
          <w:p w14:paraId="7106F676"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 xml:space="preserve">Determine the </w:t>
            </w:r>
            <w:r w:rsidR="00580CC3" w:rsidRPr="000D6A5D">
              <w:rPr>
                <w:rFonts w:asciiTheme="majorHAnsi" w:eastAsia="MS Mincho" w:hAnsiTheme="majorHAnsi" w:cstheme="majorHAnsi"/>
                <w:szCs w:val="22"/>
              </w:rPr>
              <w:t>CPB</w:t>
            </w:r>
            <w:r w:rsidRPr="000D6A5D">
              <w:rPr>
                <w:rFonts w:asciiTheme="majorHAnsi" w:eastAsia="MS Mincho" w:hAnsiTheme="majorHAnsi" w:cstheme="majorHAnsi"/>
                <w:szCs w:val="22"/>
              </w:rPr>
              <w:t xml:space="preserve"> conditions using</w:t>
            </w:r>
            <w:r w:rsidR="00896317" w:rsidRPr="000D6A5D">
              <w:rPr>
                <w:rFonts w:asciiTheme="majorHAnsi" w:eastAsia="MS Mincho" w:hAnsiTheme="majorHAnsi" w:cstheme="majorHAnsi"/>
                <w:szCs w:val="22"/>
              </w:rPr>
              <w:t xml:space="preserve"> </w:t>
            </w:r>
            <w:r w:rsidRPr="000D6A5D">
              <w:rPr>
                <w:rFonts w:asciiTheme="majorHAnsi" w:eastAsia="MS Mincho" w:hAnsiTheme="majorHAnsi" w:cstheme="majorHAnsi"/>
                <w:szCs w:val="22"/>
              </w:rPr>
              <w:t xml:space="preserve">most recent </w:t>
            </w:r>
            <w:r w:rsidR="00EC6835" w:rsidRPr="000D6A5D">
              <w:rPr>
                <w:rFonts w:asciiTheme="majorHAnsi" w:eastAsia="MS Mincho" w:hAnsiTheme="majorHAnsi" w:cstheme="majorHAnsi"/>
                <w:szCs w:val="22"/>
              </w:rPr>
              <w:t>s</w:t>
            </w:r>
            <w:r w:rsidR="008D5423" w:rsidRPr="000D6A5D">
              <w:rPr>
                <w:rFonts w:asciiTheme="majorHAnsi" w:eastAsia="MS Mincho" w:hAnsiTheme="majorHAnsi" w:cstheme="majorHAnsi"/>
                <w:szCs w:val="22"/>
              </w:rPr>
              <w:t>tate</w:t>
            </w:r>
            <w:r w:rsidRPr="000D6A5D">
              <w:rPr>
                <w:rFonts w:asciiTheme="majorHAnsi" w:eastAsia="MS Mincho" w:hAnsiTheme="majorHAnsi" w:cstheme="majorHAnsi"/>
                <w:szCs w:val="22"/>
              </w:rPr>
              <w:t xml:space="preserve"> or </w:t>
            </w:r>
            <w:r w:rsidR="00EC6835" w:rsidRPr="000D6A5D">
              <w:rPr>
                <w:rFonts w:asciiTheme="majorHAnsi" w:eastAsia="MS Mincho" w:hAnsiTheme="majorHAnsi" w:cstheme="majorHAnsi"/>
                <w:szCs w:val="22"/>
              </w:rPr>
              <w:t>f</w:t>
            </w:r>
            <w:r w:rsidR="008D5423" w:rsidRPr="000D6A5D">
              <w:rPr>
                <w:rFonts w:asciiTheme="majorHAnsi" w:eastAsia="MS Mincho" w:hAnsiTheme="majorHAnsi" w:cstheme="majorHAnsi"/>
                <w:szCs w:val="22"/>
              </w:rPr>
              <w:t>ederal</w:t>
            </w:r>
            <w:r w:rsidRPr="000D6A5D">
              <w:rPr>
                <w:rFonts w:asciiTheme="majorHAnsi" w:eastAsia="MS Mincho" w:hAnsiTheme="majorHAnsi" w:cstheme="majorHAnsi"/>
                <w:szCs w:val="22"/>
              </w:rPr>
              <w:t xml:space="preserve"> product standards for equivalent lumens or trade ally input if market baseline is more efficient than standards. Potentially make adjustments for non-qualifying equipment that is still available in distributor warehouses.</w:t>
            </w:r>
          </w:p>
        </w:tc>
        <w:tc>
          <w:tcPr>
            <w:tcW w:w="4410" w:type="dxa"/>
          </w:tcPr>
          <w:p w14:paraId="3329F04C"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For new construction, normal replacement, or replace on burnout projects where the baseline replacement system is most likely to be a lighting system that just meets minimum efficiency requirements</w:t>
            </w:r>
          </w:p>
        </w:tc>
      </w:tr>
      <w:tr w:rsidR="00134C51" w:rsidRPr="000D6A5D" w14:paraId="3E3A3AA5" w14:textId="77777777" w:rsidTr="000D6A5D">
        <w:trPr>
          <w:cantSplit/>
        </w:trPr>
        <w:tc>
          <w:tcPr>
            <w:tcW w:w="4945" w:type="dxa"/>
          </w:tcPr>
          <w:p w14:paraId="3E5123DD"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Install lighting loggers in a representative sample of room usage types within a sample of participating buildings. Develop a lighting logger quality</w:t>
            </w:r>
            <w:r w:rsidR="00C86DF5">
              <w:rPr>
                <w:rFonts w:asciiTheme="majorHAnsi" w:eastAsia="MS Mincho" w:hAnsiTheme="majorHAnsi" w:cstheme="majorHAnsi"/>
                <w:szCs w:val="22"/>
              </w:rPr>
              <w:t>-</w:t>
            </w:r>
            <w:r w:rsidRPr="000D6A5D">
              <w:rPr>
                <w:rFonts w:asciiTheme="majorHAnsi" w:eastAsia="MS Mincho" w:hAnsiTheme="majorHAnsi" w:cstheme="majorHAnsi"/>
                <w:szCs w:val="22"/>
              </w:rPr>
              <w:t>control protocol to ensure HOU estimates are accurate.</w:t>
            </w:r>
          </w:p>
        </w:tc>
        <w:tc>
          <w:tcPr>
            <w:tcW w:w="4410" w:type="dxa"/>
          </w:tcPr>
          <w:p w14:paraId="49D9A921"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Evaluations where savings from lighting projects constitute the majority of portfolio savings and no recent studies of lighting HOU have been conducted in available TRMS or recent evaluations</w:t>
            </w:r>
          </w:p>
        </w:tc>
      </w:tr>
    </w:tbl>
    <w:p w14:paraId="5AE895BF" w14:textId="77777777" w:rsidR="008F1CC5" w:rsidRPr="000D6A5D" w:rsidRDefault="008F1CC5" w:rsidP="00AB6C96">
      <w:pPr>
        <w:rPr>
          <w:rFonts w:asciiTheme="majorHAnsi" w:hAnsiTheme="majorHAnsi" w:cstheme="majorHAnsi"/>
          <w:szCs w:val="22"/>
        </w:rPr>
      </w:pPr>
    </w:p>
    <w:p w14:paraId="27C59701" w14:textId="77777777" w:rsidR="008F1CC5" w:rsidRPr="000D6A5D" w:rsidRDefault="008F1CC5" w:rsidP="00AB6C96">
      <w:pPr>
        <w:pStyle w:val="Heading8"/>
        <w:rPr>
          <w:rFonts w:asciiTheme="majorHAnsi" w:hAnsiTheme="majorHAnsi" w:cstheme="majorHAnsi"/>
        </w:rPr>
      </w:pPr>
      <w:r w:rsidRPr="000D6A5D">
        <w:rPr>
          <w:rFonts w:asciiTheme="majorHAnsi" w:hAnsiTheme="majorHAnsi" w:cstheme="majorHAnsi"/>
        </w:rPr>
        <w:t>Relevant Protocols for readers interested in more detailed information</w:t>
      </w:r>
    </w:p>
    <w:p w14:paraId="623EDA4D" w14:textId="77777777" w:rsidR="00134C51" w:rsidRPr="000D6A5D" w:rsidRDefault="00134C51" w:rsidP="00703A52">
      <w:pPr>
        <w:pStyle w:val="ListParagraph"/>
        <w:numPr>
          <w:ilvl w:val="0"/>
          <w:numId w:val="233"/>
        </w:numPr>
        <w:contextualSpacing w:val="0"/>
        <w:rPr>
          <w:rFonts w:asciiTheme="majorHAnsi" w:hAnsiTheme="majorHAnsi" w:cstheme="majorHAnsi"/>
          <w:szCs w:val="22"/>
        </w:rPr>
      </w:pPr>
      <w:r w:rsidRPr="000D6A5D">
        <w:rPr>
          <w:rFonts w:asciiTheme="majorHAnsi" w:eastAsia="MS Mincho" w:hAnsiTheme="majorHAnsi" w:cstheme="majorHAnsi"/>
          <w:szCs w:val="22"/>
        </w:rPr>
        <w:t>Uniform Methods Project,</w:t>
      </w:r>
      <w:r w:rsidR="00896317" w:rsidRPr="000D6A5D">
        <w:rPr>
          <w:rFonts w:asciiTheme="majorHAnsi" w:eastAsia="MS Mincho" w:hAnsiTheme="majorHAnsi" w:cstheme="majorHAnsi"/>
          <w:szCs w:val="22"/>
        </w:rPr>
        <w:t xml:space="preserve"> </w:t>
      </w:r>
      <w:r w:rsidR="00CA0243" w:rsidRPr="000D6A5D">
        <w:rPr>
          <w:rFonts w:asciiTheme="majorHAnsi" w:eastAsia="MS Mincho" w:hAnsiTheme="majorHAnsi" w:cstheme="majorHAnsi"/>
          <w:szCs w:val="22"/>
        </w:rPr>
        <w:t xml:space="preserve">Chapter 2: </w:t>
      </w:r>
      <w:r w:rsidRPr="000D6A5D">
        <w:rPr>
          <w:rFonts w:asciiTheme="majorHAnsi" w:eastAsia="MS Mincho" w:hAnsiTheme="majorHAnsi" w:cstheme="majorHAnsi"/>
          <w:szCs w:val="22"/>
        </w:rPr>
        <w:t xml:space="preserve">Commercial and Industrial Lighting Evaluation Protocol (April 2013) </w:t>
      </w:r>
    </w:p>
    <w:p w14:paraId="2049AD1E" w14:textId="77777777" w:rsidR="00134C51" w:rsidRPr="000D6A5D" w:rsidRDefault="00134C51" w:rsidP="00703A52">
      <w:pPr>
        <w:pStyle w:val="ListParagraph"/>
        <w:numPr>
          <w:ilvl w:val="0"/>
          <w:numId w:val="233"/>
        </w:numPr>
        <w:contextualSpacing w:val="0"/>
        <w:rPr>
          <w:rFonts w:asciiTheme="majorHAnsi" w:hAnsiTheme="majorHAnsi" w:cstheme="majorHAnsi"/>
          <w:szCs w:val="22"/>
        </w:rPr>
      </w:pPr>
      <w:r w:rsidRPr="00703A52">
        <w:rPr>
          <w:rFonts w:asciiTheme="majorHAnsi" w:eastAsia="MS Mincho" w:hAnsiTheme="majorHAnsi" w:cstheme="majorHAnsi"/>
          <w:szCs w:val="22"/>
        </w:rPr>
        <w:t>California</w:t>
      </w:r>
      <w:r w:rsidRPr="000D6A5D">
        <w:rPr>
          <w:rFonts w:asciiTheme="majorHAnsi" w:hAnsiTheme="majorHAnsi" w:cstheme="majorHAnsi"/>
          <w:szCs w:val="22"/>
        </w:rPr>
        <w:t xml:space="preserve"> Public Utilities Commission (CPUC). (2008). </w:t>
      </w:r>
      <w:r w:rsidR="00922093" w:rsidRPr="000D6A5D">
        <w:rPr>
          <w:rStyle w:val="Hyperlink"/>
          <w:rFonts w:asciiTheme="majorHAnsi" w:hAnsiTheme="majorHAnsi" w:cstheme="majorHAnsi"/>
          <w:szCs w:val="22"/>
        </w:rPr>
        <w:t>http://</w:t>
      </w:r>
      <w:r w:rsidRPr="000D6A5D">
        <w:rPr>
          <w:rStyle w:val="Hyperlink"/>
          <w:rFonts w:asciiTheme="majorHAnsi" w:hAnsiTheme="majorHAnsi" w:cstheme="majorHAnsi"/>
          <w:szCs w:val="22"/>
        </w:rPr>
        <w:t>www.deeresources.com</w:t>
      </w:r>
      <w:r w:rsidRPr="000D6A5D">
        <w:rPr>
          <w:rFonts w:asciiTheme="majorHAnsi" w:hAnsiTheme="majorHAnsi" w:cstheme="majorHAnsi"/>
          <w:szCs w:val="22"/>
        </w:rPr>
        <w:t xml:space="preserve">. </w:t>
      </w:r>
    </w:p>
    <w:p w14:paraId="45831604" w14:textId="77777777" w:rsidR="00134C51" w:rsidRPr="000D6A5D" w:rsidRDefault="00134C51" w:rsidP="00703A52">
      <w:pPr>
        <w:pStyle w:val="ListParagraph"/>
        <w:numPr>
          <w:ilvl w:val="0"/>
          <w:numId w:val="233"/>
        </w:numPr>
        <w:contextualSpacing w:val="0"/>
        <w:rPr>
          <w:rFonts w:asciiTheme="majorHAnsi" w:hAnsiTheme="majorHAnsi" w:cstheme="majorHAnsi"/>
          <w:szCs w:val="22"/>
        </w:rPr>
      </w:pPr>
      <w:r w:rsidRPr="00703A52">
        <w:rPr>
          <w:rFonts w:asciiTheme="majorHAnsi" w:eastAsia="MS Mincho" w:hAnsiTheme="majorHAnsi" w:cstheme="majorHAnsi"/>
          <w:szCs w:val="22"/>
        </w:rPr>
        <w:t>Federal</w:t>
      </w:r>
      <w:r w:rsidRPr="000D6A5D">
        <w:rPr>
          <w:rFonts w:asciiTheme="majorHAnsi" w:hAnsiTheme="majorHAnsi" w:cstheme="majorHAnsi"/>
          <w:szCs w:val="22"/>
        </w:rPr>
        <w:t xml:space="preserve"> Energy Management Program (FEMP). (2008). M&amp;V Guidelines: Measurement and Verification for Federal Energy Projects Version 3.0. </w:t>
      </w:r>
      <w:hyperlink r:id="rId41" w:history="1">
        <w:r w:rsidRPr="000D6A5D">
          <w:rPr>
            <w:rStyle w:val="Hyperlink"/>
            <w:rFonts w:asciiTheme="majorHAnsi" w:hAnsiTheme="majorHAnsi" w:cstheme="majorHAnsi"/>
            <w:szCs w:val="22"/>
          </w:rPr>
          <w:t>http://www1.eere.energy.gov/femp/pdfs/mv_guidelines.pdf</w:t>
        </w:r>
      </w:hyperlink>
    </w:p>
    <w:p w14:paraId="50F0612F" w14:textId="77777777" w:rsidR="00134C51" w:rsidRDefault="00134C51" w:rsidP="00703A52">
      <w:pPr>
        <w:pStyle w:val="ListParagraph"/>
        <w:numPr>
          <w:ilvl w:val="0"/>
          <w:numId w:val="233"/>
        </w:numPr>
        <w:contextualSpacing w:val="0"/>
        <w:rPr>
          <w:rFonts w:asciiTheme="majorHAnsi" w:hAnsiTheme="majorHAnsi" w:cstheme="majorHAnsi"/>
          <w:szCs w:val="22"/>
        </w:rPr>
      </w:pPr>
      <w:r w:rsidRPr="00703A52">
        <w:rPr>
          <w:rFonts w:asciiTheme="majorHAnsi" w:eastAsia="MS Mincho" w:hAnsiTheme="majorHAnsi" w:cstheme="majorHAnsi"/>
          <w:szCs w:val="22"/>
        </w:rPr>
        <w:t>Massachusetts</w:t>
      </w:r>
      <w:r w:rsidRPr="000D6A5D">
        <w:rPr>
          <w:rFonts w:asciiTheme="majorHAnsi" w:hAnsiTheme="majorHAnsi" w:cstheme="majorHAnsi"/>
          <w:szCs w:val="22"/>
        </w:rPr>
        <w:t xml:space="preserve"> Program Administrators. (October 2011). Massachusetts Technical Reference Manual for Estimating Savings from Energy Efficiency Measures 2012 Program Year–Plan Version. </w:t>
      </w:r>
      <w:hyperlink r:id="rId42" w:history="1">
        <w:r w:rsidRPr="000D6A5D">
          <w:rPr>
            <w:rStyle w:val="Hyperlink"/>
            <w:rFonts w:asciiTheme="majorHAnsi" w:hAnsiTheme="majorHAnsi" w:cstheme="majorHAnsi"/>
            <w:szCs w:val="22"/>
          </w:rPr>
          <w:t>www.masssave.com</w:t>
        </w:r>
      </w:hyperlink>
      <w:r w:rsidRPr="000D6A5D">
        <w:rPr>
          <w:rFonts w:asciiTheme="majorHAnsi" w:hAnsiTheme="majorHAnsi" w:cstheme="majorHAnsi"/>
          <w:szCs w:val="22"/>
        </w:rPr>
        <w:t>.</w:t>
      </w:r>
    </w:p>
    <w:p w14:paraId="30CD17B9" w14:textId="77777777" w:rsidR="00AB69BE" w:rsidRDefault="00AB69BE" w:rsidP="00703A52">
      <w:pPr>
        <w:rPr>
          <w:rFonts w:cstheme="majorHAnsi"/>
        </w:rPr>
      </w:pPr>
      <w:bookmarkStart w:id="738" w:name="_Toc292140842"/>
    </w:p>
    <w:p w14:paraId="4713F145" w14:textId="77777777" w:rsidR="008F1CC5" w:rsidRPr="00AB69BE" w:rsidRDefault="008F1CC5" w:rsidP="000A20EF">
      <w:pPr>
        <w:pStyle w:val="Heading7"/>
        <w:rPr>
          <w:rFonts w:cstheme="majorHAnsi"/>
        </w:rPr>
      </w:pPr>
      <w:r w:rsidRPr="00AB69BE">
        <w:rPr>
          <w:rFonts w:cstheme="majorHAnsi"/>
        </w:rPr>
        <w:lastRenderedPageBreak/>
        <w:t>Commercial Chiller Systems</w:t>
      </w:r>
      <w:bookmarkEnd w:id="738"/>
    </w:p>
    <w:p w14:paraId="631BAE78" w14:textId="77777777" w:rsidR="008F1CC5" w:rsidRPr="000D6A5D" w:rsidRDefault="008F1CC5" w:rsidP="00AB6C96">
      <w:pPr>
        <w:pStyle w:val="Heading8"/>
        <w:rPr>
          <w:rFonts w:asciiTheme="majorHAnsi" w:eastAsia="MS Mincho" w:hAnsiTheme="majorHAnsi" w:cstheme="majorHAnsi"/>
        </w:rPr>
      </w:pPr>
      <w:r w:rsidRPr="000D6A5D">
        <w:rPr>
          <w:rFonts w:asciiTheme="majorHAnsi" w:hAnsiTheme="majorHAnsi" w:cstheme="majorHAnsi"/>
        </w:rPr>
        <w:t>Definition</w:t>
      </w:r>
      <w:r w:rsidRPr="000D6A5D">
        <w:rPr>
          <w:rFonts w:asciiTheme="majorHAnsi" w:eastAsia="MS Mincho" w:hAnsiTheme="majorHAnsi" w:cstheme="majorHAnsi"/>
        </w:rPr>
        <w:t xml:space="preserve"> </w:t>
      </w:r>
    </w:p>
    <w:p w14:paraId="38011998" w14:textId="77777777" w:rsidR="00134C51" w:rsidRPr="000D6A5D" w:rsidRDefault="00134C51" w:rsidP="00AB6C96">
      <w:pPr>
        <w:pStyle w:val="BodyText"/>
        <w:widowControl/>
        <w:rPr>
          <w:rFonts w:asciiTheme="majorHAnsi" w:eastAsia="MS Mincho" w:hAnsiTheme="majorHAnsi" w:cstheme="majorHAnsi"/>
          <w:szCs w:val="22"/>
        </w:rPr>
      </w:pPr>
      <w:r w:rsidRPr="000D6A5D">
        <w:rPr>
          <w:rFonts w:asciiTheme="majorHAnsi" w:eastAsia="MS Mincho" w:hAnsiTheme="majorHAnsi" w:cstheme="majorHAnsi"/>
          <w:szCs w:val="22"/>
        </w:rPr>
        <w:t xml:space="preserve">These projects involve installing or retrofitting electricity consuming chillers and/or associated auxiliary equipment. Chillers provide mechanical cooling for commercial, institutional, multiunit residential, and industrial facilities. Cooling may be required for facility heating, ventilation, and air conditioning (HVAC) systems or for process cooling loads (e.g., data centers, manufacturing process cooling). </w:t>
      </w:r>
    </w:p>
    <w:p w14:paraId="1D3FBA8E" w14:textId="77777777" w:rsidR="008F1CC5" w:rsidRPr="000D6A5D" w:rsidRDefault="008F1CC5" w:rsidP="00AB6C96">
      <w:pPr>
        <w:pStyle w:val="Heading8"/>
        <w:rPr>
          <w:rFonts w:asciiTheme="majorHAnsi" w:hAnsiTheme="majorHAnsi" w:cstheme="majorHAnsi"/>
        </w:rPr>
      </w:pPr>
      <w:r w:rsidRPr="000D6A5D">
        <w:rPr>
          <w:rFonts w:asciiTheme="majorHAnsi" w:hAnsiTheme="majorHAnsi" w:cstheme="majorHAnsi"/>
        </w:rPr>
        <w:t xml:space="preserve">Key </w:t>
      </w:r>
      <w:r w:rsidR="00134C51" w:rsidRPr="000D6A5D">
        <w:rPr>
          <w:rFonts w:asciiTheme="majorHAnsi" w:hAnsiTheme="majorHAnsi" w:cstheme="majorHAnsi"/>
        </w:rPr>
        <w:t xml:space="preserve">Challenges in </w:t>
      </w:r>
      <w:r w:rsidR="00AB64D1" w:rsidRPr="000D6A5D">
        <w:rPr>
          <w:rFonts w:asciiTheme="majorHAnsi" w:hAnsiTheme="majorHAnsi" w:cstheme="majorHAnsi"/>
        </w:rPr>
        <w:t xml:space="preserve">Quantifying </w:t>
      </w:r>
      <w:r w:rsidR="00134C51" w:rsidRPr="000D6A5D">
        <w:rPr>
          <w:rFonts w:asciiTheme="majorHAnsi" w:hAnsiTheme="majorHAnsi" w:cstheme="majorHAnsi"/>
        </w:rPr>
        <w:t>Energy Savings</w:t>
      </w:r>
    </w:p>
    <w:p w14:paraId="30E4A75D" w14:textId="77777777" w:rsidR="00134C51" w:rsidRPr="000D6A5D" w:rsidRDefault="00134C51" w:rsidP="00AB6C96">
      <w:pPr>
        <w:pStyle w:val="BodyText"/>
        <w:widowControl/>
        <w:rPr>
          <w:rFonts w:asciiTheme="majorHAnsi" w:hAnsiTheme="majorHAnsi" w:cstheme="majorHAnsi"/>
          <w:szCs w:val="22"/>
        </w:rPr>
      </w:pPr>
      <w:r w:rsidRPr="000D6A5D">
        <w:rPr>
          <w:rFonts w:asciiTheme="majorHAnsi" w:eastAsia="MS Mincho" w:hAnsiTheme="majorHAnsi" w:cstheme="majorHAnsi"/>
          <w:szCs w:val="22"/>
        </w:rPr>
        <w:t>Key measurement challenges includ</w:t>
      </w:r>
      <w:r w:rsidRPr="000D6A5D">
        <w:rPr>
          <w:rFonts w:asciiTheme="majorHAnsi" w:hAnsiTheme="majorHAnsi" w:cstheme="majorHAnsi"/>
          <w:szCs w:val="22"/>
        </w:rPr>
        <w:t>e: (1) Determining annual</w:t>
      </w:r>
      <w:r w:rsidR="00CA0243" w:rsidRPr="000D6A5D">
        <w:rPr>
          <w:rFonts w:asciiTheme="majorHAnsi" w:hAnsiTheme="majorHAnsi" w:cstheme="majorHAnsi"/>
          <w:szCs w:val="22"/>
        </w:rPr>
        <w:t xml:space="preserve"> </w:t>
      </w:r>
      <w:r w:rsidRPr="000D6A5D">
        <w:rPr>
          <w:rFonts w:asciiTheme="majorHAnsi" w:hAnsiTheme="majorHAnsi" w:cstheme="majorHAnsi"/>
          <w:szCs w:val="22"/>
        </w:rPr>
        <w:t>electricity consumption of the existing chiller system</w:t>
      </w:r>
      <w:r w:rsidR="00023F3F" w:rsidRPr="000D6A5D">
        <w:rPr>
          <w:rFonts w:asciiTheme="majorHAnsi" w:hAnsiTheme="majorHAnsi" w:cstheme="majorHAnsi"/>
          <w:szCs w:val="22"/>
        </w:rPr>
        <w:t xml:space="preserve">, </w:t>
      </w:r>
      <w:r w:rsidRPr="000D6A5D">
        <w:rPr>
          <w:rFonts w:asciiTheme="majorHAnsi" w:hAnsiTheme="majorHAnsi" w:cstheme="majorHAnsi"/>
          <w:szCs w:val="22"/>
        </w:rPr>
        <w:t>(2) Determining the length of the appropriate monitoring periods for collection of system data</w:t>
      </w:r>
      <w:r w:rsidR="00023F3F" w:rsidRPr="000D6A5D">
        <w:rPr>
          <w:rFonts w:asciiTheme="majorHAnsi" w:hAnsiTheme="majorHAnsi" w:cstheme="majorHAnsi"/>
          <w:szCs w:val="22"/>
        </w:rPr>
        <w:t>, and</w:t>
      </w:r>
      <w:r w:rsidRPr="000D6A5D">
        <w:rPr>
          <w:rFonts w:asciiTheme="majorHAnsi" w:hAnsiTheme="majorHAnsi" w:cstheme="majorHAnsi"/>
          <w:szCs w:val="22"/>
        </w:rPr>
        <w:t xml:space="preserve"> (3) Normalizing savings to performance period independent variables such as weather and changes in occupancy</w:t>
      </w:r>
      <w:r w:rsidR="00023F3F" w:rsidRPr="000D6A5D">
        <w:rPr>
          <w:rFonts w:asciiTheme="majorHAnsi" w:hAnsiTheme="majorHAnsi" w:cstheme="majorHAnsi"/>
          <w:szCs w:val="22"/>
        </w:rPr>
        <w:t>.</w:t>
      </w:r>
    </w:p>
    <w:p w14:paraId="4EF56317" w14:textId="77777777" w:rsidR="00134C51" w:rsidRPr="000D6A5D" w:rsidRDefault="00134C51" w:rsidP="00AB6C96">
      <w:pPr>
        <w:rPr>
          <w:rFonts w:asciiTheme="majorHAnsi" w:eastAsia="MS Mincho" w:hAnsiTheme="majorHAnsi" w:cstheme="majorHAnsi"/>
          <w:b/>
          <w:szCs w:val="22"/>
        </w:rPr>
      </w:pPr>
      <w:r w:rsidRPr="000D6A5D">
        <w:rPr>
          <w:rFonts w:asciiTheme="majorHAnsi" w:eastAsia="MS Mincho" w:hAnsiTheme="majorHAnsi" w:cstheme="majorHAnsi"/>
          <w:b/>
          <w:szCs w:val="22"/>
        </w:rPr>
        <w:t>Baseline Energy Consumption</w:t>
      </w:r>
    </w:p>
    <w:p w14:paraId="36E74E0F" w14:textId="77777777" w:rsidR="008F1CC5" w:rsidRPr="000D6A5D" w:rsidRDefault="00134C51" w:rsidP="00AB6C96">
      <w:pPr>
        <w:pStyle w:val="BodyText"/>
        <w:widowControl/>
        <w:rPr>
          <w:rFonts w:asciiTheme="majorHAnsi" w:eastAsia="MS Mincho" w:hAnsiTheme="majorHAnsi" w:cstheme="majorHAnsi"/>
          <w:szCs w:val="22"/>
        </w:rPr>
      </w:pPr>
      <w:r w:rsidRPr="000D6A5D">
        <w:rPr>
          <w:rFonts w:asciiTheme="majorHAnsi" w:eastAsia="MS Mincho" w:hAnsiTheme="majorHAnsi" w:cstheme="majorHAnsi"/>
          <w:szCs w:val="22"/>
        </w:rPr>
        <w:t>Methods for determining baseline electricity consumption of Chiller Systems are outlined in the table below.</w:t>
      </w:r>
    </w:p>
    <w:tbl>
      <w:tblPr>
        <w:tblStyle w:val="TableGrid"/>
        <w:tblW w:w="9355" w:type="dxa"/>
        <w:tblCellMar>
          <w:top w:w="58" w:type="dxa"/>
          <w:left w:w="58" w:type="dxa"/>
          <w:bottom w:w="58" w:type="dxa"/>
          <w:right w:w="58" w:type="dxa"/>
        </w:tblCellMar>
        <w:tblLook w:val="04A0" w:firstRow="1" w:lastRow="0" w:firstColumn="1" w:lastColumn="0" w:noHBand="0" w:noVBand="1"/>
      </w:tblPr>
      <w:tblGrid>
        <w:gridCol w:w="4945"/>
        <w:gridCol w:w="4410"/>
      </w:tblGrid>
      <w:tr w:rsidR="008F1CC5" w:rsidRPr="000D6A5D" w14:paraId="2DA008FB" w14:textId="77777777" w:rsidTr="000D6A5D">
        <w:trPr>
          <w:cantSplit/>
          <w:tblHeader/>
        </w:trPr>
        <w:tc>
          <w:tcPr>
            <w:tcW w:w="4945" w:type="dxa"/>
            <w:shd w:val="clear" w:color="auto" w:fill="D1E1FF"/>
          </w:tcPr>
          <w:p w14:paraId="62AA7415" w14:textId="77777777" w:rsidR="008F1CC5" w:rsidRPr="000D6A5D" w:rsidRDefault="00AB69BE" w:rsidP="00703A52">
            <w:pPr>
              <w:keepNext/>
              <w:rPr>
                <w:rFonts w:asciiTheme="majorHAnsi" w:eastAsia="MS Mincho" w:hAnsiTheme="majorHAnsi" w:cstheme="majorHAnsi"/>
                <w:b/>
                <w:szCs w:val="22"/>
              </w:rPr>
            </w:pPr>
            <w:r>
              <w:rPr>
                <w:rFonts w:asciiTheme="majorHAnsi" w:eastAsia="MS Mincho" w:hAnsiTheme="majorHAnsi" w:cstheme="majorHAnsi"/>
                <w:b/>
                <w:szCs w:val="22"/>
              </w:rPr>
              <w:t>M&amp;V</w:t>
            </w:r>
            <w:r w:rsidRPr="000D6A5D">
              <w:rPr>
                <w:rFonts w:asciiTheme="majorHAnsi" w:eastAsia="MS Mincho" w:hAnsiTheme="majorHAnsi" w:cstheme="majorHAnsi"/>
                <w:b/>
                <w:szCs w:val="22"/>
              </w:rPr>
              <w:t xml:space="preserve"> </w:t>
            </w:r>
            <w:r>
              <w:rPr>
                <w:rFonts w:asciiTheme="majorHAnsi" w:eastAsia="MS Mincho" w:hAnsiTheme="majorHAnsi" w:cstheme="majorHAnsi"/>
                <w:b/>
                <w:szCs w:val="22"/>
              </w:rPr>
              <w:t>Approach</w:t>
            </w:r>
          </w:p>
        </w:tc>
        <w:tc>
          <w:tcPr>
            <w:tcW w:w="4410" w:type="dxa"/>
            <w:shd w:val="clear" w:color="auto" w:fill="D1E1FF"/>
          </w:tcPr>
          <w:p w14:paraId="40343347" w14:textId="77777777" w:rsidR="008F1CC5" w:rsidRPr="000D6A5D" w:rsidRDefault="008F1CC5" w:rsidP="00AB6C96">
            <w:pPr>
              <w:rPr>
                <w:rFonts w:asciiTheme="majorHAnsi" w:eastAsia="MS Mincho" w:hAnsiTheme="majorHAnsi" w:cstheme="majorHAnsi"/>
                <w:b/>
                <w:szCs w:val="22"/>
              </w:rPr>
            </w:pPr>
            <w:r w:rsidRPr="000D6A5D">
              <w:rPr>
                <w:rFonts w:asciiTheme="majorHAnsi" w:eastAsia="MS Mincho" w:hAnsiTheme="majorHAnsi" w:cstheme="majorHAnsi"/>
                <w:b/>
                <w:szCs w:val="22"/>
              </w:rPr>
              <w:t>Typical Application</w:t>
            </w:r>
          </w:p>
        </w:tc>
      </w:tr>
      <w:tr w:rsidR="00134C51" w:rsidRPr="000D6A5D" w14:paraId="5788F03A" w14:textId="77777777" w:rsidTr="000D6A5D">
        <w:trPr>
          <w:cantSplit/>
        </w:trPr>
        <w:tc>
          <w:tcPr>
            <w:tcW w:w="4945" w:type="dxa"/>
          </w:tcPr>
          <w:p w14:paraId="6F854505" w14:textId="77777777" w:rsidR="00AB69BE" w:rsidRPr="00AB69BE" w:rsidRDefault="00134C51" w:rsidP="00AB69BE">
            <w:pPr>
              <w:rPr>
                <w:rFonts w:asciiTheme="majorHAnsi" w:eastAsia="MS Mincho" w:hAnsiTheme="majorHAnsi" w:cstheme="majorHAnsi"/>
                <w:i/>
                <w:szCs w:val="22"/>
              </w:rPr>
            </w:pPr>
            <w:r w:rsidRPr="00AB69BE">
              <w:rPr>
                <w:rFonts w:asciiTheme="majorHAnsi" w:eastAsia="MS Mincho" w:hAnsiTheme="majorHAnsi" w:cstheme="majorHAnsi"/>
                <w:i/>
                <w:szCs w:val="22"/>
              </w:rPr>
              <w:t>IPMVP Option A</w:t>
            </w:r>
            <w:r w:rsidR="000D6A5D" w:rsidRPr="00AB69BE">
              <w:rPr>
                <w:rFonts w:asciiTheme="majorHAnsi" w:eastAsia="MS Mincho" w:hAnsiTheme="majorHAnsi" w:cstheme="majorHAnsi"/>
                <w:i/>
                <w:szCs w:val="22"/>
              </w:rPr>
              <w:t xml:space="preserve"> – R</w:t>
            </w:r>
            <w:r w:rsidR="00AB69BE" w:rsidRPr="00AB69BE">
              <w:rPr>
                <w:rFonts w:asciiTheme="majorHAnsi" w:eastAsia="MS Mincho" w:hAnsiTheme="majorHAnsi" w:cstheme="majorHAnsi"/>
                <w:i/>
                <w:szCs w:val="22"/>
              </w:rPr>
              <w:t>etrofit Isolation</w:t>
            </w:r>
          </w:p>
          <w:p w14:paraId="66B5C7BA" w14:textId="77777777" w:rsidR="00134C51" w:rsidRPr="000D6A5D" w:rsidRDefault="00134C51" w:rsidP="00AB69BE">
            <w:pPr>
              <w:rPr>
                <w:rFonts w:asciiTheme="majorHAnsi" w:eastAsia="MS Mincho" w:hAnsiTheme="majorHAnsi" w:cstheme="majorHAnsi"/>
                <w:szCs w:val="22"/>
              </w:rPr>
            </w:pPr>
            <w:r w:rsidRPr="000D6A5D">
              <w:rPr>
                <w:rFonts w:asciiTheme="majorHAnsi" w:eastAsia="MS Mincho" w:hAnsiTheme="majorHAnsi" w:cstheme="majorHAnsi"/>
                <w:szCs w:val="22"/>
              </w:rPr>
              <w:t xml:space="preserve">Key </w:t>
            </w:r>
            <w:r w:rsidR="00AB69BE">
              <w:rPr>
                <w:rFonts w:asciiTheme="majorHAnsi" w:eastAsia="MS Mincho" w:hAnsiTheme="majorHAnsi" w:cstheme="majorHAnsi"/>
                <w:szCs w:val="22"/>
              </w:rPr>
              <w:t>p</w:t>
            </w:r>
            <w:r w:rsidRPr="000D6A5D">
              <w:rPr>
                <w:rFonts w:asciiTheme="majorHAnsi" w:eastAsia="MS Mincho" w:hAnsiTheme="majorHAnsi" w:cstheme="majorHAnsi"/>
                <w:szCs w:val="22"/>
              </w:rPr>
              <w:t xml:space="preserve">arameter </w:t>
            </w:r>
            <w:r w:rsidR="00AB69BE">
              <w:rPr>
                <w:rFonts w:asciiTheme="majorHAnsi" w:eastAsia="MS Mincho" w:hAnsiTheme="majorHAnsi" w:cstheme="majorHAnsi"/>
                <w:szCs w:val="22"/>
              </w:rPr>
              <w:t>m</w:t>
            </w:r>
            <w:r w:rsidRPr="000D6A5D">
              <w:rPr>
                <w:rFonts w:asciiTheme="majorHAnsi" w:eastAsia="MS Mincho" w:hAnsiTheme="majorHAnsi" w:cstheme="majorHAnsi"/>
                <w:szCs w:val="22"/>
              </w:rPr>
              <w:t>easurements include cooling load, outside air temperature</w:t>
            </w:r>
            <w:r w:rsidR="00AB69BE">
              <w:rPr>
                <w:rFonts w:asciiTheme="majorHAnsi" w:eastAsia="MS Mincho" w:hAnsiTheme="majorHAnsi" w:cstheme="majorHAnsi"/>
                <w:szCs w:val="22"/>
              </w:rPr>
              <w:t xml:space="preserve"> and part-</w:t>
            </w:r>
            <w:r w:rsidRPr="000D6A5D">
              <w:rPr>
                <w:rFonts w:asciiTheme="majorHAnsi" w:eastAsia="MS Mincho" w:hAnsiTheme="majorHAnsi" w:cstheme="majorHAnsi"/>
                <w:szCs w:val="22"/>
              </w:rPr>
              <w:t>load efficiency factors from manufacturer testing</w:t>
            </w:r>
          </w:p>
        </w:tc>
        <w:tc>
          <w:tcPr>
            <w:tcW w:w="4410" w:type="dxa"/>
          </w:tcPr>
          <w:p w14:paraId="66BC0E99"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Project level evaluation where expected variation in occupancy and chiller loads is likely to be relatively low over a typical year</w:t>
            </w:r>
          </w:p>
        </w:tc>
      </w:tr>
      <w:tr w:rsidR="00134C51" w:rsidRPr="000D6A5D" w14:paraId="2B5AB17D" w14:textId="77777777" w:rsidTr="000D6A5D">
        <w:trPr>
          <w:cantSplit/>
        </w:trPr>
        <w:tc>
          <w:tcPr>
            <w:tcW w:w="4945" w:type="dxa"/>
          </w:tcPr>
          <w:p w14:paraId="3B74C972" w14:textId="77777777" w:rsidR="00AB69BE" w:rsidRPr="00AB69BE" w:rsidRDefault="00134C51" w:rsidP="00AB69BE">
            <w:pPr>
              <w:rPr>
                <w:rFonts w:asciiTheme="majorHAnsi" w:eastAsia="MS Mincho" w:hAnsiTheme="majorHAnsi" w:cstheme="majorHAnsi"/>
                <w:i/>
                <w:szCs w:val="22"/>
              </w:rPr>
            </w:pPr>
            <w:r w:rsidRPr="00AB69BE">
              <w:rPr>
                <w:rFonts w:asciiTheme="majorHAnsi" w:eastAsia="MS Mincho" w:hAnsiTheme="majorHAnsi" w:cstheme="majorHAnsi"/>
                <w:i/>
                <w:szCs w:val="22"/>
              </w:rPr>
              <w:t>IPMVP Option C</w:t>
            </w:r>
            <w:r w:rsidR="000D6A5D" w:rsidRPr="00AB69BE">
              <w:rPr>
                <w:rFonts w:asciiTheme="majorHAnsi" w:eastAsia="MS Mincho" w:hAnsiTheme="majorHAnsi" w:cstheme="majorHAnsi"/>
                <w:i/>
                <w:szCs w:val="22"/>
              </w:rPr>
              <w:t xml:space="preserve"> –</w:t>
            </w:r>
            <w:r w:rsidRPr="00AB69BE">
              <w:rPr>
                <w:rFonts w:asciiTheme="majorHAnsi" w:eastAsia="MS Mincho" w:hAnsiTheme="majorHAnsi" w:cstheme="majorHAnsi"/>
                <w:i/>
                <w:szCs w:val="22"/>
              </w:rPr>
              <w:t xml:space="preserve"> Whole </w:t>
            </w:r>
            <w:r w:rsidR="00AB69BE" w:rsidRPr="00AB69BE">
              <w:rPr>
                <w:rFonts w:asciiTheme="majorHAnsi" w:eastAsia="MS Mincho" w:hAnsiTheme="majorHAnsi" w:cstheme="majorHAnsi"/>
                <w:i/>
                <w:szCs w:val="22"/>
              </w:rPr>
              <w:t>B</w:t>
            </w:r>
            <w:r w:rsidRPr="00AB69BE">
              <w:rPr>
                <w:rFonts w:asciiTheme="majorHAnsi" w:eastAsia="MS Mincho" w:hAnsiTheme="majorHAnsi" w:cstheme="majorHAnsi"/>
                <w:i/>
                <w:szCs w:val="22"/>
              </w:rPr>
              <w:t xml:space="preserve">uilding </w:t>
            </w:r>
            <w:r w:rsidR="00AB69BE" w:rsidRPr="00AB69BE">
              <w:rPr>
                <w:rFonts w:asciiTheme="majorHAnsi" w:eastAsia="MS Mincho" w:hAnsiTheme="majorHAnsi" w:cstheme="majorHAnsi"/>
                <w:i/>
                <w:szCs w:val="22"/>
              </w:rPr>
              <w:t>B</w:t>
            </w:r>
            <w:r w:rsidRPr="00AB69BE">
              <w:rPr>
                <w:rFonts w:asciiTheme="majorHAnsi" w:eastAsia="MS Mincho" w:hAnsiTheme="majorHAnsi" w:cstheme="majorHAnsi"/>
                <w:i/>
                <w:szCs w:val="22"/>
              </w:rPr>
              <w:t xml:space="preserve">illing </w:t>
            </w:r>
            <w:r w:rsidR="00AB69BE" w:rsidRPr="00AB69BE">
              <w:rPr>
                <w:rFonts w:asciiTheme="majorHAnsi" w:eastAsia="MS Mincho" w:hAnsiTheme="majorHAnsi" w:cstheme="majorHAnsi"/>
                <w:i/>
                <w:szCs w:val="22"/>
              </w:rPr>
              <w:t>A</w:t>
            </w:r>
            <w:r w:rsidRPr="00AB69BE">
              <w:rPr>
                <w:rFonts w:asciiTheme="majorHAnsi" w:eastAsia="MS Mincho" w:hAnsiTheme="majorHAnsi" w:cstheme="majorHAnsi"/>
                <w:i/>
                <w:szCs w:val="22"/>
              </w:rPr>
              <w:t xml:space="preserve">nalysis </w:t>
            </w:r>
          </w:p>
          <w:p w14:paraId="0A60F53B" w14:textId="77777777" w:rsidR="00134C51" w:rsidRPr="000D6A5D" w:rsidRDefault="00AB69BE" w:rsidP="00AB69BE">
            <w:pPr>
              <w:rPr>
                <w:rFonts w:asciiTheme="majorHAnsi" w:eastAsia="MS Mincho" w:hAnsiTheme="majorHAnsi" w:cstheme="majorHAnsi"/>
                <w:szCs w:val="22"/>
              </w:rPr>
            </w:pPr>
            <w:r>
              <w:rPr>
                <w:rFonts w:asciiTheme="majorHAnsi" w:eastAsia="MS Mincho" w:hAnsiTheme="majorHAnsi" w:cstheme="majorHAnsi"/>
                <w:szCs w:val="22"/>
              </w:rPr>
              <w:t>P</w:t>
            </w:r>
            <w:r w:rsidR="00134C51" w:rsidRPr="000D6A5D">
              <w:rPr>
                <w:rFonts w:asciiTheme="majorHAnsi" w:eastAsia="MS Mincho" w:hAnsiTheme="majorHAnsi" w:cstheme="majorHAnsi"/>
                <w:szCs w:val="22"/>
              </w:rPr>
              <w:t>re and post installation over at least a year period</w:t>
            </w:r>
          </w:p>
        </w:tc>
        <w:tc>
          <w:tcPr>
            <w:tcW w:w="4410" w:type="dxa"/>
          </w:tcPr>
          <w:p w14:paraId="44AC919B"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For</w:t>
            </w:r>
            <w:r w:rsidR="00896317" w:rsidRPr="000D6A5D">
              <w:rPr>
                <w:rFonts w:asciiTheme="majorHAnsi" w:eastAsia="MS Mincho" w:hAnsiTheme="majorHAnsi" w:cstheme="majorHAnsi"/>
                <w:szCs w:val="22"/>
              </w:rPr>
              <w:t xml:space="preserve"> </w:t>
            </w:r>
            <w:r w:rsidRPr="000D6A5D">
              <w:rPr>
                <w:rFonts w:asciiTheme="majorHAnsi" w:eastAsia="MS Mincho" w:hAnsiTheme="majorHAnsi" w:cstheme="majorHAnsi"/>
                <w:szCs w:val="22"/>
              </w:rPr>
              <w:t>early replacement projects where estimated costs of metering are high and the estimated savings are large compared to normal variations in total building energy usage</w:t>
            </w:r>
          </w:p>
        </w:tc>
      </w:tr>
      <w:tr w:rsidR="00134C51" w:rsidRPr="000D6A5D" w14:paraId="5EDD36F6" w14:textId="77777777" w:rsidTr="000D6A5D">
        <w:trPr>
          <w:cantSplit/>
        </w:trPr>
        <w:tc>
          <w:tcPr>
            <w:tcW w:w="4945" w:type="dxa"/>
          </w:tcPr>
          <w:p w14:paraId="5157DB81" w14:textId="77777777" w:rsidR="00134C51" w:rsidRPr="000D6A5D" w:rsidRDefault="000D6A5D" w:rsidP="00AB69BE">
            <w:pPr>
              <w:rPr>
                <w:rFonts w:asciiTheme="majorHAnsi" w:eastAsia="MS Mincho" w:hAnsiTheme="majorHAnsi" w:cstheme="majorHAnsi"/>
                <w:szCs w:val="22"/>
              </w:rPr>
            </w:pPr>
            <w:r w:rsidRPr="00AB69BE">
              <w:rPr>
                <w:rFonts w:asciiTheme="majorHAnsi" w:eastAsia="MS Mincho" w:hAnsiTheme="majorHAnsi" w:cstheme="majorHAnsi"/>
                <w:i/>
                <w:szCs w:val="22"/>
              </w:rPr>
              <w:t>IPMVP Option D –</w:t>
            </w:r>
            <w:r w:rsidR="00896317" w:rsidRPr="00AB69BE">
              <w:rPr>
                <w:rFonts w:asciiTheme="majorHAnsi" w:eastAsia="MS Mincho" w:hAnsiTheme="majorHAnsi" w:cstheme="majorHAnsi"/>
                <w:i/>
                <w:szCs w:val="22"/>
              </w:rPr>
              <w:t xml:space="preserve"> </w:t>
            </w:r>
            <w:r w:rsidR="00134C51" w:rsidRPr="00AB69BE">
              <w:rPr>
                <w:rFonts w:asciiTheme="majorHAnsi" w:eastAsia="MS Mincho" w:hAnsiTheme="majorHAnsi" w:cstheme="majorHAnsi"/>
                <w:i/>
                <w:szCs w:val="22"/>
              </w:rPr>
              <w:t xml:space="preserve">Calibrated </w:t>
            </w:r>
            <w:r w:rsidR="00AB69BE" w:rsidRPr="00AB69BE">
              <w:rPr>
                <w:rFonts w:asciiTheme="majorHAnsi" w:eastAsia="MS Mincho" w:hAnsiTheme="majorHAnsi" w:cstheme="majorHAnsi"/>
                <w:i/>
                <w:szCs w:val="22"/>
              </w:rPr>
              <w:t>B</w:t>
            </w:r>
            <w:r w:rsidR="00134C51" w:rsidRPr="00AB69BE">
              <w:rPr>
                <w:rFonts w:asciiTheme="majorHAnsi" w:eastAsia="MS Mincho" w:hAnsiTheme="majorHAnsi" w:cstheme="majorHAnsi"/>
                <w:i/>
                <w:szCs w:val="22"/>
              </w:rPr>
              <w:t xml:space="preserve">uilding </w:t>
            </w:r>
            <w:r w:rsidR="00AB69BE" w:rsidRPr="00AB69BE">
              <w:rPr>
                <w:rFonts w:asciiTheme="majorHAnsi" w:eastAsia="MS Mincho" w:hAnsiTheme="majorHAnsi" w:cstheme="majorHAnsi"/>
                <w:i/>
                <w:szCs w:val="22"/>
              </w:rPr>
              <w:t>S</w:t>
            </w:r>
            <w:r w:rsidR="00134C51" w:rsidRPr="00AB69BE">
              <w:rPr>
                <w:rFonts w:asciiTheme="majorHAnsi" w:eastAsia="MS Mincho" w:hAnsiTheme="majorHAnsi" w:cstheme="majorHAnsi"/>
                <w:i/>
                <w:szCs w:val="22"/>
              </w:rPr>
              <w:t>imulation</w:t>
            </w:r>
            <w:r w:rsidR="00AB69BE">
              <w:rPr>
                <w:rFonts w:asciiTheme="majorHAnsi" w:eastAsia="MS Mincho" w:hAnsiTheme="majorHAnsi" w:cstheme="majorHAnsi"/>
                <w:szCs w:val="22"/>
              </w:rPr>
              <w:t xml:space="preserve"> M</w:t>
            </w:r>
            <w:r w:rsidR="00134C51" w:rsidRPr="000D6A5D">
              <w:rPr>
                <w:rFonts w:asciiTheme="majorHAnsi" w:eastAsia="MS Mincho" w:hAnsiTheme="majorHAnsi" w:cstheme="majorHAnsi"/>
                <w:szCs w:val="22"/>
              </w:rPr>
              <w:t>odel</w:t>
            </w:r>
            <w:r w:rsidR="00AB69BE">
              <w:rPr>
                <w:rFonts w:asciiTheme="majorHAnsi" w:eastAsia="MS Mincho" w:hAnsiTheme="majorHAnsi" w:cstheme="majorHAnsi"/>
                <w:szCs w:val="22"/>
              </w:rPr>
              <w:t>ing</w:t>
            </w:r>
            <w:r w:rsidR="00134C51" w:rsidRPr="000D6A5D">
              <w:rPr>
                <w:rFonts w:asciiTheme="majorHAnsi" w:eastAsia="MS Mincho" w:hAnsiTheme="majorHAnsi" w:cstheme="majorHAnsi"/>
                <w:szCs w:val="22"/>
              </w:rPr>
              <w:t xml:space="preserve"> with potential adjustments for impact of new product standards and or changes in occupancy</w:t>
            </w:r>
          </w:p>
        </w:tc>
        <w:tc>
          <w:tcPr>
            <w:tcW w:w="4410" w:type="dxa"/>
          </w:tcPr>
          <w:p w14:paraId="328CCE90"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szCs w:val="22"/>
              </w:rPr>
              <w:t>For replace on burnout or new construction projects where baseline condition is likely to be chiller system that meets the minimum efficiency standards</w:t>
            </w:r>
          </w:p>
        </w:tc>
      </w:tr>
    </w:tbl>
    <w:p w14:paraId="67927499" w14:textId="77777777" w:rsidR="008F1CC5" w:rsidRPr="000D6A5D" w:rsidRDefault="008F1CC5" w:rsidP="00AB6C96">
      <w:pPr>
        <w:rPr>
          <w:rFonts w:asciiTheme="majorHAnsi" w:eastAsia="MS Mincho" w:hAnsiTheme="majorHAnsi" w:cstheme="majorHAnsi"/>
          <w:szCs w:val="22"/>
        </w:rPr>
      </w:pPr>
    </w:p>
    <w:p w14:paraId="78900DBC" w14:textId="77777777" w:rsidR="00134C51" w:rsidRPr="000D6A5D" w:rsidRDefault="00134C51" w:rsidP="00AB6C96">
      <w:pPr>
        <w:pStyle w:val="BodyText"/>
        <w:widowControl/>
        <w:rPr>
          <w:rFonts w:asciiTheme="majorHAnsi" w:eastAsia="MS Mincho" w:hAnsiTheme="majorHAnsi" w:cstheme="majorHAnsi"/>
          <w:szCs w:val="22"/>
        </w:rPr>
      </w:pPr>
      <w:r w:rsidRPr="000D6A5D">
        <w:rPr>
          <w:rFonts w:asciiTheme="majorHAnsi" w:eastAsia="MS Mincho" w:hAnsiTheme="majorHAnsi" w:cstheme="majorHAnsi"/>
          <w:szCs w:val="22"/>
        </w:rPr>
        <w:t>All of the methods above require the evaluator to collect data on the condition of the existing equipment (with the exception of new construction) and make an estimate of the remaining useful life of the equipment for use in developing savings estimates using the dual baseline approach. To support use of existing usage conditions for early replacement projects evaluators must present evidence that the program has likely induced an early replacement of the existing chiller equipment.</w:t>
      </w:r>
      <w:r w:rsidR="00896317" w:rsidRPr="000D6A5D">
        <w:rPr>
          <w:rFonts w:asciiTheme="majorHAnsi" w:eastAsia="MS Mincho" w:hAnsiTheme="majorHAnsi" w:cstheme="majorHAnsi"/>
          <w:szCs w:val="22"/>
        </w:rPr>
        <w:t xml:space="preserve"> </w:t>
      </w:r>
      <w:r w:rsidRPr="000D6A5D">
        <w:rPr>
          <w:rFonts w:asciiTheme="majorHAnsi" w:eastAsia="MS Mincho" w:hAnsiTheme="majorHAnsi" w:cstheme="majorHAnsi"/>
          <w:szCs w:val="22"/>
        </w:rPr>
        <w:t xml:space="preserve">Data sources for condition and remaining useful life of in-situ equipment/systems include interviews with facility managers, equipment logs, inspection of equipment, and manufacturer’s data. </w:t>
      </w:r>
    </w:p>
    <w:p w14:paraId="496BE4AD" w14:textId="77777777" w:rsidR="00134C51" w:rsidRPr="000D6A5D" w:rsidRDefault="00134C51" w:rsidP="00AB6C96">
      <w:pPr>
        <w:rPr>
          <w:rFonts w:asciiTheme="majorHAnsi" w:eastAsia="MS Mincho" w:hAnsiTheme="majorHAnsi" w:cstheme="majorHAnsi"/>
          <w:szCs w:val="22"/>
        </w:rPr>
      </w:pPr>
      <w:r w:rsidRPr="000D6A5D">
        <w:rPr>
          <w:rFonts w:asciiTheme="majorHAnsi" w:eastAsia="MS Mincho" w:hAnsiTheme="majorHAnsi" w:cstheme="majorHAnsi"/>
          <w:b/>
          <w:szCs w:val="22"/>
        </w:rPr>
        <w:t xml:space="preserve">Determining the Length of the Monitoring Period </w:t>
      </w:r>
    </w:p>
    <w:p w14:paraId="4B309298" w14:textId="77777777" w:rsidR="00134C51" w:rsidRPr="000D6A5D" w:rsidRDefault="00134C51" w:rsidP="00AB6C96">
      <w:pPr>
        <w:pStyle w:val="BodyText"/>
        <w:widowControl/>
        <w:rPr>
          <w:rFonts w:asciiTheme="majorHAnsi" w:eastAsia="MS Mincho" w:hAnsiTheme="majorHAnsi" w:cstheme="majorHAnsi"/>
          <w:szCs w:val="22"/>
        </w:rPr>
      </w:pPr>
      <w:r w:rsidRPr="000D6A5D">
        <w:rPr>
          <w:rFonts w:asciiTheme="majorHAnsi" w:eastAsia="MS Mincho" w:hAnsiTheme="majorHAnsi" w:cstheme="majorHAnsi"/>
          <w:szCs w:val="22"/>
        </w:rPr>
        <w:t xml:space="preserve">The frequency and length of the monitoring period (for electricity consumption, cooling loads, etc.) associated with chiller equipment depends on the type of load and frequency of equipment operation. Continuous monitoring for large systems with variable loads (such as chillers service process loads) is </w:t>
      </w:r>
      <w:r w:rsidRPr="000D6A5D">
        <w:rPr>
          <w:rFonts w:asciiTheme="majorHAnsi" w:eastAsia="MS Mincho" w:hAnsiTheme="majorHAnsi" w:cstheme="majorHAnsi"/>
          <w:szCs w:val="22"/>
        </w:rPr>
        <w:lastRenderedPageBreak/>
        <w:t xml:space="preserve">recommended for at least three months, while spot measurements of electricity consumption can be sufficient for systems with constant loads and known hours of operation. </w:t>
      </w:r>
    </w:p>
    <w:p w14:paraId="2174B194" w14:textId="77777777" w:rsidR="00134C51" w:rsidRPr="000D6A5D" w:rsidRDefault="00134C51" w:rsidP="00AB6C96">
      <w:pPr>
        <w:rPr>
          <w:rFonts w:asciiTheme="majorHAnsi" w:eastAsia="MS Mincho" w:hAnsiTheme="majorHAnsi" w:cstheme="majorHAnsi"/>
          <w:b/>
          <w:szCs w:val="22"/>
        </w:rPr>
      </w:pPr>
      <w:r w:rsidRPr="000D6A5D">
        <w:rPr>
          <w:rFonts w:asciiTheme="majorHAnsi" w:eastAsia="MS Mincho" w:hAnsiTheme="majorHAnsi" w:cstheme="majorHAnsi"/>
          <w:b/>
          <w:szCs w:val="22"/>
        </w:rPr>
        <w:t xml:space="preserve">Normalizing Savings to Account for Independent Variables </w:t>
      </w:r>
    </w:p>
    <w:p w14:paraId="14CD44DF" w14:textId="77777777" w:rsidR="008F1CC5" w:rsidRPr="000D6A5D" w:rsidRDefault="00134C51" w:rsidP="00AB6C96">
      <w:pPr>
        <w:pStyle w:val="BodyText"/>
        <w:widowControl/>
        <w:rPr>
          <w:rFonts w:asciiTheme="majorHAnsi" w:eastAsia="MS Mincho" w:hAnsiTheme="majorHAnsi" w:cstheme="majorHAnsi"/>
          <w:szCs w:val="22"/>
        </w:rPr>
      </w:pPr>
      <w:r w:rsidRPr="000D6A5D">
        <w:rPr>
          <w:rFonts w:asciiTheme="majorHAnsi" w:eastAsia="MS Mincho" w:hAnsiTheme="majorHAnsi" w:cstheme="majorHAnsi"/>
          <w:szCs w:val="22"/>
        </w:rPr>
        <w:t xml:space="preserve">In many </w:t>
      </w:r>
      <w:r w:rsidR="007B541A" w:rsidRPr="000D6A5D">
        <w:rPr>
          <w:rFonts w:asciiTheme="majorHAnsi" w:eastAsia="MS Mincho" w:hAnsiTheme="majorHAnsi" w:cstheme="majorHAnsi"/>
          <w:szCs w:val="22"/>
        </w:rPr>
        <w:t>cases,</w:t>
      </w:r>
      <w:r w:rsidRPr="000D6A5D">
        <w:rPr>
          <w:rFonts w:asciiTheme="majorHAnsi" w:eastAsia="MS Mincho" w:hAnsiTheme="majorHAnsi" w:cstheme="majorHAnsi"/>
          <w:szCs w:val="22"/>
        </w:rPr>
        <w:t xml:space="preserve"> it will be necessary to run regression equations to separate out the impacts of chiller measures from independent variables such as operating temperatures or process throughput.</w:t>
      </w:r>
      <w:r w:rsidR="00896317" w:rsidRPr="000D6A5D">
        <w:rPr>
          <w:rFonts w:asciiTheme="majorHAnsi" w:eastAsia="MS Mincho" w:hAnsiTheme="majorHAnsi" w:cstheme="majorHAnsi"/>
          <w:szCs w:val="22"/>
        </w:rPr>
        <w:t xml:space="preserve"> </w:t>
      </w:r>
      <w:r w:rsidRPr="000D6A5D">
        <w:rPr>
          <w:rFonts w:asciiTheme="majorHAnsi" w:eastAsia="MS Mincho" w:hAnsiTheme="majorHAnsi" w:cstheme="majorHAnsi"/>
          <w:szCs w:val="22"/>
        </w:rPr>
        <w:t>The model’s predictive power should be tested using R</w:t>
      </w:r>
      <w:r w:rsidRPr="000D6A5D">
        <w:rPr>
          <w:rFonts w:asciiTheme="majorHAnsi" w:eastAsia="MS Mincho" w:hAnsiTheme="majorHAnsi" w:cstheme="majorHAnsi"/>
          <w:szCs w:val="22"/>
          <w:vertAlign w:val="superscript"/>
        </w:rPr>
        <w:t>2</w:t>
      </w:r>
      <w:r w:rsidRPr="000D6A5D">
        <w:rPr>
          <w:rFonts w:asciiTheme="majorHAnsi" w:eastAsia="MS Mincho" w:hAnsiTheme="majorHAnsi" w:cstheme="majorHAnsi"/>
          <w:szCs w:val="22"/>
        </w:rPr>
        <w:t xml:space="preserve"> values or T statistics on the estimated coefficient for the independent variable of interest to ensure accuracy. The Commercial Chiller protocol</w:t>
      </w:r>
      <w:r w:rsidRPr="000D6A5D">
        <w:rPr>
          <w:rFonts w:asciiTheme="majorHAnsi" w:eastAsia="MS Mincho" w:hAnsiTheme="majorHAnsi" w:cstheme="majorHAnsi"/>
          <w:szCs w:val="22"/>
          <w:vertAlign w:val="superscript"/>
        </w:rPr>
        <w:footnoteReference w:id="77"/>
      </w:r>
      <w:r w:rsidR="00896317" w:rsidRPr="000D6A5D">
        <w:rPr>
          <w:rFonts w:asciiTheme="majorHAnsi" w:eastAsia="MS Mincho" w:hAnsiTheme="majorHAnsi" w:cstheme="majorHAnsi"/>
          <w:szCs w:val="22"/>
        </w:rPr>
        <w:t xml:space="preserve"> </w:t>
      </w:r>
      <w:r w:rsidRPr="000D6A5D">
        <w:rPr>
          <w:rFonts w:asciiTheme="majorHAnsi" w:eastAsia="MS Mincho" w:hAnsiTheme="majorHAnsi" w:cstheme="majorHAnsi"/>
          <w:szCs w:val="22"/>
        </w:rPr>
        <w:t>from the Uniform Methods Project recommends a model fit thresholds of &gt;0.75 for R2 and T statistics of greater than 2.0 to determine if savings estimates are statistically significant.</w:t>
      </w:r>
    </w:p>
    <w:p w14:paraId="21D7EB24" w14:textId="77777777" w:rsidR="008F1CC5" w:rsidRPr="000D6A5D" w:rsidRDefault="00134C51" w:rsidP="00AB6C96">
      <w:pPr>
        <w:pStyle w:val="Heading8"/>
        <w:rPr>
          <w:rFonts w:asciiTheme="majorHAnsi" w:hAnsiTheme="majorHAnsi" w:cstheme="majorHAnsi"/>
        </w:rPr>
      </w:pPr>
      <w:r w:rsidRPr="000D6A5D">
        <w:rPr>
          <w:rFonts w:asciiTheme="majorHAnsi" w:hAnsiTheme="majorHAnsi" w:cstheme="majorHAnsi"/>
        </w:rPr>
        <w:t xml:space="preserve">Relevant Protocols and Evaluation Sources for </w:t>
      </w:r>
      <w:r w:rsidR="00C7056A" w:rsidRPr="000D6A5D">
        <w:rPr>
          <w:rFonts w:asciiTheme="majorHAnsi" w:hAnsiTheme="majorHAnsi" w:cstheme="majorHAnsi"/>
        </w:rPr>
        <w:t xml:space="preserve">More </w:t>
      </w:r>
      <w:r w:rsidR="008F1CC5" w:rsidRPr="000D6A5D">
        <w:rPr>
          <w:rFonts w:asciiTheme="majorHAnsi" w:hAnsiTheme="majorHAnsi" w:cstheme="majorHAnsi"/>
        </w:rPr>
        <w:t>Information</w:t>
      </w:r>
    </w:p>
    <w:p w14:paraId="73648C88" w14:textId="291692CE" w:rsidR="00C7056A" w:rsidRPr="00703A52" w:rsidRDefault="00C7056A" w:rsidP="00703A52">
      <w:pPr>
        <w:pStyle w:val="ListParagraph"/>
        <w:numPr>
          <w:ilvl w:val="0"/>
          <w:numId w:val="237"/>
        </w:numPr>
        <w:contextualSpacing w:val="0"/>
        <w:rPr>
          <w:rFonts w:asciiTheme="majorHAnsi" w:hAnsiTheme="majorHAnsi" w:cstheme="majorHAnsi"/>
          <w:szCs w:val="22"/>
        </w:rPr>
      </w:pPr>
      <w:r w:rsidRPr="000D6A5D">
        <w:rPr>
          <w:rFonts w:asciiTheme="majorHAnsi" w:hAnsiTheme="majorHAnsi" w:cstheme="majorHAnsi"/>
          <w:szCs w:val="22"/>
        </w:rPr>
        <w:t>Unifo</w:t>
      </w:r>
      <w:r w:rsidRPr="00703A52">
        <w:rPr>
          <w:rFonts w:asciiTheme="majorHAnsi" w:hAnsiTheme="majorHAnsi" w:cstheme="majorHAnsi"/>
          <w:szCs w:val="22"/>
        </w:rPr>
        <w:t>rm Methods Project, Chapter 14: Chiller Evaluatio</w:t>
      </w:r>
      <w:r w:rsidR="00772C60">
        <w:rPr>
          <w:rFonts w:asciiTheme="majorHAnsi" w:hAnsiTheme="majorHAnsi" w:cstheme="majorHAnsi"/>
          <w:szCs w:val="22"/>
        </w:rPr>
        <w:t>n Protocol, Chapter reference (</w:t>
      </w:r>
      <w:r w:rsidRPr="00703A52">
        <w:rPr>
          <w:rFonts w:asciiTheme="majorHAnsi" w:hAnsiTheme="majorHAnsi" w:cstheme="majorHAnsi"/>
          <w:szCs w:val="22"/>
        </w:rPr>
        <w:t xml:space="preserve">Prepared by Alex </w:t>
      </w:r>
      <w:proofErr w:type="spellStart"/>
      <w:r w:rsidRPr="00703A52">
        <w:rPr>
          <w:rFonts w:asciiTheme="majorHAnsi" w:hAnsiTheme="majorHAnsi" w:cstheme="majorHAnsi"/>
          <w:szCs w:val="22"/>
        </w:rPr>
        <w:t>Tiessen</w:t>
      </w:r>
      <w:proofErr w:type="spellEnd"/>
      <w:r w:rsidRPr="00703A52">
        <w:rPr>
          <w:rFonts w:asciiTheme="majorHAnsi" w:hAnsiTheme="majorHAnsi" w:cstheme="majorHAnsi"/>
          <w:szCs w:val="22"/>
        </w:rPr>
        <w:t>, Posterity Group for the National Renewable Energy Laboratory, September 2014)</w:t>
      </w:r>
      <w:r w:rsidR="00CA0243" w:rsidRPr="00703A52">
        <w:rPr>
          <w:rFonts w:asciiTheme="majorHAnsi" w:hAnsiTheme="majorHAnsi" w:cstheme="majorHAnsi"/>
          <w:szCs w:val="22"/>
        </w:rPr>
        <w:t>. R</w:t>
      </w:r>
      <w:r w:rsidRPr="00703A52">
        <w:rPr>
          <w:rFonts w:asciiTheme="majorHAnsi" w:hAnsiTheme="majorHAnsi" w:cstheme="majorHAnsi"/>
          <w:szCs w:val="22"/>
        </w:rPr>
        <w:t>eference</w:t>
      </w:r>
      <w:r w:rsidR="00896317" w:rsidRPr="00703A52">
        <w:rPr>
          <w:rFonts w:asciiTheme="majorHAnsi" w:hAnsiTheme="majorHAnsi" w:cstheme="majorHAnsi"/>
          <w:szCs w:val="22"/>
        </w:rPr>
        <w:t xml:space="preserve"> </w:t>
      </w:r>
      <w:hyperlink r:id="rId43" w:history="1">
        <w:r w:rsidR="00922093" w:rsidRPr="002111B7">
          <w:rPr>
            <w:rStyle w:val="Hyperlink"/>
            <w:rFonts w:asciiTheme="majorHAnsi" w:hAnsiTheme="majorHAnsi" w:cstheme="majorHAnsi"/>
            <w:szCs w:val="22"/>
          </w:rPr>
          <w:t>http://www.energy.gov/sites/prod/files/2014/10/f18/Chapter%2014--Chiller%20Evaluation%20Protocol.pdf</w:t>
        </w:r>
      </w:hyperlink>
      <w:r w:rsidRPr="002111B7">
        <w:rPr>
          <w:rStyle w:val="Hyperlink"/>
          <w:rFonts w:asciiTheme="majorHAnsi" w:hAnsiTheme="majorHAnsi" w:cstheme="majorHAnsi"/>
          <w:szCs w:val="22"/>
        </w:rPr>
        <w:t xml:space="preserve"> </w:t>
      </w:r>
    </w:p>
    <w:p w14:paraId="7370300B" w14:textId="77777777" w:rsidR="00C7056A" w:rsidRPr="000D6A5D" w:rsidRDefault="00C7056A" w:rsidP="00703A52">
      <w:pPr>
        <w:pStyle w:val="ListParagraph"/>
        <w:numPr>
          <w:ilvl w:val="0"/>
          <w:numId w:val="237"/>
        </w:numPr>
        <w:contextualSpacing w:val="0"/>
        <w:rPr>
          <w:rFonts w:asciiTheme="majorHAnsi" w:hAnsiTheme="majorHAnsi" w:cstheme="majorHAnsi"/>
          <w:szCs w:val="22"/>
        </w:rPr>
      </w:pPr>
      <w:r w:rsidRPr="000D6A5D">
        <w:rPr>
          <w:rFonts w:asciiTheme="majorHAnsi" w:eastAsia="MS Gothic" w:hAnsiTheme="majorHAnsi" w:cstheme="majorHAnsi"/>
          <w:bCs/>
          <w:iCs/>
          <w:szCs w:val="22"/>
        </w:rPr>
        <w:t>E</w:t>
      </w:r>
      <w:r w:rsidRPr="000D6A5D">
        <w:rPr>
          <w:rFonts w:asciiTheme="majorHAnsi" w:hAnsiTheme="majorHAnsi" w:cstheme="majorHAnsi"/>
          <w:szCs w:val="22"/>
        </w:rPr>
        <w:t>VO. (January 2012). International Performance Measurement and Verification Protocol –Concepts and Options for Determining Energy and Water Savings Volume 1. Efficiency Valuation Organization.</w:t>
      </w:r>
    </w:p>
    <w:p w14:paraId="31F012E7" w14:textId="77777777" w:rsidR="00C7056A" w:rsidRPr="000D6A5D" w:rsidRDefault="00C7056A" w:rsidP="00703A52">
      <w:pPr>
        <w:pStyle w:val="ListParagraph"/>
        <w:numPr>
          <w:ilvl w:val="0"/>
          <w:numId w:val="237"/>
        </w:numPr>
        <w:contextualSpacing w:val="0"/>
        <w:rPr>
          <w:rFonts w:asciiTheme="majorHAnsi" w:hAnsiTheme="majorHAnsi" w:cstheme="majorHAnsi"/>
          <w:szCs w:val="22"/>
        </w:rPr>
      </w:pPr>
      <w:r w:rsidRPr="000D6A5D">
        <w:rPr>
          <w:rFonts w:asciiTheme="majorHAnsi" w:hAnsiTheme="majorHAnsi" w:cstheme="majorHAnsi"/>
          <w:szCs w:val="22"/>
          <w:lang w:val="es-CO"/>
        </w:rPr>
        <w:t xml:space="preserve">Fagan, F., Bradley, K., Lutz, A. (2011). </w:t>
      </w:r>
      <w:r w:rsidRPr="000D6A5D">
        <w:rPr>
          <w:rFonts w:asciiTheme="majorHAnsi" w:hAnsiTheme="majorHAnsi" w:cstheme="majorHAnsi"/>
          <w:szCs w:val="22"/>
        </w:rPr>
        <w:t>Strategies for Improving the Accuracy of Industrial Program Savings Estimates and Increasing Overall Program Influence. Prepared for the International Energy Program Evaluation Conference.</w:t>
      </w:r>
    </w:p>
    <w:p w14:paraId="6211F9F6" w14:textId="77777777" w:rsidR="00C7056A" w:rsidRPr="000D6A5D" w:rsidRDefault="00C7056A" w:rsidP="00703A52">
      <w:pPr>
        <w:pStyle w:val="ListParagraph"/>
        <w:numPr>
          <w:ilvl w:val="0"/>
          <w:numId w:val="237"/>
        </w:numPr>
        <w:contextualSpacing w:val="0"/>
        <w:rPr>
          <w:rFonts w:asciiTheme="majorHAnsi" w:hAnsiTheme="majorHAnsi" w:cstheme="majorHAnsi"/>
          <w:szCs w:val="22"/>
        </w:rPr>
      </w:pPr>
      <w:r w:rsidRPr="000D6A5D">
        <w:rPr>
          <w:rFonts w:asciiTheme="majorHAnsi" w:hAnsiTheme="majorHAnsi" w:cstheme="majorHAnsi"/>
          <w:szCs w:val="22"/>
        </w:rPr>
        <w:t xml:space="preserve">Ridge, R., Jacobs, P., Tress, H., Hall, N., Evans, B. (2011). One Solution to Capturing the Benefits of Early Replacement: When Approximately Correct is </w:t>
      </w:r>
      <w:proofErr w:type="gramStart"/>
      <w:r w:rsidRPr="000D6A5D">
        <w:rPr>
          <w:rFonts w:asciiTheme="majorHAnsi" w:hAnsiTheme="majorHAnsi" w:cstheme="majorHAnsi"/>
          <w:szCs w:val="22"/>
        </w:rPr>
        <w:t>Good</w:t>
      </w:r>
      <w:proofErr w:type="gramEnd"/>
      <w:r w:rsidRPr="000D6A5D">
        <w:rPr>
          <w:rFonts w:asciiTheme="majorHAnsi" w:hAnsiTheme="majorHAnsi" w:cstheme="majorHAnsi"/>
          <w:szCs w:val="22"/>
        </w:rPr>
        <w:t xml:space="preserve"> Enough. Prepared for the International Energy Program Evaluation Conference.</w:t>
      </w:r>
    </w:p>
    <w:p w14:paraId="66AF4E99" w14:textId="7230B053" w:rsidR="00540003" w:rsidRDefault="00C7056A" w:rsidP="00703A52">
      <w:pPr>
        <w:pStyle w:val="ListParagraph"/>
        <w:numPr>
          <w:ilvl w:val="0"/>
          <w:numId w:val="237"/>
        </w:numPr>
        <w:contextualSpacing w:val="0"/>
        <w:rPr>
          <w:rFonts w:asciiTheme="majorHAnsi" w:hAnsiTheme="majorHAnsi" w:cstheme="majorHAnsi"/>
          <w:szCs w:val="22"/>
        </w:rPr>
      </w:pPr>
      <w:r w:rsidRPr="000D6A5D">
        <w:rPr>
          <w:rFonts w:asciiTheme="majorHAnsi" w:hAnsiTheme="majorHAnsi" w:cstheme="majorHAnsi"/>
          <w:szCs w:val="22"/>
        </w:rPr>
        <w:t>US DOE FEMP. (April 2008). M&amp;V Guidelines: Measurement and Verification for Federal Energy Projects—Version 3.0. U.S. Department of Energy Federal Energy Management</w:t>
      </w:r>
    </w:p>
    <w:sectPr w:rsidR="00540003" w:rsidSect="007B0115">
      <w:pgSz w:w="12240" w:h="15840"/>
      <w:pgMar w:top="1440" w:right="1440" w:bottom="1440" w:left="1440" w:header="720" w:footer="720" w:gutter="0"/>
      <w:pgNumType w:start="1" w:chapStyle="6"/>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ietsch, Nikolaas" w:date="2015-08-02T14:13:00Z" w:initials="DN">
    <w:p w14:paraId="009AB7A2" w14:textId="6B204870" w:rsidR="00F54E17" w:rsidRDefault="00F54E17">
      <w:pPr>
        <w:pStyle w:val="CommentText"/>
      </w:pPr>
      <w:r>
        <w:rPr>
          <w:rStyle w:val="CommentReference"/>
        </w:rPr>
        <w:annotationRef/>
      </w:r>
      <w:proofErr w:type="spellStart"/>
      <w:r>
        <w:t>Pls</w:t>
      </w:r>
      <w:proofErr w:type="spellEnd"/>
      <w:r>
        <w:t xml:space="preserve"> apply consistent dashes and use of capital letters </w:t>
      </w:r>
    </w:p>
  </w:comment>
  <w:comment w:id="17" w:author="Dietsch, Nikolaas" w:date="2015-08-02T14:14:00Z" w:initials="DN">
    <w:p w14:paraId="5087DAA3" w14:textId="746C2372" w:rsidR="00F54E17" w:rsidRDefault="00F54E17">
      <w:pPr>
        <w:pStyle w:val="CommentText"/>
      </w:pPr>
      <w:r>
        <w:rPr>
          <w:rStyle w:val="CommentReference"/>
        </w:rPr>
        <w:annotationRef/>
      </w:r>
      <w:r>
        <w:t>Glossary should go first in the actual appendices</w:t>
      </w:r>
    </w:p>
  </w:comment>
  <w:comment w:id="724" w:author="Dietsch, Nikolaas" w:date="2015-08-02T13:41:00Z" w:initials="DN">
    <w:p w14:paraId="32FCC385" w14:textId="6F1B43D8" w:rsidR="002B0E4E" w:rsidRDefault="002B0E4E">
      <w:pPr>
        <w:pStyle w:val="CommentText"/>
      </w:pPr>
      <w:r>
        <w:rPr>
          <w:rStyle w:val="CommentReference"/>
        </w:rPr>
        <w:annotationRef/>
      </w:r>
      <w:r>
        <w:t>Please left justify the glossary terms</w:t>
      </w:r>
    </w:p>
  </w:comment>
  <w:comment w:id="732" w:author="Dietsch, Nikolaas" w:date="2015-08-02T13:42:00Z" w:initials="DN">
    <w:p w14:paraId="28495364" w14:textId="423116E7" w:rsidR="002B0E4E" w:rsidRDefault="002B0E4E">
      <w:pPr>
        <w:pStyle w:val="CommentText"/>
      </w:pPr>
      <w:r>
        <w:t xml:space="preserve">I did a lot of copying and pasting.  </w:t>
      </w:r>
      <w:r>
        <w:rPr>
          <w:rStyle w:val="CommentReference"/>
        </w:rPr>
        <w:annotationRef/>
      </w:r>
      <w:proofErr w:type="spellStart"/>
      <w:r>
        <w:t>Pls</w:t>
      </w:r>
      <w:proofErr w:type="spellEnd"/>
      <w:r>
        <w:t xml:space="preserve"> make sure text formatting is correct.  </w:t>
      </w:r>
    </w:p>
  </w:comment>
  <w:comment w:id="734" w:author="Dietsch, Nikolaas" w:date="2015-08-02T14:09:00Z" w:initials="DN">
    <w:p w14:paraId="172656E8" w14:textId="2D3D82FB" w:rsidR="00E1316B" w:rsidRDefault="00E1316B">
      <w:pPr>
        <w:pStyle w:val="CommentText"/>
      </w:pPr>
      <w:r>
        <w:rPr>
          <w:rStyle w:val="CommentReference"/>
        </w:rPr>
        <w:annotationRef/>
      </w:r>
      <w:r>
        <w:t>This should be a sub under C.2, not C.3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AB7A2" w15:done="0"/>
  <w15:commentEx w15:paraId="5087DAA3" w15:done="0"/>
  <w15:commentEx w15:paraId="32FCC385" w15:done="0"/>
  <w15:commentEx w15:paraId="28495364" w15:done="0"/>
  <w15:commentEx w15:paraId="172656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F5AF8" w14:textId="77777777" w:rsidR="00555B16" w:rsidRDefault="00555B16" w:rsidP="00F82B6A">
      <w:r>
        <w:separator/>
      </w:r>
    </w:p>
  </w:endnote>
  <w:endnote w:type="continuationSeparator" w:id="0">
    <w:p w14:paraId="3B1E3B39" w14:textId="77777777" w:rsidR="00555B16" w:rsidRDefault="00555B16" w:rsidP="00F82B6A">
      <w:r>
        <w:continuationSeparator/>
      </w:r>
    </w:p>
  </w:endnote>
  <w:endnote w:type="continuationNotice" w:id="1">
    <w:p w14:paraId="5E0DAA6C" w14:textId="77777777" w:rsidR="00555B16" w:rsidRDefault="00555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6326" w14:textId="77777777" w:rsidR="00133485" w:rsidRDefault="00133485" w:rsidP="00B22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693F3" w14:textId="77777777" w:rsidR="00133485" w:rsidRDefault="00133485" w:rsidP="00B226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97E2B" w14:textId="77777777" w:rsidR="00133485" w:rsidRDefault="00133485" w:rsidP="00AD3C72">
    <w:pPr>
      <w:pStyle w:val="Footer"/>
      <w:tabs>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7B0A5" w14:textId="77777777" w:rsidR="00133485" w:rsidRDefault="00133485" w:rsidP="007B0115">
    <w:pPr>
      <w:tabs>
        <w:tab w:val="right" w:pos="9360"/>
      </w:tabs>
    </w:pPr>
    <w:r>
      <w:tab/>
    </w:r>
    <w:r>
      <w:fldChar w:fldCharType="begin"/>
    </w:r>
    <w:r>
      <w:instrText xml:space="preserve"> PAGE   \* MERGEFORMAT </w:instrText>
    </w:r>
    <w:r>
      <w:fldChar w:fldCharType="separate"/>
    </w:r>
    <w:r w:rsidR="00896011">
      <w:rPr>
        <w:noProof/>
      </w:rPr>
      <w:t>iv</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3FDC8" w14:textId="77777777" w:rsidR="00133485" w:rsidRDefault="00133485" w:rsidP="007B0115">
    <w:pPr>
      <w:tabs>
        <w:tab w:val="right" w:pos="9360"/>
      </w:tabs>
    </w:pPr>
    <w:r>
      <w:tab/>
    </w:r>
    <w:r>
      <w:fldChar w:fldCharType="begin"/>
    </w:r>
    <w:r>
      <w:instrText xml:space="preserve"> PAGE   \* MERGEFORMAT </w:instrText>
    </w:r>
    <w:r>
      <w:fldChar w:fldCharType="separate"/>
    </w:r>
    <w:r w:rsidR="00E226BF">
      <w:rPr>
        <w:noProof/>
      </w:rPr>
      <w:t>C-5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6BDEE" w14:textId="77777777" w:rsidR="00555B16" w:rsidRDefault="00555B16" w:rsidP="00F82B6A">
      <w:r>
        <w:separator/>
      </w:r>
    </w:p>
  </w:footnote>
  <w:footnote w:type="continuationSeparator" w:id="0">
    <w:p w14:paraId="63C8E333" w14:textId="77777777" w:rsidR="00555B16" w:rsidRDefault="00555B16" w:rsidP="00F82B6A">
      <w:r>
        <w:continuationSeparator/>
      </w:r>
    </w:p>
  </w:footnote>
  <w:footnote w:type="continuationNotice" w:id="1">
    <w:p w14:paraId="055D7D1D" w14:textId="77777777" w:rsidR="00555B16" w:rsidRDefault="00555B16"/>
  </w:footnote>
  <w:footnote w:id="2">
    <w:p w14:paraId="56F6608F" w14:textId="44E32C5C" w:rsidR="00133485" w:rsidRDefault="00133485" w:rsidP="00315927">
      <w:pPr>
        <w:pStyle w:val="FootnoteText"/>
      </w:pPr>
      <w:r>
        <w:rPr>
          <w:rStyle w:val="FootnoteReference"/>
        </w:rPr>
        <w:footnoteRef/>
      </w:r>
      <w:r>
        <w:t xml:space="preserve"> The emission guidelines use the term “measure” to refer to an eligible action that results in </w:t>
      </w:r>
      <w:proofErr w:type="spellStart"/>
      <w:r>
        <w:t>MWh</w:t>
      </w:r>
      <w:proofErr w:type="spellEnd"/>
      <w:r>
        <w:t xml:space="preserve"> that can be used to adjust an emission rate for compliance purposes.  </w:t>
      </w:r>
      <w:r w:rsidRPr="001B4B08">
        <w:t>In the context of demand-side EE, “measure” refers to an install</w:t>
      </w:r>
      <w:r>
        <w:t xml:space="preserve">ation or modification of </w:t>
      </w:r>
      <w:r w:rsidRPr="001B4B08">
        <w:t>equipment or system</w:t>
      </w:r>
      <w:r>
        <w:t>s</w:t>
      </w:r>
      <w:r w:rsidRPr="001B4B08">
        <w:t xml:space="preserve"> at an end-use energy consumer facility</w:t>
      </w:r>
      <w:r>
        <w:t xml:space="preserve"> – or </w:t>
      </w:r>
      <w:r w:rsidRPr="001B4B08">
        <w:t>strategy intended to affect consumer energy use behaviors</w:t>
      </w:r>
      <w:r>
        <w:t xml:space="preserve"> – that </w:t>
      </w:r>
      <w:r w:rsidRPr="001B4B08">
        <w:t>reduces the amount of energy that would otherwise have been used to deliver an equivalent or improved level of end-use service.</w:t>
      </w:r>
    </w:p>
  </w:footnote>
  <w:footnote w:id="3">
    <w:p w14:paraId="61A544F2" w14:textId="77777777" w:rsidR="00133485" w:rsidRPr="000A0EA2" w:rsidRDefault="00133485" w:rsidP="00661DCE">
      <w:pPr>
        <w:pStyle w:val="FootnoteText"/>
      </w:pPr>
      <w:r w:rsidRPr="000A0EA2">
        <w:rPr>
          <w:rStyle w:val="FootnoteReference"/>
        </w:rPr>
        <w:footnoteRef/>
      </w:r>
      <w:r w:rsidRPr="000A0EA2">
        <w:t xml:space="preserve"> National Energy Program Fact Sheet on the President</w:t>
      </w:r>
      <w:r>
        <w:t>’</w:t>
      </w:r>
      <w:r w:rsidRPr="000A0EA2">
        <w:t>s Program, April 20, 1977.</w:t>
      </w:r>
      <w:r>
        <w:t xml:space="preserve"> Available at </w:t>
      </w:r>
      <w:r w:rsidRPr="00922093">
        <w:rPr>
          <w:rStyle w:val="Hyperlink"/>
        </w:rPr>
        <w:t>http://www.presidency.ucsb.edu/ws/?pid=7373.</w:t>
      </w:r>
      <w:r>
        <w:t xml:space="preserve"> </w:t>
      </w:r>
    </w:p>
  </w:footnote>
  <w:footnote w:id="4">
    <w:p w14:paraId="1C52D979" w14:textId="03502D68" w:rsidR="00133485" w:rsidRDefault="00133485" w:rsidP="00661DCE">
      <w:pPr>
        <w:pStyle w:val="FootnoteText"/>
      </w:pPr>
      <w:r>
        <w:rPr>
          <w:rStyle w:val="FootnoteReference"/>
        </w:rPr>
        <w:footnoteRef/>
      </w:r>
      <w:r>
        <w:t xml:space="preserve"> </w:t>
      </w:r>
      <w:r w:rsidRPr="00896C26">
        <w:t xml:space="preserve">EM&amp;V is defined to mean the set of procedures, methods, and analytic approaches used to quantify the </w:t>
      </w:r>
      <w:proofErr w:type="spellStart"/>
      <w:r w:rsidRPr="00896C26">
        <w:t>MWh</w:t>
      </w:r>
      <w:proofErr w:type="spellEnd"/>
      <w:r w:rsidRPr="00896C26">
        <w:t xml:space="preserve"> from demand-side EE </w:t>
      </w:r>
      <w:r>
        <w:t>and other eligible resources, and t</w:t>
      </w:r>
      <w:r w:rsidRPr="00896C26">
        <w:t>hereby ensure that the resulting savings and generation are quantifiable and verifiable.</w:t>
      </w:r>
      <w:r>
        <w:t xml:space="preserve"> </w:t>
      </w:r>
    </w:p>
  </w:footnote>
  <w:footnote w:id="5">
    <w:p w14:paraId="316DBD77" w14:textId="77777777" w:rsidR="00133485" w:rsidRPr="00460B44" w:rsidRDefault="00133485" w:rsidP="00661DCE">
      <w:pPr>
        <w:pStyle w:val="FootnoteText"/>
        <w:rPr>
          <w:rFonts w:ascii="Times New Roman" w:hAnsi="Times New Roman" w:cs="Times New Roman"/>
        </w:rPr>
      </w:pPr>
      <w:r w:rsidRPr="006E37E6">
        <w:rPr>
          <w:rStyle w:val="FootnoteReference"/>
        </w:rPr>
        <w:footnoteRef/>
      </w:r>
      <w:r>
        <w:t xml:space="preserve"> T</w:t>
      </w:r>
      <w:r w:rsidRPr="006E37E6">
        <w:t xml:space="preserve">hese government entities are </w:t>
      </w:r>
      <w:r>
        <w:t xml:space="preserve">also </w:t>
      </w:r>
      <w:r w:rsidRPr="006E37E6">
        <w:t xml:space="preserve">referred to as </w:t>
      </w:r>
      <w:r>
        <w:t xml:space="preserve">a </w:t>
      </w:r>
      <w:r w:rsidRPr="006E37E6">
        <w:t>public service commission</w:t>
      </w:r>
      <w:r>
        <w:t xml:space="preserve"> or a </w:t>
      </w:r>
      <w:r w:rsidRPr="006E37E6">
        <w:t>board of public utilities.</w:t>
      </w:r>
    </w:p>
  </w:footnote>
  <w:footnote w:id="6">
    <w:p w14:paraId="5A0A5525" w14:textId="77777777" w:rsidR="00133485" w:rsidRDefault="00133485" w:rsidP="00661DCE">
      <w:pPr>
        <w:pStyle w:val="FootnoteText"/>
      </w:pPr>
      <w:r>
        <w:rPr>
          <w:rStyle w:val="FootnoteReference"/>
        </w:rPr>
        <w:footnoteRef/>
      </w:r>
      <w:r>
        <w:t xml:space="preserve"> F</w:t>
      </w:r>
      <w:r w:rsidRPr="00B85079">
        <w:t>orward capacity markets</w:t>
      </w:r>
      <w:r>
        <w:t xml:space="preserve"> are intended </w:t>
      </w:r>
      <w:r w:rsidRPr="00701E8D">
        <w:t>to ensure sufficient electric generating capacity is available to meet future peak electricity demand.</w:t>
      </w:r>
    </w:p>
  </w:footnote>
  <w:footnote w:id="7">
    <w:p w14:paraId="59716141" w14:textId="77777777" w:rsidR="00133485" w:rsidRPr="00CC6954" w:rsidRDefault="00133485" w:rsidP="00C65406">
      <w:pPr>
        <w:pStyle w:val="FootnoteText"/>
      </w:pPr>
      <w:r w:rsidRPr="00CC6954">
        <w:rPr>
          <w:rStyle w:val="FootnoteReference"/>
        </w:rPr>
        <w:footnoteRef/>
      </w:r>
      <w:r w:rsidRPr="00CC6954">
        <w:t xml:space="preserve"> Ibid.</w:t>
      </w:r>
    </w:p>
  </w:footnote>
  <w:footnote w:id="8">
    <w:p w14:paraId="6DACDB45" w14:textId="77777777" w:rsidR="00133485" w:rsidRPr="002E7019" w:rsidRDefault="00133485" w:rsidP="00661DCE">
      <w:pPr>
        <w:pStyle w:val="FootnoteText"/>
      </w:pPr>
      <w:r w:rsidRPr="002E7019">
        <w:rPr>
          <w:rStyle w:val="FootnoteReference"/>
        </w:rPr>
        <w:footnoteRef/>
      </w:r>
      <w:r w:rsidRPr="002E7019">
        <w:t xml:space="preserve"> See discussion beginning on p. 34 of the </w:t>
      </w:r>
      <w:r w:rsidRPr="002E7019">
        <w:rPr>
          <w:bCs/>
        </w:rPr>
        <w:t xml:space="preserve">State Plan Considerations TSD for the Clean Power Plan Proposed Rule: </w:t>
      </w:r>
      <w:r w:rsidRPr="00922093">
        <w:rPr>
          <w:rStyle w:val="Hyperlink"/>
        </w:rPr>
        <w:t>http://www2.epa.gov/carbon-pollution-standards/clean-power-plan-proposed-rule-state-plan-considerations</w:t>
      </w:r>
      <w:r w:rsidRPr="002E7019">
        <w:t>.</w:t>
      </w:r>
    </w:p>
  </w:footnote>
  <w:footnote w:id="9">
    <w:p w14:paraId="11183924" w14:textId="77777777" w:rsidR="00133485" w:rsidRDefault="00133485" w:rsidP="0071129B">
      <w:pPr>
        <w:pStyle w:val="FootnoteText"/>
      </w:pPr>
      <w:r>
        <w:rPr>
          <w:rStyle w:val="FootnoteReference"/>
        </w:rPr>
        <w:footnoteRef/>
      </w:r>
      <w:r>
        <w:t xml:space="preserve"> E.g., providing an opportunity for public involvement in planning activities, internet access to EM&amp;V plans and reports, and disclosure of relevant inputs, methods, and assumptions.</w:t>
      </w:r>
    </w:p>
  </w:footnote>
  <w:footnote w:id="10">
    <w:p w14:paraId="04F4A415" w14:textId="37439D72" w:rsidR="00133485" w:rsidRPr="00D63914" w:rsidRDefault="00133485" w:rsidP="00FC6CC2">
      <w:r>
        <w:rPr>
          <w:rStyle w:val="FootnoteReference"/>
        </w:rPr>
        <w:footnoteRef/>
      </w:r>
      <w:r>
        <w:t xml:space="preserve"> </w:t>
      </w:r>
      <w:r w:rsidRPr="002603D6">
        <w:rPr>
          <w:sz w:val="20"/>
          <w:szCs w:val="20"/>
        </w:rPr>
        <w:t xml:space="preserve">It is important to note that low-income programs are </w:t>
      </w:r>
      <w:r>
        <w:rPr>
          <w:sz w:val="20"/>
          <w:szCs w:val="20"/>
        </w:rPr>
        <w:t xml:space="preserve">generally </w:t>
      </w:r>
      <w:r w:rsidRPr="002603D6">
        <w:rPr>
          <w:sz w:val="20"/>
          <w:szCs w:val="20"/>
        </w:rPr>
        <w:t xml:space="preserve">implemented </w:t>
      </w:r>
      <w:r>
        <w:rPr>
          <w:sz w:val="20"/>
          <w:szCs w:val="20"/>
        </w:rPr>
        <w:t xml:space="preserve">for reasons other than maximizing energy savings. A primary goal of these programs is </w:t>
      </w:r>
      <w:r w:rsidRPr="002603D6">
        <w:rPr>
          <w:sz w:val="20"/>
          <w:szCs w:val="20"/>
        </w:rPr>
        <w:t xml:space="preserve">to </w:t>
      </w:r>
      <w:r>
        <w:rPr>
          <w:sz w:val="20"/>
          <w:szCs w:val="20"/>
        </w:rPr>
        <w:t xml:space="preserve">lower the burden of energy costs </w:t>
      </w:r>
      <w:r w:rsidRPr="000C060A">
        <w:rPr>
          <w:sz w:val="20"/>
          <w:szCs w:val="20"/>
        </w:rPr>
        <w:t>for a disadvantaged population</w:t>
      </w:r>
      <w:r>
        <w:rPr>
          <w:sz w:val="20"/>
          <w:szCs w:val="20"/>
        </w:rPr>
        <w:t xml:space="preserve">. Alleviating energy burden as broadly as possible is related to energy savings but has other dimensions. Such programs also serve </w:t>
      </w:r>
      <w:r w:rsidRPr="002603D6">
        <w:rPr>
          <w:sz w:val="20"/>
          <w:szCs w:val="20"/>
        </w:rPr>
        <w:t>other public policy objectives and produce co-benefits beyond electricity savings</w:t>
      </w:r>
      <w:r>
        <w:rPr>
          <w:sz w:val="20"/>
          <w:szCs w:val="20"/>
        </w:rPr>
        <w:t xml:space="preserve">, including but not limited to health, safety and family stability. In addition, these programs typically are designed with the intent </w:t>
      </w:r>
      <w:r w:rsidRPr="00D63914">
        <w:rPr>
          <w:sz w:val="20"/>
          <w:szCs w:val="20"/>
        </w:rPr>
        <w:t xml:space="preserve">to </w:t>
      </w:r>
      <w:r>
        <w:rPr>
          <w:sz w:val="20"/>
          <w:szCs w:val="20"/>
        </w:rPr>
        <w:t xml:space="preserve">efficiently deliver </w:t>
      </w:r>
      <w:r w:rsidRPr="00D63914">
        <w:rPr>
          <w:sz w:val="20"/>
          <w:szCs w:val="20"/>
        </w:rPr>
        <w:t>bundle</w:t>
      </w:r>
      <w:r>
        <w:rPr>
          <w:sz w:val="20"/>
          <w:szCs w:val="20"/>
        </w:rPr>
        <w:t>d services.</w:t>
      </w:r>
      <w:r w:rsidRPr="00D63914">
        <w:rPr>
          <w:sz w:val="20"/>
          <w:szCs w:val="20"/>
        </w:rPr>
        <w:t xml:space="preserve"> </w:t>
      </w:r>
      <w:r>
        <w:rPr>
          <w:sz w:val="20"/>
          <w:szCs w:val="20"/>
        </w:rPr>
        <w:t>For all these reasons, energy savings is only one metric by which such programs are measured. T</w:t>
      </w:r>
      <w:r w:rsidRPr="000C060A">
        <w:rPr>
          <w:sz w:val="20"/>
          <w:szCs w:val="20"/>
        </w:rPr>
        <w:t xml:space="preserve">he U.S. Department of Energy (DOE) Weatherization Assistance Program (WAP) </w:t>
      </w:r>
      <w:r>
        <w:rPr>
          <w:sz w:val="20"/>
          <w:szCs w:val="20"/>
        </w:rPr>
        <w:t xml:space="preserve">that offers funding to states for weatherizing low-income homes, uses the number of homes weatherized as the primary metric to evaluate performance. While these additional </w:t>
      </w:r>
      <w:r w:rsidRPr="00D63914">
        <w:rPr>
          <w:sz w:val="20"/>
          <w:szCs w:val="20"/>
        </w:rPr>
        <w:t xml:space="preserve">considerations affect the </w:t>
      </w:r>
      <w:r>
        <w:rPr>
          <w:sz w:val="20"/>
          <w:szCs w:val="20"/>
        </w:rPr>
        <w:t xml:space="preserve">decision criteria for determining </w:t>
      </w:r>
      <w:r w:rsidRPr="00D63914">
        <w:rPr>
          <w:sz w:val="20"/>
          <w:szCs w:val="20"/>
        </w:rPr>
        <w:t xml:space="preserve">cost-effectiveness of these programs, </w:t>
      </w:r>
      <w:r>
        <w:rPr>
          <w:sz w:val="20"/>
          <w:szCs w:val="20"/>
        </w:rPr>
        <w:t>th</w:t>
      </w:r>
      <w:r w:rsidRPr="00D63914">
        <w:rPr>
          <w:sz w:val="20"/>
          <w:szCs w:val="20"/>
        </w:rPr>
        <w:t xml:space="preserve">e methods for verifying their electricity savings are the same as those used for evaluating </w:t>
      </w:r>
      <w:r>
        <w:rPr>
          <w:sz w:val="20"/>
          <w:szCs w:val="20"/>
        </w:rPr>
        <w:t xml:space="preserve">EE for </w:t>
      </w:r>
      <w:r w:rsidRPr="00D63914">
        <w:rPr>
          <w:sz w:val="20"/>
          <w:szCs w:val="20"/>
        </w:rPr>
        <w:t xml:space="preserve">non-low income </w:t>
      </w:r>
      <w:r>
        <w:rPr>
          <w:sz w:val="20"/>
          <w:szCs w:val="20"/>
        </w:rPr>
        <w:t>consumers</w:t>
      </w:r>
      <w:r w:rsidRPr="00D63914">
        <w:rPr>
          <w:sz w:val="20"/>
          <w:szCs w:val="20"/>
        </w:rPr>
        <w:t>.</w:t>
      </w:r>
      <w:r>
        <w:rPr>
          <w:sz w:val="20"/>
          <w:szCs w:val="20"/>
        </w:rPr>
        <w:t xml:space="preserve"> </w:t>
      </w:r>
    </w:p>
  </w:footnote>
  <w:footnote w:id="11">
    <w:p w14:paraId="38476430" w14:textId="77777777" w:rsidR="00133485" w:rsidRPr="000B4BCA" w:rsidRDefault="00133485" w:rsidP="00661DCE">
      <w:pPr>
        <w:pStyle w:val="FootnoteText"/>
      </w:pPr>
      <w:r w:rsidRPr="00D63914">
        <w:rPr>
          <w:rStyle w:val="FootnoteReference"/>
        </w:rPr>
        <w:footnoteRef/>
      </w:r>
      <w:r w:rsidRPr="00D63914">
        <w:t xml:space="preserve"> It should be noted that states with mass-based plans may have PUC-led EM&amp;V requirements to ensure that consumer-funded EE programs</w:t>
      </w:r>
      <w:r w:rsidRPr="000B4BCA">
        <w:t xml:space="preserve"> are cost-effective and achieve incremental savings.</w:t>
      </w:r>
    </w:p>
  </w:footnote>
  <w:footnote w:id="12">
    <w:p w14:paraId="25DB65DF" w14:textId="77777777" w:rsidR="00133485" w:rsidRPr="00D63914" w:rsidRDefault="00133485" w:rsidP="00661DCE">
      <w:pPr>
        <w:pStyle w:val="FootnoteText"/>
      </w:pPr>
      <w:r w:rsidRPr="00D63914">
        <w:rPr>
          <w:rStyle w:val="FootnoteReference"/>
          <w:rFonts w:ascii="Courier New" w:hAnsi="Courier New" w:cs="Courier New"/>
        </w:rPr>
        <w:footnoteRef/>
      </w:r>
      <w:r w:rsidRPr="00D63914">
        <w:t xml:space="preserve"> State and Local Energy Efficiency Action Network. 2012. </w:t>
      </w:r>
      <w:r w:rsidRPr="00D63914">
        <w:rPr>
          <w:i/>
          <w:iCs/>
        </w:rPr>
        <w:t>Energy Efficiency Program Impact Evaluation Guide</w:t>
      </w:r>
      <w:r w:rsidRPr="00D63914">
        <w:t>. Prepared by Steven R. Schiller, Schiller Consulting, Inc., www.seeaction.energy.gov.</w:t>
      </w:r>
    </w:p>
  </w:footnote>
  <w:footnote w:id="13">
    <w:p w14:paraId="6CDFED15" w14:textId="77777777" w:rsidR="00133485" w:rsidRDefault="00133485" w:rsidP="00661DCE">
      <w:pPr>
        <w:pStyle w:val="FootnoteText"/>
      </w:pPr>
      <w:r>
        <w:rPr>
          <w:rStyle w:val="FootnoteReference"/>
        </w:rPr>
        <w:footnoteRef/>
      </w:r>
      <w:r>
        <w:t xml:space="preserve"> See: </w:t>
      </w:r>
      <w:hyperlink r:id="rId1" w:history="1">
        <w:r w:rsidRPr="0032174F">
          <w:rPr>
            <w:rStyle w:val="Hyperlink"/>
          </w:rPr>
          <w:t>https://www4.eere.energy.gov/seeaction/evaluation-measurement-and-verification-resource-portal</w:t>
        </w:r>
      </w:hyperlink>
    </w:p>
  </w:footnote>
  <w:footnote w:id="14">
    <w:p w14:paraId="65972CFF" w14:textId="77777777" w:rsidR="00133485" w:rsidRDefault="00133485">
      <w:pPr>
        <w:pStyle w:val="FootnoteText"/>
      </w:pPr>
      <w:r>
        <w:rPr>
          <w:rStyle w:val="FootnoteReference"/>
        </w:rPr>
        <w:footnoteRef/>
      </w:r>
      <w:r>
        <w:t xml:space="preserve"> </w:t>
      </w:r>
      <w:hyperlink r:id="rId2" w:history="1">
        <w:r w:rsidRPr="00721788">
          <w:rPr>
            <w:rStyle w:val="Hyperlink"/>
          </w:rPr>
          <w:t>http://www2.epa.gov/cleanpowerplan</w:t>
        </w:r>
      </w:hyperlink>
    </w:p>
  </w:footnote>
  <w:footnote w:id="15">
    <w:p w14:paraId="73A621E7" w14:textId="77777777" w:rsidR="00133485" w:rsidRDefault="00133485" w:rsidP="00661DCE">
      <w:pPr>
        <w:pStyle w:val="FootnoteText"/>
      </w:pPr>
      <w:r>
        <w:rPr>
          <w:rStyle w:val="FootnoteReference"/>
        </w:rPr>
        <w:footnoteRef/>
      </w:r>
      <w:r>
        <w:t xml:space="preserve"> This guidance would apply to s</w:t>
      </w:r>
      <w:r w:rsidRPr="002A061A">
        <w:t xml:space="preserve">tates </w:t>
      </w:r>
      <w:r>
        <w:t>that</w:t>
      </w:r>
      <w:r w:rsidRPr="002A061A">
        <w:t xml:space="preserve"> elect to incorporate </w:t>
      </w:r>
      <w:r>
        <w:t xml:space="preserve">demand-side </w:t>
      </w:r>
      <w:r w:rsidRPr="002A061A">
        <w:t>EE ou</w:t>
      </w:r>
      <w:r>
        <w:t xml:space="preserve">tside of an ERC trading program, and that </w:t>
      </w:r>
      <w:r w:rsidRPr="002A061A">
        <w:t>manage their EE policies, programs and projects as a portfolio</w:t>
      </w:r>
      <w:r>
        <w:t xml:space="preserve">. </w:t>
      </w:r>
      <w:r w:rsidRPr="002A061A">
        <w:t>EPA anticipates that a combination of elements will be required to demonstrate adequate stringency of verification at the portfolio level and will be issuing further guidance</w:t>
      </w:r>
    </w:p>
  </w:footnote>
  <w:footnote w:id="16">
    <w:p w14:paraId="476F9101" w14:textId="77777777" w:rsidR="00133485" w:rsidRPr="00CD2257" w:rsidRDefault="00133485" w:rsidP="00611C4D">
      <w:pPr>
        <w:rPr>
          <w:sz w:val="20"/>
        </w:rPr>
      </w:pPr>
      <w:r w:rsidRPr="00CD2257">
        <w:rPr>
          <w:rStyle w:val="FootnoteReference"/>
          <w:rFonts w:asciiTheme="majorHAnsi" w:hAnsiTheme="majorHAnsi" w:cstheme="majorHAnsi"/>
          <w:sz w:val="20"/>
        </w:rPr>
        <w:footnoteRef/>
      </w:r>
      <w:r w:rsidRPr="00CD2257">
        <w:rPr>
          <w:rFonts w:asciiTheme="majorHAnsi" w:hAnsiTheme="majorHAnsi" w:cstheme="majorHAnsi"/>
          <w:sz w:val="20"/>
        </w:rPr>
        <w:t xml:space="preserve"> </w:t>
      </w:r>
      <w:r w:rsidRPr="00922093">
        <w:rPr>
          <w:rStyle w:val="Hyperlink"/>
          <w:sz w:val="20"/>
          <w:szCs w:val="20"/>
        </w:rPr>
        <w:t>http://www.evo-world.org</w:t>
      </w:r>
    </w:p>
  </w:footnote>
  <w:footnote w:id="17">
    <w:p w14:paraId="1E1AB765" w14:textId="77777777" w:rsidR="00133485" w:rsidRPr="00922093" w:rsidRDefault="00133485" w:rsidP="00611C4D">
      <w:pPr>
        <w:pStyle w:val="FootnoteText"/>
        <w:rPr>
          <w:rStyle w:val="Hyperlink"/>
        </w:rPr>
      </w:pPr>
      <w:r>
        <w:rPr>
          <w:rStyle w:val="FootnoteReference"/>
        </w:rPr>
        <w:footnoteRef/>
      </w:r>
      <w:r>
        <w:t xml:space="preserve"> </w:t>
      </w:r>
      <w:r w:rsidRPr="00922093">
        <w:rPr>
          <w:rStyle w:val="Hyperlink"/>
        </w:rPr>
        <w:t>http://www1.eere.energy.gov/femp/pdfs/mv_guidelines.pdf</w:t>
      </w:r>
    </w:p>
  </w:footnote>
  <w:footnote w:id="18">
    <w:p w14:paraId="01FA63FA" w14:textId="77777777" w:rsidR="00133485" w:rsidRPr="00922093" w:rsidRDefault="00133485" w:rsidP="00611C4D">
      <w:pPr>
        <w:pStyle w:val="FootnoteText"/>
        <w:rPr>
          <w:rStyle w:val="Hyperlink"/>
        </w:rPr>
      </w:pPr>
      <w:r>
        <w:rPr>
          <w:rStyle w:val="FootnoteReference"/>
        </w:rPr>
        <w:footnoteRef/>
      </w:r>
      <w:r>
        <w:t xml:space="preserve"> </w:t>
      </w:r>
      <w:r w:rsidRPr="00922093">
        <w:rPr>
          <w:rStyle w:val="Hyperlink"/>
        </w:rPr>
        <w:t>https://www.ashrae.org/home</w:t>
      </w:r>
    </w:p>
  </w:footnote>
  <w:footnote w:id="19">
    <w:p w14:paraId="7DDA2FD4" w14:textId="77777777" w:rsidR="00133485" w:rsidRDefault="00133485" w:rsidP="00611C4D">
      <w:pPr>
        <w:pStyle w:val="FootnoteText"/>
      </w:pPr>
      <w:r>
        <w:rPr>
          <w:rStyle w:val="FootnoteReference"/>
        </w:rPr>
        <w:footnoteRef/>
      </w:r>
      <w:r>
        <w:t xml:space="preserve"> </w:t>
      </w:r>
      <w:hyperlink r:id="rId3" w:history="1">
        <w:r w:rsidRPr="00437D51">
          <w:rPr>
            <w:rStyle w:val="Hyperlink"/>
          </w:rPr>
          <w:t>http://www.energy.gov/eere/about-us/ump-protocols</w:t>
        </w:r>
      </w:hyperlink>
      <w:r>
        <w:t xml:space="preserve"> (version as of August 2015)</w:t>
      </w:r>
    </w:p>
  </w:footnote>
  <w:footnote w:id="20">
    <w:p w14:paraId="3669D932" w14:textId="77777777" w:rsidR="00133485" w:rsidRDefault="00133485" w:rsidP="004D2861">
      <w:pPr>
        <w:pStyle w:val="FootnoteText"/>
      </w:pPr>
      <w:r>
        <w:rPr>
          <w:rStyle w:val="FootnoteReference"/>
        </w:rPr>
        <w:footnoteRef/>
      </w:r>
      <w:r>
        <w:t xml:space="preserve"> </w:t>
      </w:r>
      <w:r w:rsidRPr="007B0115">
        <w:t xml:space="preserve">For </w:t>
      </w:r>
      <w:r>
        <w:t xml:space="preserve">discussion and </w:t>
      </w:r>
      <w:r w:rsidRPr="007B0115">
        <w:t xml:space="preserve">guidance on determination of net </w:t>
      </w:r>
      <w:r>
        <w:t xml:space="preserve">and gross </w:t>
      </w:r>
      <w:r w:rsidRPr="007B0115">
        <w:t>savings, see the Uniform Methods Project Estimating Net Energy Saving: Methods and Practices.</w:t>
      </w:r>
      <w:r>
        <w:t xml:space="preserve"> Net savings attempts to account for free ridership, spillover, and market effects (see Key Definitions text box).</w:t>
      </w:r>
    </w:p>
  </w:footnote>
  <w:footnote w:id="21">
    <w:p w14:paraId="15BE236A" w14:textId="77777777" w:rsidR="00133485" w:rsidRDefault="00133485" w:rsidP="00661DCE">
      <w:pPr>
        <w:pStyle w:val="FootnoteText"/>
      </w:pPr>
      <w:r>
        <w:rPr>
          <w:rStyle w:val="FootnoteReference"/>
        </w:rPr>
        <w:footnoteRef/>
      </w:r>
      <w:r>
        <w:t xml:space="preserve"> </w:t>
      </w:r>
      <w:r w:rsidRPr="003C6D1A">
        <w:t xml:space="preserve">The comparison and control groups, in most cases, intrinsically account for free ridership and participant spillover, but do not account </w:t>
      </w:r>
      <w:r>
        <w:t xml:space="preserve">for </w:t>
      </w:r>
      <w:r w:rsidRPr="003C6D1A">
        <w:t>nonparticipant spillover and long-term market effects.</w:t>
      </w:r>
    </w:p>
  </w:footnote>
  <w:footnote w:id="22">
    <w:p w14:paraId="3A616197" w14:textId="77777777" w:rsidR="00133485" w:rsidRDefault="00133485" w:rsidP="00661DCE">
      <w:pPr>
        <w:pStyle w:val="FootnoteText"/>
      </w:pPr>
      <w:r>
        <w:rPr>
          <w:rStyle w:val="FootnoteReference"/>
        </w:rPr>
        <w:footnoteRef/>
      </w:r>
      <w:r>
        <w:t xml:space="preserve"> Remaining useful life cannot exceed the effective useful life of the replacement measure.</w:t>
      </w:r>
    </w:p>
  </w:footnote>
  <w:footnote w:id="23">
    <w:p w14:paraId="44E9ADA7" w14:textId="77777777" w:rsidR="00133485" w:rsidRDefault="00133485" w:rsidP="00661DCE">
      <w:pPr>
        <w:pStyle w:val="FootnoteText"/>
      </w:pPr>
      <w:r>
        <w:rPr>
          <w:rStyle w:val="FootnoteReference"/>
        </w:rPr>
        <w:footnoteRef/>
      </w:r>
      <w:r>
        <w:t xml:space="preserve"> </w:t>
      </w:r>
      <w:r w:rsidRPr="00F75E11">
        <w:t>Implementation of the EE project</w:t>
      </w:r>
      <w:r>
        <w:t xml:space="preserve"> itself should not be a determinant for code or standard applicability. For example, if the project is a lighting retrofit and the lighting retrofit itself triggers a code requirement for upgraded lighting, the code would not necessarily be an applicable basis for a CPB. In this situation, the code would only be applicable as a CPB, if other, substantial, actions to the subject building (e.g., a major remodel) triggered the subject code.</w:t>
      </w:r>
    </w:p>
  </w:footnote>
  <w:footnote w:id="24">
    <w:p w14:paraId="53B7CAAA" w14:textId="77777777" w:rsidR="00133485" w:rsidRPr="009D76DC" w:rsidRDefault="00133485" w:rsidP="00661DCE">
      <w:pPr>
        <w:pStyle w:val="FootnoteText"/>
      </w:pPr>
      <w:r w:rsidRPr="009D76DC">
        <w:rPr>
          <w:rStyle w:val="FootnoteReference"/>
        </w:rPr>
        <w:footnoteRef/>
      </w:r>
      <w:r w:rsidRPr="009D76DC">
        <w:t xml:space="preserve"> State and Local Energy Efficiency Action Network. 2012. </w:t>
      </w:r>
      <w:r w:rsidRPr="009D76DC">
        <w:rPr>
          <w:i/>
          <w:iCs/>
        </w:rPr>
        <w:t>Energy Efficiency Program Impact Evaluation Guide</w:t>
      </w:r>
      <w:r w:rsidRPr="009D76DC">
        <w:t xml:space="preserve">. Prepared by Steven R. Schiller, Schiller Consulting, Inc., </w:t>
      </w:r>
      <w:hyperlink r:id="rId4" w:history="1">
        <w:r w:rsidRPr="009D76DC">
          <w:rPr>
            <w:rStyle w:val="Hyperlink"/>
          </w:rPr>
          <w:t>www.seeaction.energy.gov</w:t>
        </w:r>
      </w:hyperlink>
      <w:r>
        <w:t>. (O</w:t>
      </w:r>
      <w:r w:rsidRPr="009D76DC">
        <w:t>r current version</w:t>
      </w:r>
      <w:r>
        <w:t>.)</w:t>
      </w:r>
    </w:p>
  </w:footnote>
  <w:footnote w:id="25">
    <w:p w14:paraId="4CE6C448" w14:textId="77777777" w:rsidR="00133485" w:rsidRDefault="00133485" w:rsidP="00661DCE">
      <w:pPr>
        <w:pStyle w:val="FootnoteText"/>
      </w:pPr>
      <w:r>
        <w:rPr>
          <w:rStyle w:val="FootnoteReference"/>
        </w:rPr>
        <w:footnoteRef/>
      </w:r>
      <w:r>
        <w:t xml:space="preserve"> See: </w:t>
      </w:r>
      <w:r w:rsidRPr="0034300F">
        <w:t>http://www.eia.gov/electricity/data/eia861/</w:t>
      </w:r>
    </w:p>
  </w:footnote>
  <w:footnote w:id="26">
    <w:p w14:paraId="4C04E6E8" w14:textId="77777777" w:rsidR="00133485" w:rsidRDefault="00133485" w:rsidP="00661DCE">
      <w:pPr>
        <w:pStyle w:val="FootnoteText"/>
      </w:pPr>
      <w:r>
        <w:rPr>
          <w:rStyle w:val="FootnoteReference"/>
        </w:rPr>
        <w:footnoteRef/>
      </w:r>
      <w:r>
        <w:t xml:space="preserve"> EE activities generate a stream of savings over a pre-determined number of years, or EUL. Regardless of the specific day that the EE activity was installed and began savings energy, it is assumed that savings begin on January 1 and that this counts as the first full year of the project or measure EUL. </w:t>
      </w:r>
    </w:p>
  </w:footnote>
  <w:footnote w:id="27">
    <w:p w14:paraId="731B2992" w14:textId="77777777" w:rsidR="00133485" w:rsidRDefault="00133485" w:rsidP="00661DCE">
      <w:pPr>
        <w:pStyle w:val="FootnoteText"/>
      </w:pPr>
      <w:r>
        <w:rPr>
          <w:rStyle w:val="FootnoteReference"/>
        </w:rPr>
        <w:footnoteRef/>
      </w:r>
      <w:r>
        <w:t xml:space="preserve"> The emission guidelines include regulatory requirements for verification, as described in section 2.9 of this document.</w:t>
      </w:r>
    </w:p>
  </w:footnote>
  <w:footnote w:id="28">
    <w:p w14:paraId="7416B754" w14:textId="77777777" w:rsidR="00133485" w:rsidRDefault="00133485" w:rsidP="00C54C09">
      <w:pPr>
        <w:pStyle w:val="BodyText"/>
        <w:widowControl/>
        <w:spacing w:after="0"/>
      </w:pPr>
      <w:r>
        <w:rPr>
          <w:rStyle w:val="FootnoteReference"/>
        </w:rPr>
        <w:footnoteRef/>
      </w:r>
      <w:r>
        <w:t xml:space="preserve"> </w:t>
      </w:r>
      <w:r w:rsidRPr="00B83A49">
        <w:rPr>
          <w:sz w:val="20"/>
          <w:szCs w:val="20"/>
        </w:rPr>
        <w:t>This approach is consistent with the definition of IPMVP Option A.</w:t>
      </w:r>
      <w:r>
        <w:rPr>
          <w:sz w:val="20"/>
          <w:szCs w:val="20"/>
        </w:rPr>
        <w:t xml:space="preserve"> </w:t>
      </w:r>
      <w:r w:rsidRPr="00B83A49">
        <w:rPr>
          <w:sz w:val="20"/>
          <w:szCs w:val="20"/>
        </w:rPr>
        <w:t xml:space="preserve">However using deemed savings </w:t>
      </w:r>
      <w:r>
        <w:rPr>
          <w:sz w:val="20"/>
          <w:szCs w:val="20"/>
        </w:rPr>
        <w:t xml:space="preserve">alone </w:t>
      </w:r>
      <w:r w:rsidRPr="00B83A49">
        <w:rPr>
          <w:sz w:val="20"/>
          <w:szCs w:val="20"/>
        </w:rPr>
        <w:t xml:space="preserve">is not </w:t>
      </w:r>
      <w:r>
        <w:rPr>
          <w:sz w:val="20"/>
          <w:szCs w:val="20"/>
        </w:rPr>
        <w:t xml:space="preserve">considered </w:t>
      </w:r>
      <w:r w:rsidRPr="00B83A49">
        <w:rPr>
          <w:sz w:val="20"/>
          <w:szCs w:val="20"/>
        </w:rPr>
        <w:t>a</w:t>
      </w:r>
      <w:r>
        <w:rPr>
          <w:sz w:val="20"/>
          <w:szCs w:val="20"/>
        </w:rPr>
        <w:t xml:space="preserve"> measurement and verification </w:t>
      </w:r>
      <w:r w:rsidRPr="00B83A49">
        <w:rPr>
          <w:sz w:val="20"/>
          <w:szCs w:val="20"/>
        </w:rPr>
        <w:t>method</w:t>
      </w:r>
      <w:r>
        <w:rPr>
          <w:sz w:val="20"/>
          <w:szCs w:val="20"/>
        </w:rPr>
        <w:t>, per se</w:t>
      </w:r>
      <w:r w:rsidRPr="00B83A49">
        <w:rPr>
          <w:sz w:val="20"/>
          <w:szCs w:val="20"/>
        </w:rPr>
        <w:t>.</w:t>
      </w:r>
    </w:p>
  </w:footnote>
  <w:footnote w:id="29">
    <w:p w14:paraId="268403EF" w14:textId="77777777" w:rsidR="00133485" w:rsidRPr="006726CA" w:rsidRDefault="00133485" w:rsidP="00C54C09">
      <w:pPr>
        <w:pStyle w:val="BodyText"/>
        <w:spacing w:after="0"/>
      </w:pPr>
      <w:r w:rsidRPr="006726CA">
        <w:rPr>
          <w:rStyle w:val="FootnoteReference"/>
          <w:sz w:val="20"/>
          <w:szCs w:val="20"/>
        </w:rPr>
        <w:footnoteRef/>
      </w:r>
      <w:r w:rsidRPr="006726CA">
        <w:rPr>
          <w:sz w:val="20"/>
          <w:szCs w:val="20"/>
        </w:rPr>
        <w:t xml:space="preserve"> TRMs generally include information about the technology or measure itself, the savings value, measure life, peak load impacts, engineering algorithms to calculate savings, source documentation, specific assumptions, and other relevant material to support the calculation of savings in particular applications. </w:t>
      </w:r>
    </w:p>
  </w:footnote>
  <w:footnote w:id="30">
    <w:p w14:paraId="3197A963" w14:textId="77777777" w:rsidR="00133485" w:rsidRDefault="00133485" w:rsidP="00C54C09">
      <w:pPr>
        <w:pStyle w:val="FootnoteText"/>
      </w:pPr>
      <w:r w:rsidRPr="006726CA">
        <w:rPr>
          <w:rStyle w:val="FootnoteReference"/>
        </w:rPr>
        <w:footnoteRef/>
      </w:r>
      <w:r w:rsidRPr="006726CA">
        <w:t xml:space="preserve"> Many</w:t>
      </w:r>
      <w:r>
        <w:t xml:space="preserve"> of </w:t>
      </w:r>
      <w:r w:rsidRPr="00936942">
        <w:t xml:space="preserve">these TRMs are listed in </w:t>
      </w:r>
      <w:r>
        <w:t>the following document:</w:t>
      </w:r>
      <w:r w:rsidRPr="000B4C65">
        <w:rPr>
          <w:i/>
          <w:iCs/>
        </w:rPr>
        <w:t xml:space="preserve"> Scoping Study to Evaluate Feasibility of National Databases for EM&amp;V Documents and Measure Savings</w:t>
      </w:r>
      <w:r w:rsidRPr="000B4C65">
        <w:t xml:space="preserve">. SEE Action Network. Prepared by </w:t>
      </w:r>
      <w:proofErr w:type="spellStart"/>
      <w:r w:rsidRPr="000B4C65">
        <w:t>Jayaweera</w:t>
      </w:r>
      <w:proofErr w:type="spellEnd"/>
      <w:r w:rsidRPr="000B4C65">
        <w:t xml:space="preserve">, T.; </w:t>
      </w:r>
      <w:proofErr w:type="spellStart"/>
      <w:r w:rsidRPr="000B4C65">
        <w:t>Haeri</w:t>
      </w:r>
      <w:proofErr w:type="spellEnd"/>
      <w:r w:rsidRPr="000B4C65">
        <w:t xml:space="preserve">, H.; Lee, A.; Bergen, S.; </w:t>
      </w:r>
      <w:proofErr w:type="spellStart"/>
      <w:r w:rsidRPr="000B4C65">
        <w:t>Kan</w:t>
      </w:r>
      <w:proofErr w:type="spellEnd"/>
      <w:r w:rsidRPr="000B4C65">
        <w:t xml:space="preserve">, C.; </w:t>
      </w:r>
      <w:proofErr w:type="spellStart"/>
      <w:r w:rsidRPr="000B4C65">
        <w:t>Velonis</w:t>
      </w:r>
      <w:proofErr w:type="spellEnd"/>
      <w:r w:rsidRPr="000B4C65">
        <w:t xml:space="preserve">, A.; </w:t>
      </w:r>
      <w:proofErr w:type="spellStart"/>
      <w:r w:rsidRPr="000B4C65">
        <w:t>Gurin</w:t>
      </w:r>
      <w:proofErr w:type="spellEnd"/>
      <w:r w:rsidRPr="000B4C65">
        <w:t xml:space="preserve">, C.; </w:t>
      </w:r>
      <w:proofErr w:type="spellStart"/>
      <w:r w:rsidRPr="000B4C65">
        <w:t>Visser</w:t>
      </w:r>
      <w:proofErr w:type="spellEnd"/>
      <w:r w:rsidRPr="000B4C65">
        <w:t>, M.; Grant, A.; Buckman, A.; The Cadmus Group Inc. www.eere.energy. gov/</w:t>
      </w:r>
      <w:proofErr w:type="spellStart"/>
      <w:r w:rsidRPr="000B4C65">
        <w:t>seeaction</w:t>
      </w:r>
      <w:proofErr w:type="spellEnd"/>
      <w:r w:rsidRPr="000B4C65">
        <w:t>/pdfs/emvscoping__databasefeasibility.pdf.</w:t>
      </w:r>
      <w:r>
        <w:t xml:space="preserve"> </w:t>
      </w:r>
      <w:r w:rsidRPr="000B4C65">
        <w:t>June 2011.</w:t>
      </w:r>
    </w:p>
  </w:footnote>
  <w:footnote w:id="31">
    <w:p w14:paraId="224A1255" w14:textId="77777777" w:rsidR="00133485" w:rsidRPr="009F2C48" w:rsidRDefault="00133485" w:rsidP="007A6DD8">
      <w:pPr>
        <w:widowControl w:val="0"/>
        <w:autoSpaceDE w:val="0"/>
        <w:autoSpaceDN w:val="0"/>
        <w:adjustRightInd w:val="0"/>
        <w:contextualSpacing/>
        <w:rPr>
          <w:rFonts w:asciiTheme="majorHAnsi" w:hAnsiTheme="majorHAnsi" w:cs="Times"/>
          <w:sz w:val="24"/>
        </w:rPr>
      </w:pPr>
      <w:r>
        <w:rPr>
          <w:rStyle w:val="FootnoteReference"/>
        </w:rPr>
        <w:footnoteRef/>
      </w:r>
      <w:r>
        <w:t xml:space="preserve"> </w:t>
      </w:r>
      <w:r w:rsidRPr="009F2C48">
        <w:rPr>
          <w:rFonts w:asciiTheme="majorHAnsi" w:eastAsiaTheme="minorHAnsi" w:hAnsiTheme="majorHAnsi"/>
          <w:sz w:val="20"/>
          <w:szCs w:val="20"/>
        </w:rPr>
        <w:t>State and Local Energy Efficiency Action Network. (May 2012). Evaluation, Measurement, and Verification (EM&amp;V) of Residential Behavior-Based Energy Efficiency</w:t>
      </w:r>
      <w:r>
        <w:rPr>
          <w:rFonts w:cs="Calibri"/>
          <w:i/>
          <w:iCs/>
          <w:sz w:val="26"/>
          <w:szCs w:val="26"/>
        </w:rPr>
        <w:t xml:space="preserve"> </w:t>
      </w:r>
      <w:r w:rsidRPr="009F2C48">
        <w:rPr>
          <w:rFonts w:asciiTheme="majorHAnsi" w:eastAsiaTheme="minorHAnsi" w:hAnsiTheme="majorHAnsi"/>
          <w:sz w:val="20"/>
          <w:szCs w:val="20"/>
        </w:rPr>
        <w:t>Programs: Issues and Recommendations. Prepared by Todd, A.; Stuart, E.; Schiller, S.; Goldman, C.; Lawrence Berkeley National Laboratory. www1.eere</w:t>
      </w:r>
      <w:r>
        <w:rPr>
          <w:rFonts w:asciiTheme="majorHAnsi" w:eastAsiaTheme="minorHAnsi" w:hAnsiTheme="majorHAnsi"/>
          <w:sz w:val="20"/>
          <w:szCs w:val="20"/>
        </w:rPr>
        <w:t xml:space="preserve"> </w:t>
      </w:r>
      <w:r w:rsidRPr="009F2C48">
        <w:rPr>
          <w:rFonts w:asciiTheme="majorHAnsi" w:eastAsiaTheme="minorHAnsi" w:hAnsiTheme="majorHAnsi"/>
          <w:sz w:val="20"/>
          <w:szCs w:val="20"/>
        </w:rPr>
        <w:t>energy.gov/see</w:t>
      </w:r>
      <w:r>
        <w:rPr>
          <w:rFonts w:asciiTheme="majorHAnsi" w:eastAsiaTheme="minorHAnsi" w:hAnsiTheme="majorHAnsi"/>
          <w:sz w:val="20"/>
          <w:szCs w:val="20"/>
        </w:rPr>
        <w:t xml:space="preserve"> </w:t>
      </w:r>
      <w:r w:rsidRPr="009F2C48">
        <w:rPr>
          <w:rFonts w:asciiTheme="majorHAnsi" w:eastAsiaTheme="minorHAnsi" w:hAnsiTheme="majorHAnsi"/>
          <w:sz w:val="20"/>
          <w:szCs w:val="20"/>
        </w:rPr>
        <w:t xml:space="preserve">action/pdfs/emv_behaviorbased_eeprograms.pdf </w:t>
      </w:r>
    </w:p>
  </w:footnote>
  <w:footnote w:id="32">
    <w:p w14:paraId="0EAE18C7" w14:textId="77777777" w:rsidR="00133485" w:rsidRDefault="00133485" w:rsidP="00661DCE">
      <w:pPr>
        <w:pStyle w:val="FootnoteText"/>
      </w:pPr>
      <w:r>
        <w:rPr>
          <w:rStyle w:val="FootnoteReference"/>
        </w:rPr>
        <w:footnoteRef/>
      </w:r>
      <w:r>
        <w:t xml:space="preserve"> See: </w:t>
      </w:r>
      <w:hyperlink r:id="rId5" w:history="1">
        <w:r w:rsidRPr="000F31D0">
          <w:rPr>
            <w:rStyle w:val="Hyperlink"/>
          </w:rPr>
          <w:t>http://www.energy.gov/sites/prod/files/2013/11/f5/53827-11.pdf</w:t>
        </w:r>
      </w:hyperlink>
      <w:r>
        <w:t xml:space="preserve"> </w:t>
      </w:r>
    </w:p>
  </w:footnote>
  <w:footnote w:id="33">
    <w:p w14:paraId="47F95239" w14:textId="77777777" w:rsidR="00133485" w:rsidRDefault="00133485" w:rsidP="00661DCE">
      <w:pPr>
        <w:pStyle w:val="FootnoteText"/>
      </w:pPr>
      <w:r>
        <w:rPr>
          <w:rStyle w:val="FootnoteReference"/>
        </w:rPr>
        <w:footnoteRef/>
      </w:r>
      <w:r>
        <w:t xml:space="preserve"> See: </w:t>
      </w:r>
      <w:hyperlink r:id="rId6" w:history="1">
        <w:r w:rsidRPr="000F31D0">
          <w:rPr>
            <w:rStyle w:val="Hyperlink"/>
          </w:rPr>
          <w:t>http://www.energy.gov/sites/prod/files/2013/11/f5/53827-11.pdf</w:t>
        </w:r>
      </w:hyperlink>
      <w:r>
        <w:t xml:space="preserve"> </w:t>
      </w:r>
    </w:p>
  </w:footnote>
  <w:footnote w:id="34">
    <w:p w14:paraId="42D43CEF" w14:textId="77777777" w:rsidR="00133485" w:rsidRDefault="00133485" w:rsidP="00661DCE">
      <w:pPr>
        <w:pStyle w:val="FootnoteText"/>
      </w:pPr>
      <w:r>
        <w:rPr>
          <w:rStyle w:val="FootnoteReference"/>
        </w:rPr>
        <w:footnoteRef/>
      </w:r>
      <w:r>
        <w:t xml:space="preserve"> </w:t>
      </w:r>
      <w:r w:rsidRPr="007F5E6B">
        <w:t>Current version is manual M-MVDR, revision 6, dated June 1, 2014</w:t>
      </w:r>
    </w:p>
  </w:footnote>
  <w:footnote w:id="35">
    <w:p w14:paraId="633269B3" w14:textId="77777777" w:rsidR="00133485" w:rsidRDefault="00133485" w:rsidP="00661DCE">
      <w:pPr>
        <w:pStyle w:val="FootnoteText"/>
      </w:pPr>
      <w:r>
        <w:rPr>
          <w:rStyle w:val="FootnoteReference"/>
        </w:rPr>
        <w:footnoteRef/>
      </w:r>
      <w:r>
        <w:t xml:space="preserve"> </w:t>
      </w:r>
      <w:r w:rsidRPr="00CF5678">
        <w:t xml:space="preserve">This </w:t>
      </w:r>
      <w:r>
        <w:t xml:space="preserve">potential for double counting is </w:t>
      </w:r>
      <w:r w:rsidRPr="00CF5678">
        <w:t>particularly important in the context of randomized encouragement programs, where part of the savings seen in treatment</w:t>
      </w:r>
      <w:r>
        <w:t>/</w:t>
      </w:r>
      <w:r w:rsidRPr="00CF5678">
        <w:t>control differences is due to increased participation in general offering programs.</w:t>
      </w:r>
    </w:p>
  </w:footnote>
  <w:footnote w:id="36">
    <w:p w14:paraId="200DDFCE" w14:textId="77777777" w:rsidR="00133485" w:rsidRDefault="00133485" w:rsidP="00661DCE">
      <w:pPr>
        <w:pStyle w:val="FootnoteText"/>
      </w:pPr>
      <w:r>
        <w:rPr>
          <w:rStyle w:val="FootnoteReference"/>
        </w:rPr>
        <w:footnoteRef/>
      </w:r>
      <w:r>
        <w:t xml:space="preserve"> See: </w:t>
      </w:r>
      <w:r w:rsidRPr="00952FD0">
        <w:t>https://www4.eere.energy.gov/seeaction/publication/evaluation-measurement-and-verification-emv-residential-behavior-based-energy-efficiency</w:t>
      </w:r>
    </w:p>
  </w:footnote>
  <w:footnote w:id="37">
    <w:p w14:paraId="4F4FAB44" w14:textId="77777777" w:rsidR="00133485" w:rsidRPr="00CD2257" w:rsidRDefault="00133485" w:rsidP="00661DCE">
      <w:pPr>
        <w:pStyle w:val="FootnoteText"/>
      </w:pPr>
      <w:r>
        <w:rPr>
          <w:rStyle w:val="FootnoteReference"/>
        </w:rPr>
        <w:footnoteRef/>
      </w:r>
      <w:r>
        <w:t xml:space="preserve"> See</w:t>
      </w:r>
      <w:r w:rsidRPr="00CD2257">
        <w:t>: Energy Savings Lifetimes and Persistence:</w:t>
      </w:r>
      <w:r>
        <w:t xml:space="preserve"> </w:t>
      </w:r>
      <w:r w:rsidRPr="00CD2257">
        <w:t>Practices, Issues and Data</w:t>
      </w:r>
      <w:r>
        <w:t xml:space="preserve">, </w:t>
      </w:r>
      <w:r w:rsidRPr="00CD2257">
        <w:t>Ian M. Hoffman, Steven R. Schiller, Annika Todd, Megan A. Billingsley, Charles A. Goldman, Lisa C. Schwartz, Lawrence Berkeley National Laboratory</w:t>
      </w:r>
      <w:r w:rsidRPr="000D548E">
        <w:t xml:space="preserve">, </w:t>
      </w:r>
      <w:r>
        <w:t>February 2015.</w:t>
      </w:r>
    </w:p>
  </w:footnote>
  <w:footnote w:id="38">
    <w:p w14:paraId="3E6A29D8" w14:textId="77777777" w:rsidR="00133485" w:rsidRPr="00CD2257" w:rsidRDefault="00133485" w:rsidP="00661DCE">
      <w:pPr>
        <w:pStyle w:val="FootnoteText"/>
      </w:pPr>
      <w:r w:rsidRPr="00CD2257">
        <w:rPr>
          <w:rStyle w:val="FootnoteReference"/>
        </w:rPr>
        <w:footnoteRef/>
      </w:r>
      <w:r w:rsidRPr="00CD2257">
        <w:t xml:space="preserve"> For example, technical measure life or equipment life usually is defined as the median number of years that a measure is installed or initiated and is operational. Less commonly, it is defined as the mean number of years to failure. Median value means the time at which half of the measures are removed from service or are otherwise no longer operating as assumed, and half remain operating as assumed. </w:t>
      </w:r>
    </w:p>
  </w:footnote>
  <w:footnote w:id="39">
    <w:p w14:paraId="09D40AA7" w14:textId="77777777" w:rsidR="00133485" w:rsidRDefault="00133485">
      <w:pPr>
        <w:pStyle w:val="FootnoteText"/>
      </w:pPr>
      <w:r>
        <w:rPr>
          <w:rStyle w:val="FootnoteReference"/>
        </w:rPr>
        <w:footnoteRef/>
      </w:r>
      <w:r>
        <w:t xml:space="preserve"> See: </w:t>
      </w:r>
      <w:r w:rsidRPr="00FA46E4">
        <w:t>http://www.evo-world.org/index.php?option=com_content&amp;view=article&amp;id=272&amp;Itemid=379&amp;lang=en</w:t>
      </w:r>
    </w:p>
  </w:footnote>
  <w:footnote w:id="40">
    <w:p w14:paraId="26A97193" w14:textId="77777777" w:rsidR="00133485" w:rsidRPr="00C0358F" w:rsidRDefault="00133485" w:rsidP="00661DCE">
      <w:pPr>
        <w:pStyle w:val="FootnoteText"/>
      </w:pPr>
      <w:r w:rsidRPr="00CD2257">
        <w:rPr>
          <w:vertAlign w:val="superscript"/>
        </w:rPr>
        <w:footnoteRef/>
      </w:r>
      <w:r w:rsidRPr="00CD2257">
        <w:t xml:space="preserve"> </w:t>
      </w:r>
      <w:r>
        <w:t>T</w:t>
      </w:r>
      <w:r w:rsidRPr="00CD2257">
        <w:t>he</w:t>
      </w:r>
      <w:r w:rsidRPr="00C0358F">
        <w:t xml:space="preserve"> national average loss from 1990</w:t>
      </w:r>
      <w:r>
        <w:t xml:space="preserve"> to </w:t>
      </w:r>
      <w:r w:rsidRPr="00C0358F">
        <w:t>2012</w:t>
      </w:r>
      <w:r>
        <w:t xml:space="preserve"> is six percent. </w:t>
      </w:r>
      <w:r w:rsidRPr="00C0358F">
        <w:t xml:space="preserve">See: </w:t>
      </w:r>
      <w:r w:rsidRPr="00922093">
        <w:rPr>
          <w:rStyle w:val="Hyperlink"/>
        </w:rPr>
        <w:t>http://www.eia.go</w:t>
      </w:r>
      <w:r>
        <w:rPr>
          <w:rStyle w:val="Hyperlink"/>
        </w:rPr>
        <w:t>v/tools/faqs/faq.cfm?id=105&amp;t=3</w:t>
      </w:r>
    </w:p>
  </w:footnote>
  <w:footnote w:id="41">
    <w:p w14:paraId="4D76E420" w14:textId="77777777" w:rsidR="00133485" w:rsidRPr="000841F9" w:rsidRDefault="00133485" w:rsidP="00661DCE">
      <w:pPr>
        <w:pStyle w:val="FootnoteText"/>
        <w:rPr>
          <w:sz w:val="24"/>
        </w:rPr>
      </w:pPr>
      <w:r w:rsidRPr="0025471D">
        <w:rPr>
          <w:rStyle w:val="FootnoteReference"/>
        </w:rPr>
        <w:footnoteRef/>
      </w:r>
      <w:r w:rsidRPr="00C0358F">
        <w:t xml:space="preserve"> Estimated losses in </w:t>
      </w:r>
      <w:proofErr w:type="spellStart"/>
      <w:r w:rsidRPr="00C0358F">
        <w:t>MWh</w:t>
      </w:r>
      <w:proofErr w:type="spellEnd"/>
      <w:r w:rsidRPr="00C0358F">
        <w:t>, total electric supply, and direct electricity use values are available in the U.S. EIA’s State Electricity Profiles. See table on Supply and Disposition of Electricity (currently Table 10). Direct electricity use refers to the electricity generated at facilities that is not put onto the electricity grid, and therefore does not contribute to T&amp;D los</w:t>
      </w:r>
      <w:r w:rsidRPr="00CD2257">
        <w:t>ses.</w:t>
      </w:r>
    </w:p>
  </w:footnote>
  <w:footnote w:id="42">
    <w:p w14:paraId="651A83A7" w14:textId="77777777" w:rsidR="00133485" w:rsidRDefault="00133485" w:rsidP="00661DCE">
      <w:pPr>
        <w:pStyle w:val="FootnoteText"/>
      </w:pPr>
      <w:r>
        <w:rPr>
          <w:rStyle w:val="FootnoteReference"/>
        </w:rPr>
        <w:footnoteRef/>
      </w:r>
      <w:r>
        <w:t xml:space="preserve"> See chapter 2: </w:t>
      </w:r>
      <w:r w:rsidRPr="00D01E5C">
        <w:t xml:space="preserve">http://energy.gov/sites/prod/files/2013/07/f2/53827_complete.pdf </w:t>
      </w:r>
      <w:r>
        <w:t>(Version as of August 2015)</w:t>
      </w:r>
    </w:p>
  </w:footnote>
  <w:footnote w:id="43">
    <w:p w14:paraId="45398A50" w14:textId="77777777" w:rsidR="00133485" w:rsidRDefault="00133485" w:rsidP="00661DCE">
      <w:pPr>
        <w:pStyle w:val="FootnoteText"/>
      </w:pPr>
      <w:r w:rsidRPr="009D76DC">
        <w:rPr>
          <w:rStyle w:val="FootnoteReference"/>
        </w:rPr>
        <w:footnoteRef/>
      </w:r>
      <w:r w:rsidRPr="009D76DC">
        <w:t xml:space="preserve"> </w:t>
      </w:r>
      <w:r>
        <w:fldChar w:fldCharType="begin"/>
      </w:r>
      <w:r>
        <w:instrText xml:space="preserve"> REF _Ref422229204 \h </w:instrText>
      </w:r>
      <w:r>
        <w:fldChar w:fldCharType="separate"/>
      </w:r>
      <w:r>
        <w:t xml:space="preserve">Table </w:t>
      </w:r>
      <w:r>
        <w:rPr>
          <w:b/>
          <w:noProof/>
        </w:rPr>
        <w:t>2</w:t>
      </w:r>
      <w:r>
        <w:noBreakHyphen/>
      </w:r>
      <w:r>
        <w:rPr>
          <w:b/>
          <w:noProof/>
        </w:rPr>
        <w:t>1</w:t>
      </w:r>
      <w:r>
        <w:fldChar w:fldCharType="end"/>
      </w:r>
      <w:r>
        <w:t xml:space="preserve"> </w:t>
      </w:r>
      <w:r w:rsidRPr="009D76DC">
        <w:t xml:space="preserve">lists of some of the protocols and guidelines that can be considered </w:t>
      </w:r>
      <w:r>
        <w:t>“</w:t>
      </w:r>
      <w:r w:rsidRPr="009D76DC">
        <w:t>established</w:t>
      </w:r>
      <w:r>
        <w:t>”</w:t>
      </w:r>
      <w:r w:rsidRPr="009D76DC">
        <w:t xml:space="preserve"> and which are publically available and have been promulgated and/or adopted by a </w:t>
      </w:r>
      <w:r>
        <w:t>State</w:t>
      </w:r>
      <w:r w:rsidRPr="009D76DC">
        <w:t xml:space="preserve">, regional, national, or international organization. </w:t>
      </w:r>
      <w:r w:rsidRPr="00F75E11">
        <w:t xml:space="preserve">Stakeholders may </w:t>
      </w:r>
      <w:r>
        <w:t>request that EPA</w:t>
      </w:r>
      <w:r w:rsidRPr="00F75E11">
        <w:t xml:space="preserve"> to </w:t>
      </w:r>
      <w:r>
        <w:t xml:space="preserve">recognize additional protocols and guidelines as they emerge over time. </w:t>
      </w:r>
    </w:p>
  </w:footnote>
  <w:footnote w:id="44">
    <w:p w14:paraId="4B7C0770" w14:textId="77777777" w:rsidR="00133485" w:rsidRPr="001114FE" w:rsidRDefault="00133485" w:rsidP="00661DCE">
      <w:pPr>
        <w:pStyle w:val="FootnoteText"/>
      </w:pPr>
      <w:r w:rsidRPr="001114FE">
        <w:rPr>
          <w:rStyle w:val="FootnoteReference"/>
        </w:rPr>
        <w:footnoteRef/>
      </w:r>
      <w:r w:rsidRPr="001114FE">
        <w:t xml:space="preserve"> For example, simply referencing the IMPVP is not sufficient since it allows the use of four different options with flexibility with regards to a number of savings calculation assumptions</w:t>
      </w:r>
    </w:p>
  </w:footnote>
  <w:footnote w:id="45">
    <w:p w14:paraId="70362E7F" w14:textId="77777777" w:rsidR="00133485" w:rsidRPr="00662050" w:rsidRDefault="00133485" w:rsidP="00D834BF">
      <w:pPr>
        <w:pStyle w:val="BodyText"/>
        <w:widowControl/>
        <w:rPr>
          <w:sz w:val="20"/>
          <w:szCs w:val="20"/>
        </w:rPr>
      </w:pPr>
      <w:r w:rsidRPr="00662050">
        <w:rPr>
          <w:rStyle w:val="FootnoteReference"/>
          <w:sz w:val="20"/>
          <w:szCs w:val="20"/>
        </w:rPr>
        <w:footnoteRef/>
      </w:r>
      <w:r w:rsidRPr="00662050">
        <w:rPr>
          <w:sz w:val="20"/>
          <w:szCs w:val="20"/>
        </w:rPr>
        <w:t xml:space="preserve"> Should conflicts arise between the guidance in this section and the guidance in Section </w:t>
      </w:r>
      <w:r>
        <w:rPr>
          <w:sz w:val="20"/>
          <w:szCs w:val="20"/>
        </w:rPr>
        <w:t>2</w:t>
      </w:r>
      <w:r w:rsidRPr="00662050">
        <w:rPr>
          <w:sz w:val="20"/>
          <w:szCs w:val="20"/>
        </w:rPr>
        <w:t xml:space="preserve">, this guidance has precedence (since it is tailored to the specific programs and projects listed here). When preparing EM&amp;V plans and monitoring and verification reports, the applicable industry protocols and guidelines listed in this document should be referenced. </w:t>
      </w:r>
    </w:p>
    <w:p w14:paraId="69A2C408" w14:textId="77777777" w:rsidR="00133485" w:rsidRDefault="00133485" w:rsidP="00661DCE">
      <w:pPr>
        <w:pStyle w:val="FootnoteText"/>
      </w:pPr>
    </w:p>
  </w:footnote>
  <w:footnote w:id="46">
    <w:p w14:paraId="24475787" w14:textId="77777777" w:rsidR="00133485" w:rsidRPr="009A488E" w:rsidRDefault="00133485" w:rsidP="00661DCE">
      <w:pPr>
        <w:pStyle w:val="FootnoteText"/>
      </w:pPr>
      <w:r w:rsidRPr="004650FF">
        <w:rPr>
          <w:rStyle w:val="FootnoteReference"/>
        </w:rPr>
        <w:footnoteRef/>
      </w:r>
      <w:r w:rsidRPr="004650FF">
        <w:t xml:space="preserve"> Incremental savings </w:t>
      </w:r>
      <w:r w:rsidRPr="009A488E">
        <w:t xml:space="preserve">include all energy savings that accumulated in 2013 from new 2013 participation in existing energy efficiency programs and all participants in new 2013 programs. </w:t>
      </w:r>
    </w:p>
  </w:footnote>
  <w:footnote w:id="47">
    <w:p w14:paraId="5FF589BE" w14:textId="77777777" w:rsidR="00133485" w:rsidRPr="009A488E" w:rsidRDefault="00133485" w:rsidP="004F346E">
      <w:pPr>
        <w:contextualSpacing/>
        <w:rPr>
          <w:sz w:val="20"/>
          <w:szCs w:val="20"/>
        </w:rPr>
      </w:pPr>
      <w:r w:rsidRPr="009A488E">
        <w:rPr>
          <w:rStyle w:val="FootnoteReference"/>
          <w:rFonts w:asciiTheme="majorHAnsi" w:hAnsiTheme="majorHAnsi" w:cstheme="majorHAnsi"/>
          <w:sz w:val="20"/>
          <w:szCs w:val="20"/>
        </w:rPr>
        <w:footnoteRef/>
      </w:r>
      <w:r w:rsidRPr="009A488E">
        <w:rPr>
          <w:rFonts w:asciiTheme="majorHAnsi" w:hAnsiTheme="majorHAnsi" w:cstheme="majorHAnsi"/>
          <w:sz w:val="20"/>
          <w:szCs w:val="20"/>
        </w:rPr>
        <w:t xml:space="preserve"> </w:t>
      </w:r>
      <w:r w:rsidRPr="009A488E">
        <w:rPr>
          <w:rFonts w:asciiTheme="majorHAnsi" w:hAnsiTheme="majorHAnsi" w:cstheme="majorHAnsi"/>
          <w:bCs/>
          <w:color w:val="000000" w:themeColor="text1"/>
          <w:sz w:val="20"/>
          <w:szCs w:val="20"/>
        </w:rPr>
        <w:t xml:space="preserve">CEE Annual Industry Report, 2014 State of the Efficiency Program Industry, May 2015, </w:t>
      </w:r>
      <w:hyperlink r:id="rId7" w:history="1">
        <w:r w:rsidRPr="009A488E">
          <w:rPr>
            <w:rStyle w:val="Hyperlink"/>
            <w:rFonts w:asciiTheme="majorHAnsi" w:hAnsiTheme="majorHAnsi" w:cstheme="majorHAnsi"/>
            <w:bCs/>
            <w:sz w:val="20"/>
            <w:szCs w:val="20"/>
          </w:rPr>
          <w:t>http://www.library.cee1.org/sites/default/files/library/12193/CEE_2014_Annual_Industry_Report.pdf</w:t>
        </w:r>
      </w:hyperlink>
      <w:r w:rsidRPr="009A488E">
        <w:rPr>
          <w:rFonts w:asciiTheme="majorHAnsi" w:hAnsiTheme="majorHAnsi" w:cstheme="majorHAnsi"/>
          <w:bCs/>
          <w:color w:val="000000" w:themeColor="text1"/>
          <w:sz w:val="20"/>
          <w:szCs w:val="20"/>
        </w:rPr>
        <w:t xml:space="preserve"> </w:t>
      </w:r>
    </w:p>
  </w:footnote>
  <w:footnote w:id="48">
    <w:p w14:paraId="69B22499" w14:textId="77777777" w:rsidR="00133485" w:rsidRDefault="00133485" w:rsidP="00661DCE">
      <w:pPr>
        <w:pStyle w:val="FootnoteText"/>
      </w:pPr>
      <w:r w:rsidRPr="009A488E">
        <w:rPr>
          <w:rStyle w:val="FootnoteReference"/>
        </w:rPr>
        <w:footnoteRef/>
      </w:r>
      <w:r w:rsidRPr="009A488E">
        <w:t xml:space="preserve"> Some direct action programs have financing components and the savings of those programs can be assessed as described for direct action programs. However, for programs that only offer financing, their ability</w:t>
      </w:r>
      <w:r>
        <w:t xml:space="preserve"> to generate incremental savings can be assessed using the indirect program suggested approaches and assumptions provided herein.</w:t>
      </w:r>
    </w:p>
  </w:footnote>
  <w:footnote w:id="49">
    <w:p w14:paraId="7232F4F8" w14:textId="478B62CF" w:rsidR="00133485" w:rsidRPr="00896011" w:rsidRDefault="00133485" w:rsidP="00661DCE">
      <w:pPr>
        <w:pStyle w:val="FootnoteText"/>
      </w:pPr>
      <w:r>
        <w:rPr>
          <w:rStyle w:val="FootnoteReference"/>
        </w:rPr>
        <w:footnoteRef/>
      </w:r>
      <w:r>
        <w:t xml:space="preserve"> This is </w:t>
      </w:r>
      <w:r w:rsidRPr="00896011">
        <w:t xml:space="preserve">because the savings from individual projects are assigned to the responsible entity, whether a contractor or consumer, and not to a program administrator as in the case with </w:t>
      </w:r>
      <w:r w:rsidR="00896011" w:rsidRPr="00896011">
        <w:t>EE</w:t>
      </w:r>
      <w:r w:rsidRPr="00896011">
        <w:t xml:space="preserve"> programs.</w:t>
      </w:r>
    </w:p>
  </w:footnote>
  <w:footnote w:id="50">
    <w:p w14:paraId="27ECC3CF" w14:textId="77777777" w:rsidR="00133485" w:rsidRPr="00896011" w:rsidRDefault="00133485" w:rsidP="004F346E">
      <w:pPr>
        <w:rPr>
          <w:rFonts w:asciiTheme="majorHAnsi" w:hAnsiTheme="majorHAnsi"/>
          <w:sz w:val="20"/>
          <w:szCs w:val="20"/>
        </w:rPr>
      </w:pPr>
      <w:r w:rsidRPr="00896011">
        <w:rPr>
          <w:rStyle w:val="FootnoteReference"/>
          <w:rFonts w:asciiTheme="majorHAnsi" w:hAnsiTheme="majorHAnsi"/>
          <w:sz w:val="20"/>
          <w:szCs w:val="20"/>
        </w:rPr>
        <w:footnoteRef/>
      </w:r>
      <w:r w:rsidRPr="00896011">
        <w:rPr>
          <w:rFonts w:asciiTheme="majorHAnsi" w:hAnsiTheme="majorHAnsi"/>
          <w:sz w:val="20"/>
          <w:szCs w:val="20"/>
        </w:rPr>
        <w:t xml:space="preserve"> </w:t>
      </w:r>
      <w:r w:rsidRPr="00896011">
        <w:rPr>
          <w:rFonts w:asciiTheme="majorHAnsi" w:hAnsiTheme="majorHAnsi"/>
          <w:color w:val="000000" w:themeColor="text1"/>
          <w:sz w:val="20"/>
          <w:szCs w:val="20"/>
        </w:rPr>
        <w:t xml:space="preserve">Estimating Customer Electricity Savings From Projects Installed by the U.S. ESCO Industry, Juan Pablo </w:t>
      </w:r>
      <w:proofErr w:type="spellStart"/>
      <w:r w:rsidRPr="00896011">
        <w:rPr>
          <w:rFonts w:asciiTheme="majorHAnsi" w:hAnsiTheme="majorHAnsi"/>
          <w:color w:val="000000" w:themeColor="text1"/>
          <w:sz w:val="20"/>
          <w:szCs w:val="20"/>
        </w:rPr>
        <w:t>Carvallo</w:t>
      </w:r>
      <w:proofErr w:type="spellEnd"/>
      <w:r w:rsidRPr="00896011">
        <w:rPr>
          <w:rFonts w:asciiTheme="majorHAnsi" w:hAnsiTheme="majorHAnsi"/>
          <w:color w:val="000000" w:themeColor="text1"/>
          <w:sz w:val="20"/>
          <w:szCs w:val="20"/>
        </w:rPr>
        <w:t xml:space="preserve">, Peter H. Larsen, Charles A. Goldman, Lawrence Berkeley National Laboratory , </w:t>
      </w:r>
      <w:r w:rsidRPr="00896011">
        <w:rPr>
          <w:rFonts w:asciiTheme="majorHAnsi" w:hAnsiTheme="majorHAnsi" w:cs="Arial"/>
          <w:color w:val="000000" w:themeColor="text1"/>
          <w:sz w:val="20"/>
          <w:szCs w:val="20"/>
        </w:rPr>
        <w:t>LBNL-6877E</w:t>
      </w:r>
      <w:r w:rsidRPr="00896011">
        <w:rPr>
          <w:rFonts w:asciiTheme="majorHAnsi" w:hAnsiTheme="majorHAnsi"/>
          <w:color w:val="000000" w:themeColor="text1"/>
          <w:sz w:val="20"/>
          <w:szCs w:val="20"/>
        </w:rPr>
        <w:t>, May 2015.</w:t>
      </w:r>
    </w:p>
  </w:footnote>
  <w:footnote w:id="51">
    <w:p w14:paraId="41209D76" w14:textId="4F1C1D69" w:rsidR="00133485" w:rsidRPr="004F346E" w:rsidRDefault="00133485" w:rsidP="00661DCE">
      <w:pPr>
        <w:pStyle w:val="FootnoteText"/>
      </w:pPr>
      <w:r w:rsidRPr="00896011">
        <w:rPr>
          <w:rStyle w:val="FootnoteReference"/>
        </w:rPr>
        <w:footnoteRef/>
      </w:r>
      <w:r w:rsidRPr="00896011">
        <w:t xml:space="preserve"> For example, finding the right comparison facility, occupants, and owner for retrofits at a college campus, office building, or factory. With </w:t>
      </w:r>
      <w:r w:rsidR="00E226BF">
        <w:t>PB-MV</w:t>
      </w:r>
      <w:r w:rsidRPr="00896011">
        <w:t>, one could say that the “comparison group” is the affected facility before the efficiency retrofit. This approach is known as pre-post analysis</w:t>
      </w:r>
      <w:r w:rsidRPr="009F2C48">
        <w:t xml:space="preserve">. However, because of how the </w:t>
      </w:r>
      <w:r>
        <w:t>comparison</w:t>
      </w:r>
      <w:r w:rsidRPr="009F2C48">
        <w:t xml:space="preserve"> group is </w:t>
      </w:r>
      <w:r w:rsidRPr="004F346E">
        <w:t>defined, it does not have the benefits of more rigorously implemented quasi-experimental methods.</w:t>
      </w:r>
    </w:p>
  </w:footnote>
  <w:footnote w:id="52">
    <w:p w14:paraId="1B4599BA" w14:textId="6364CABE" w:rsidR="00133485" w:rsidRPr="00302034" w:rsidRDefault="00133485" w:rsidP="004F346E">
      <w:pPr>
        <w:rPr>
          <w:rFonts w:asciiTheme="majorHAnsi" w:hAnsiTheme="majorHAnsi" w:cstheme="majorHAnsi"/>
          <w:sz w:val="20"/>
          <w:szCs w:val="20"/>
        </w:rPr>
      </w:pPr>
      <w:r w:rsidRPr="00302034">
        <w:rPr>
          <w:rStyle w:val="FootnoteReference"/>
          <w:rFonts w:asciiTheme="majorHAnsi" w:hAnsiTheme="majorHAnsi" w:cstheme="majorHAnsi"/>
          <w:sz w:val="20"/>
          <w:szCs w:val="20"/>
        </w:rPr>
        <w:footnoteRef/>
      </w:r>
      <w:r w:rsidRPr="00302034">
        <w:rPr>
          <w:rFonts w:asciiTheme="majorHAnsi" w:hAnsiTheme="majorHAnsi" w:cstheme="majorHAnsi"/>
          <w:sz w:val="20"/>
          <w:szCs w:val="20"/>
        </w:rPr>
        <w:t xml:space="preserve"> </w:t>
      </w:r>
      <w:r w:rsidRPr="007B0115">
        <w:rPr>
          <w:rFonts w:asciiTheme="majorHAnsi" w:hAnsiTheme="majorHAnsi" w:cstheme="majorHAnsi"/>
          <w:sz w:val="20"/>
          <w:szCs w:val="20"/>
        </w:rPr>
        <w:t xml:space="preserve">For example with IPMVP Option A, some information used to determine savings is gathered through metering and other information is based on deemed savings values. In contrast to the application of deemed savings alone, IPMVP Option A involves the application of facility-specific data and parameters in the quantification of savings. </w:t>
      </w:r>
      <w:r w:rsidRPr="00373149">
        <w:rPr>
          <w:rFonts w:asciiTheme="majorHAnsi" w:hAnsiTheme="majorHAnsi" w:cstheme="majorHAnsi"/>
          <w:bCs/>
          <w:sz w:val="20"/>
          <w:szCs w:val="20"/>
        </w:rPr>
        <w:t>Advances in metering and analyses technologies and practices</w:t>
      </w:r>
      <w:r w:rsidRPr="00E455D8">
        <w:rPr>
          <w:rFonts w:asciiTheme="majorHAnsi" w:hAnsiTheme="majorHAnsi" w:cstheme="majorHAnsi"/>
          <w:bCs/>
          <w:sz w:val="20"/>
          <w:szCs w:val="20"/>
        </w:rPr>
        <w:t xml:space="preserve"> (such as advances in the use of data available from smart meters) are lowering the cost and increasing the reliability of </w:t>
      </w:r>
      <w:r w:rsidR="00E226BF">
        <w:rPr>
          <w:rFonts w:asciiTheme="majorHAnsi" w:hAnsiTheme="majorHAnsi" w:cstheme="majorHAnsi"/>
          <w:bCs/>
          <w:sz w:val="20"/>
          <w:szCs w:val="20"/>
        </w:rPr>
        <w:t>PB-MV</w:t>
      </w:r>
      <w:r w:rsidRPr="00E455D8">
        <w:rPr>
          <w:rFonts w:asciiTheme="majorHAnsi" w:hAnsiTheme="majorHAnsi" w:cstheme="majorHAnsi"/>
          <w:bCs/>
          <w:sz w:val="20"/>
          <w:szCs w:val="20"/>
        </w:rPr>
        <w:t xml:space="preserve"> savings </w:t>
      </w:r>
      <w:r>
        <w:rPr>
          <w:rFonts w:asciiTheme="majorHAnsi" w:hAnsiTheme="majorHAnsi" w:cstheme="majorHAnsi"/>
          <w:bCs/>
          <w:sz w:val="20"/>
          <w:szCs w:val="20"/>
        </w:rPr>
        <w:t>quantification</w:t>
      </w:r>
      <w:r w:rsidRPr="00E455D8">
        <w:rPr>
          <w:rFonts w:asciiTheme="majorHAnsi" w:hAnsiTheme="majorHAnsi" w:cstheme="majorHAnsi"/>
          <w:bCs/>
          <w:sz w:val="20"/>
          <w:szCs w:val="20"/>
        </w:rPr>
        <w:t>.</w:t>
      </w:r>
    </w:p>
  </w:footnote>
  <w:footnote w:id="53">
    <w:p w14:paraId="58273096" w14:textId="77777777" w:rsidR="00133485" w:rsidRPr="009F2C48" w:rsidRDefault="00133485" w:rsidP="00661DCE">
      <w:pPr>
        <w:pStyle w:val="FootnoteText"/>
      </w:pPr>
      <w:r w:rsidRPr="009F2C48">
        <w:rPr>
          <w:rStyle w:val="FootnoteReference"/>
        </w:rPr>
        <w:footnoteRef/>
      </w:r>
      <w:r w:rsidRPr="009F2C48">
        <w:t xml:space="preserve"> Energy codes are adopted by </w:t>
      </w:r>
      <w:r>
        <w:t>State</w:t>
      </w:r>
      <w:r w:rsidRPr="009F2C48">
        <w:t xml:space="preserve"> and local governments and govern the design and construction of new residential and commercial structures in their jurisdictions, as well as in some cases the retrofitting of existing structures. </w:t>
      </w:r>
      <w:r w:rsidRPr="009F2C48">
        <w:rPr>
          <w:rFonts w:cs="Helvetica"/>
          <w:color w:val="000000" w:themeColor="text1"/>
        </w:rPr>
        <w:t xml:space="preserve">Energy codes reference areas of construction such as wall and ceiling insulation, window and door specifications, HVAC equipment efficiency, and lighting fixtures. </w:t>
      </w:r>
      <w:r w:rsidRPr="009F2C48">
        <w:t>Usually, there are two methods for compliance. The most common that codes take is the prescriptive approach, in which the code stipulates the stringency of the materials and equipment the builder must use.</w:t>
      </w:r>
      <w:r>
        <w:t xml:space="preserve"> </w:t>
      </w:r>
      <w:r w:rsidRPr="009F2C48">
        <w:t xml:space="preserve">The other method is the performance approach, the code allocates a total allowable energy use for a building, and the builder can choose the materials and equipment that will meet this target. State-level policies on building energy codes vary widely across the 50 </w:t>
      </w:r>
      <w:r>
        <w:t>State</w:t>
      </w:r>
      <w:r w:rsidRPr="009F2C48">
        <w:t xml:space="preserve">s, the District of Columbia, and the five U.S. territories, and sometimes even within </w:t>
      </w:r>
      <w:r>
        <w:t>State</w:t>
      </w:r>
      <w:r w:rsidRPr="009F2C48">
        <w:t xml:space="preserve">s, e.g. home rule </w:t>
      </w:r>
      <w:r>
        <w:t>State</w:t>
      </w:r>
      <w:r w:rsidRPr="009F2C48">
        <w:t xml:space="preserve">s. Two foundational model building energy codes may be adopted by </w:t>
      </w:r>
      <w:r>
        <w:t>State</w:t>
      </w:r>
      <w:r w:rsidRPr="009F2C48">
        <w:t xml:space="preserve">s and local jurisdictions to regulate the design and construction of new buildings: the </w:t>
      </w:r>
      <w:r w:rsidRPr="009F2C48">
        <w:rPr>
          <w:i/>
        </w:rPr>
        <w:t>International Energy Conservation Code® (IECC</w:t>
      </w:r>
      <w:r w:rsidRPr="009F2C48">
        <w:t xml:space="preserve">) and the </w:t>
      </w:r>
      <w:r w:rsidRPr="009F2C48">
        <w:rPr>
          <w:i/>
        </w:rPr>
        <w:t>ANSI/ASHRAE/IESNA Standard 90.1 Energy Standard for Buildings except Low-Rise Residential Buildings</w:t>
      </w:r>
      <w:r w:rsidRPr="009F2C48">
        <w:t>.</w:t>
      </w:r>
      <w:r w:rsidRPr="009F2C48">
        <w:rPr>
          <w:rStyle w:val="EndnoteReference"/>
          <w:color w:val="000000" w:themeColor="text1"/>
        </w:rPr>
        <w:footnoteRef/>
      </w:r>
      <w:r w:rsidRPr="009F2C48">
        <w:t xml:space="preserve"> The IECC addresses all residential and commercial buildings. ASHRAE 90.1 covers commercial buildings, defined as buildings other than single-family dwellings and multi-family buildings three stories or less above grade.</w:t>
      </w:r>
      <w:r w:rsidRPr="009F2C48">
        <w:rPr>
          <w:rFonts w:cstheme="minorHAnsi"/>
        </w:rPr>
        <w:t xml:space="preserve"> </w:t>
      </w:r>
    </w:p>
  </w:footnote>
  <w:footnote w:id="54">
    <w:p w14:paraId="727FD749" w14:textId="77777777" w:rsidR="00133485" w:rsidRDefault="00133485" w:rsidP="00661DCE">
      <w:pPr>
        <w:pStyle w:val="FootnoteText"/>
      </w:pPr>
      <w:r>
        <w:rPr>
          <w:rStyle w:val="FootnoteReference"/>
        </w:rPr>
        <w:footnoteRef/>
      </w:r>
      <w:r>
        <w:t xml:space="preserve"> </w:t>
      </w:r>
      <w:hyperlink r:id="rId8" w:history="1">
        <w:r w:rsidRPr="0052024D">
          <w:rPr>
            <w:rStyle w:val="Hyperlink"/>
          </w:rPr>
          <w:t>https://www.energycodes.gov/status-state-energy-code-adoption</w:t>
        </w:r>
      </w:hyperlink>
      <w:r>
        <w:t xml:space="preserve"> - accessed June 12, 2015</w:t>
      </w:r>
    </w:p>
  </w:footnote>
  <w:footnote w:id="55">
    <w:p w14:paraId="2D7301D5" w14:textId="77777777" w:rsidR="00133485" w:rsidRPr="00D30D7B" w:rsidRDefault="00133485" w:rsidP="00661DCE">
      <w:pPr>
        <w:pStyle w:val="FootnoteText"/>
      </w:pPr>
      <w:r w:rsidRPr="009F2C48">
        <w:rPr>
          <w:rStyle w:val="FootnoteReference"/>
        </w:rPr>
        <w:footnoteRef/>
      </w:r>
      <w:r w:rsidRPr="009F2C48">
        <w:t xml:space="preserve"> </w:t>
      </w:r>
      <w:hyperlink r:id="rId9" w:history="1">
        <w:r w:rsidRPr="009F2C48">
          <w:rPr>
            <w:rStyle w:val="Hyperlink"/>
          </w:rPr>
          <w:t>http://www.energycodes.gov/resource-center</w:t>
        </w:r>
      </w:hyperlink>
      <w:r w:rsidRPr="00BA0687">
        <w:t xml:space="preserve"> </w:t>
      </w:r>
    </w:p>
  </w:footnote>
  <w:footnote w:id="56">
    <w:p w14:paraId="301A1B07" w14:textId="77777777" w:rsidR="00133485" w:rsidRPr="00A74210" w:rsidRDefault="00133485" w:rsidP="00661DCE">
      <w:pPr>
        <w:pStyle w:val="FootnoteText"/>
      </w:pPr>
      <w:r w:rsidRPr="00A74210">
        <w:rPr>
          <w:rStyle w:val="FootnoteReference"/>
        </w:rPr>
        <w:footnoteRef/>
      </w:r>
      <w:r w:rsidRPr="00A74210">
        <w:t xml:space="preserve"> Attributing Building Energy Code Savings to Energy Efficiency Programs, IEE/IMT/NEEP Report, February 2013, Prepared by: The Cadmus Group, Inc., Energy Futures Group NMR Group, Inc. Optimal Energy</w:t>
      </w:r>
    </w:p>
  </w:footnote>
  <w:footnote w:id="57">
    <w:p w14:paraId="748B9C6E" w14:textId="77777777" w:rsidR="00133485" w:rsidRPr="009F2C48" w:rsidRDefault="00133485" w:rsidP="004F346E">
      <w:pPr>
        <w:rPr>
          <w:rFonts w:asciiTheme="majorHAnsi" w:hAnsiTheme="majorHAnsi"/>
          <w:szCs w:val="20"/>
        </w:rPr>
      </w:pPr>
      <w:r>
        <w:rPr>
          <w:rStyle w:val="FootnoteReference"/>
        </w:rPr>
        <w:footnoteRef/>
      </w:r>
      <w:r>
        <w:t xml:space="preserve"> </w:t>
      </w:r>
      <w:r>
        <w:rPr>
          <w:rFonts w:asciiTheme="majorHAnsi" w:hAnsiTheme="majorHAnsi"/>
          <w:sz w:val="20"/>
          <w:szCs w:val="20"/>
        </w:rPr>
        <w:t>T</w:t>
      </w:r>
      <w:r w:rsidRPr="009F2C48">
        <w:rPr>
          <w:rFonts w:asciiTheme="majorHAnsi" w:hAnsiTheme="majorHAnsi"/>
          <w:sz w:val="20"/>
          <w:szCs w:val="20"/>
        </w:rPr>
        <w:t>he preferred way to determine compliance rates is with modeling or billing analyses</w:t>
      </w:r>
      <w:r>
        <w:rPr>
          <w:rFonts w:asciiTheme="majorHAnsi" w:hAnsiTheme="majorHAnsi"/>
          <w:sz w:val="20"/>
          <w:szCs w:val="20"/>
        </w:rPr>
        <w:t xml:space="preserve"> of actual buildings that were built or renovated and which were subject to the code</w:t>
      </w:r>
      <w:r w:rsidRPr="009F2C48">
        <w:rPr>
          <w:rFonts w:asciiTheme="majorHAnsi" w:hAnsiTheme="majorHAnsi"/>
          <w:sz w:val="20"/>
          <w:szCs w:val="20"/>
        </w:rPr>
        <w:t>.</w:t>
      </w:r>
      <w:r>
        <w:rPr>
          <w:rFonts w:asciiTheme="majorHAnsi" w:hAnsiTheme="majorHAnsi"/>
          <w:sz w:val="20"/>
          <w:szCs w:val="20"/>
        </w:rPr>
        <w:t xml:space="preserve"> </w:t>
      </w:r>
      <w:r w:rsidRPr="009F2C48">
        <w:rPr>
          <w:rFonts w:asciiTheme="majorHAnsi" w:hAnsiTheme="majorHAnsi"/>
          <w:sz w:val="20"/>
          <w:szCs w:val="20"/>
        </w:rPr>
        <w:t>However, such analyses can be enhanced by, or possibly replaced with interviews with key trade allies and/or experts in the building standard development process.</w:t>
      </w:r>
      <w:r>
        <w:rPr>
          <w:rFonts w:asciiTheme="majorHAnsi" w:hAnsiTheme="majorHAnsi"/>
          <w:sz w:val="20"/>
          <w:szCs w:val="20"/>
        </w:rPr>
        <w:t xml:space="preserve"> </w:t>
      </w:r>
    </w:p>
  </w:footnote>
  <w:footnote w:id="58">
    <w:p w14:paraId="2AFD0D57" w14:textId="77777777" w:rsidR="00133485" w:rsidRDefault="00133485" w:rsidP="00661DCE">
      <w:pPr>
        <w:pStyle w:val="FootnoteText"/>
      </w:pPr>
      <w:r w:rsidRPr="009F2C48">
        <w:rPr>
          <w:rStyle w:val="FootnoteReference"/>
        </w:rPr>
        <w:footnoteRef/>
      </w:r>
      <w:r w:rsidRPr="009F2C48">
        <w:t xml:space="preserve"> </w:t>
      </w:r>
      <w:hyperlink r:id="rId10" w:history="1">
        <w:r w:rsidRPr="009F2C48">
          <w:rPr>
            <w:rStyle w:val="Hyperlink"/>
          </w:rPr>
          <w:t>http://www.energycodes.gov/compliance/evaluation</w:t>
        </w:r>
      </w:hyperlink>
      <w:r>
        <w:rPr>
          <w:rFonts w:ascii="Palatino Linotype" w:hAnsi="Palatino Linotype"/>
        </w:rPr>
        <w:t xml:space="preserve"> </w:t>
      </w:r>
    </w:p>
  </w:footnote>
  <w:footnote w:id="59">
    <w:p w14:paraId="48F5934E" w14:textId="77777777" w:rsidR="00133485" w:rsidRPr="004650FF" w:rsidRDefault="00133485" w:rsidP="00661DCE">
      <w:pPr>
        <w:pStyle w:val="FootnoteText"/>
      </w:pPr>
      <w:r w:rsidRPr="004650FF">
        <w:rPr>
          <w:rStyle w:val="FootnoteReference"/>
        </w:rPr>
        <w:footnoteRef/>
      </w:r>
      <w:r>
        <w:t xml:space="preserve"> </w:t>
      </w:r>
      <w:r w:rsidRPr="00F75E11">
        <w:t xml:space="preserve">Electricity savings associated with </w:t>
      </w:r>
      <w:r>
        <w:t>federal</w:t>
      </w:r>
      <w:r w:rsidRPr="00F75E11">
        <w:t xml:space="preserve"> product standards </w:t>
      </w:r>
      <w:r>
        <w:t>or adopting codes that the federal government has already determined to be cost-effective</w:t>
      </w:r>
      <w:r w:rsidRPr="00F75E11">
        <w:t xml:space="preserve"> cannot be used for compliance</w:t>
      </w:r>
      <w:r>
        <w:t xml:space="preserve"> with EPA’s emissions guidelines</w:t>
      </w:r>
      <w:r w:rsidRPr="00F75E11">
        <w:t>.</w:t>
      </w:r>
    </w:p>
  </w:footnote>
  <w:footnote w:id="60">
    <w:p w14:paraId="1020E2DE" w14:textId="77777777" w:rsidR="00133485" w:rsidRPr="004650FF" w:rsidRDefault="00133485" w:rsidP="00661DCE">
      <w:pPr>
        <w:pStyle w:val="FootnoteText"/>
      </w:pPr>
      <w:r w:rsidRPr="006D78FC">
        <w:rPr>
          <w:rStyle w:val="FootnoteReference"/>
        </w:rPr>
        <w:footnoteRef/>
      </w:r>
      <w:r w:rsidRPr="006D78FC">
        <w:t xml:space="preserve"> </w:t>
      </w:r>
      <w:r w:rsidRPr="008D6F4E">
        <w:t>Standards usually include the test procedures needed to measure the efficiency of these products and some guidance on how equipment that meets these standards needs to be labeled or includ</w:t>
      </w:r>
      <w:r>
        <w:t>ed</w:t>
      </w:r>
      <w:r w:rsidRPr="008D6F4E">
        <w:t xml:space="preserve"> in directories.</w:t>
      </w:r>
      <w:r>
        <w:rPr>
          <w:color w:val="000000" w:themeColor="text1"/>
        </w:rPr>
        <w:t xml:space="preserve"> </w:t>
      </w:r>
      <w:r>
        <w:t>A</w:t>
      </w:r>
      <w:r w:rsidRPr="006D78FC">
        <w:t xml:space="preserve"> recent study indicated that existing </w:t>
      </w:r>
      <w:r>
        <w:t>Federal</w:t>
      </w:r>
      <w:r w:rsidRPr="006D78FC">
        <w:t xml:space="preserve"> standards alone will produce annual electricity savi</w:t>
      </w:r>
      <w:r>
        <w:t xml:space="preserve">ngs in </w:t>
      </w:r>
      <w:r w:rsidRPr="006D78FC">
        <w:t xml:space="preserve">2035 of about 720 </w:t>
      </w:r>
      <w:proofErr w:type="spellStart"/>
      <w:r w:rsidRPr="006D78FC">
        <w:t>TWh</w:t>
      </w:r>
      <w:proofErr w:type="spellEnd"/>
      <w:r w:rsidRPr="006D78FC">
        <w:t>, saving about 14</w:t>
      </w:r>
      <w:r>
        <w:t xml:space="preserve"> percent</w:t>
      </w:r>
      <w:r w:rsidRPr="006D78FC">
        <w:t xml:space="preserve"> of what the projected annual</w:t>
      </w:r>
      <w:r>
        <w:rPr>
          <w:rFonts w:ascii="Arial" w:hAnsi="Arial" w:cs="Arial"/>
        </w:rPr>
        <w:t xml:space="preserve"> </w:t>
      </w:r>
      <w:r w:rsidRPr="00763965">
        <w:t>electricity consumption in that year would have been without standards</w:t>
      </w:r>
      <w:r>
        <w:t>,</w:t>
      </w:r>
      <w:r w:rsidRPr="00763965">
        <w:t xml:space="preserve"> </w:t>
      </w:r>
      <w:r>
        <w:t>along with</w:t>
      </w:r>
      <w:r w:rsidRPr="00763965">
        <w:t xml:space="preserve"> annual emissions reductions in 2035 of around 470 million metric tons of CO</w:t>
      </w:r>
      <w:r w:rsidRPr="00763965">
        <w:rPr>
          <w:vertAlign w:val="subscript"/>
        </w:rPr>
        <w:t>2</w:t>
      </w:r>
      <w:r>
        <w:rPr>
          <w:vertAlign w:val="subscript"/>
        </w:rPr>
        <w:t xml:space="preserve">. </w:t>
      </w:r>
      <w:r w:rsidRPr="004650FF">
        <w:t>F</w:t>
      </w:r>
      <w:r>
        <w:t xml:space="preserve">rom: </w:t>
      </w:r>
      <w:r w:rsidRPr="006D78FC">
        <w:t>The Efficiency Boom:</w:t>
      </w:r>
      <w:r w:rsidRPr="006D78FC">
        <w:rPr>
          <w:rFonts w:ascii="MS Gothic" w:hAnsi="MS Gothic" w:cs="MS Gothic"/>
        </w:rPr>
        <w:t> </w:t>
      </w:r>
      <w:r w:rsidRPr="006D78FC">
        <w:t>Cashing In on the Savings from Appliance Standards,</w:t>
      </w:r>
      <w:r w:rsidRPr="006D78FC">
        <w:rPr>
          <w:rFonts w:cs="Times"/>
        </w:rPr>
        <w:t xml:space="preserve"> </w:t>
      </w:r>
      <w:r w:rsidRPr="006D78FC">
        <w:t>Updated from and supersedes report ASAP-7/ACEEE-A091,</w:t>
      </w:r>
      <w:r w:rsidRPr="006D78FC">
        <w:rPr>
          <w:rFonts w:cs="Times"/>
        </w:rPr>
        <w:t xml:space="preserve"> </w:t>
      </w:r>
      <w:r w:rsidRPr="006D78FC">
        <w:t xml:space="preserve">Amanda </w:t>
      </w:r>
      <w:proofErr w:type="spellStart"/>
      <w:r w:rsidRPr="006D78FC">
        <w:t>Lowenberger</w:t>
      </w:r>
      <w:proofErr w:type="spellEnd"/>
      <w:r w:rsidRPr="006D78FC">
        <w:t xml:space="preserve">, Joanna </w:t>
      </w:r>
      <w:proofErr w:type="spellStart"/>
      <w:r w:rsidRPr="006D78FC">
        <w:t>Mauer</w:t>
      </w:r>
      <w:proofErr w:type="spellEnd"/>
      <w:r w:rsidRPr="006D78FC">
        <w:t xml:space="preserve">, Andrew </w:t>
      </w:r>
      <w:proofErr w:type="spellStart"/>
      <w:r w:rsidRPr="006D78FC">
        <w:t>deLaski</w:t>
      </w:r>
      <w:proofErr w:type="spellEnd"/>
      <w:r w:rsidRPr="006D78FC">
        <w:t xml:space="preserve">, Marianne </w:t>
      </w:r>
      <w:proofErr w:type="spellStart"/>
      <w:r w:rsidRPr="006D78FC">
        <w:t>DiMascio</w:t>
      </w:r>
      <w:proofErr w:type="spellEnd"/>
      <w:r w:rsidRPr="006D78FC">
        <w:t>, Jennifer Amann, and Steven Nadel,</w:t>
      </w:r>
      <w:r w:rsidRPr="006D78FC">
        <w:rPr>
          <w:rFonts w:cs="Times"/>
        </w:rPr>
        <w:t xml:space="preserve"> </w:t>
      </w:r>
      <w:r w:rsidRPr="006D78FC">
        <w:t>March 2012.</w:t>
      </w:r>
      <w:r w:rsidRPr="006D78FC">
        <w:rPr>
          <w:rFonts w:ascii="MS Gothic" w:hAnsi="MS Gothic" w:cs="MS Gothic"/>
        </w:rPr>
        <w:t> </w:t>
      </w:r>
      <w:r w:rsidRPr="006D78FC">
        <w:t>Report Number ASAP-8/ACEEE-A123</w:t>
      </w:r>
      <w:r>
        <w:t>. Fo</w:t>
      </w:r>
      <w:r w:rsidRPr="004650FF">
        <w:t xml:space="preserve">r </w:t>
      </w:r>
      <w:r>
        <w:t xml:space="preserve">a </w:t>
      </w:r>
      <w:r w:rsidRPr="004650FF">
        <w:t xml:space="preserve">list of </w:t>
      </w:r>
      <w:r>
        <w:t xml:space="preserve">States that have adopted </w:t>
      </w:r>
      <w:r w:rsidRPr="004650FF">
        <w:t>national standards</w:t>
      </w:r>
      <w:r>
        <w:t>,</w:t>
      </w:r>
      <w:r w:rsidRPr="004650FF">
        <w:t xml:space="preserve"> see</w:t>
      </w:r>
      <w:r>
        <w:t>:</w:t>
      </w:r>
      <w:r w:rsidRPr="004650FF">
        <w:t xml:space="preserve"> </w:t>
      </w:r>
      <w:hyperlink r:id="rId11" w:history="1">
        <w:r w:rsidRPr="004650FF">
          <w:rPr>
            <w:rStyle w:val="Hyperlink"/>
          </w:rPr>
          <w:t>http://www.appliance-standards.org/federal</w:t>
        </w:r>
      </w:hyperlink>
      <w:r w:rsidRPr="004650FF">
        <w:t xml:space="preserve"> and </w:t>
      </w:r>
      <w:hyperlink r:id="rId12" w:history="1">
        <w:r w:rsidRPr="000F31D0">
          <w:rPr>
            <w:rStyle w:val="Hyperlink"/>
          </w:rPr>
          <w:t>http://www.energy.gov/eere/buildings/appliance-and-equipment-standards-program</w:t>
        </w:r>
      </w:hyperlink>
      <w:r w:rsidRPr="004650FF">
        <w:t xml:space="preserve"> </w:t>
      </w:r>
    </w:p>
  </w:footnote>
  <w:footnote w:id="61">
    <w:p w14:paraId="58AC15B8" w14:textId="77777777" w:rsidR="00133485" w:rsidRPr="000F70E0" w:rsidRDefault="00133485" w:rsidP="00661DCE">
      <w:pPr>
        <w:pStyle w:val="FootnoteText"/>
      </w:pPr>
      <w:r w:rsidRPr="004650FF">
        <w:rPr>
          <w:rStyle w:val="FootnoteReference"/>
        </w:rPr>
        <w:footnoteRef/>
      </w:r>
      <w:r w:rsidRPr="004650FF">
        <w:t xml:space="preserve"> Federal regulation becomes the law and supersedes any </w:t>
      </w:r>
      <w:r>
        <w:t>State</w:t>
      </w:r>
      <w:r w:rsidRPr="004650FF">
        <w:t xml:space="preserve"> regulation. Once the </w:t>
      </w:r>
      <w:r>
        <w:t>Federal</w:t>
      </w:r>
      <w:r w:rsidRPr="004650FF">
        <w:t xml:space="preserve"> government establishes an energy-efficiency standard, no </w:t>
      </w:r>
      <w:r>
        <w:t>State</w:t>
      </w:r>
      <w:r w:rsidRPr="004650FF">
        <w:t xml:space="preserve"> may have a regulation different from the </w:t>
      </w:r>
      <w:r>
        <w:t>Federal</w:t>
      </w:r>
      <w:r w:rsidRPr="004650FF">
        <w:t xml:space="preserve"> standard. This is referred to as </w:t>
      </w:r>
      <w:r>
        <w:t>Federal</w:t>
      </w:r>
      <w:r w:rsidRPr="004650FF">
        <w:t xml:space="preserve"> pre-emption.</w:t>
      </w:r>
    </w:p>
  </w:footnote>
  <w:footnote w:id="62">
    <w:p w14:paraId="5CCA2116" w14:textId="77777777" w:rsidR="00133485" w:rsidRPr="004650FF" w:rsidRDefault="00133485" w:rsidP="00661DCE">
      <w:pPr>
        <w:pStyle w:val="FootnoteText"/>
      </w:pPr>
      <w:r w:rsidRPr="004650FF">
        <w:rPr>
          <w:rStyle w:val="FootnoteReference"/>
        </w:rPr>
        <w:footnoteRef/>
      </w:r>
      <w:r w:rsidRPr="004650FF">
        <w:t xml:space="preserve"> Quoted directly from </w:t>
      </w:r>
      <w:hyperlink r:id="rId13" w:history="1">
        <w:r w:rsidRPr="004650FF">
          <w:rPr>
            <w:rStyle w:val="Hyperlink"/>
          </w:rPr>
          <w:t>http://www.appliance-standards.org/standard-basics-DOE-state-legislature-product-requirements</w:t>
        </w:r>
      </w:hyperlink>
      <w:r w:rsidRPr="004650FF">
        <w:t xml:space="preserve"> accessed 12/30/14. </w:t>
      </w:r>
    </w:p>
  </w:footnote>
  <w:footnote w:id="63">
    <w:p w14:paraId="516442C0" w14:textId="77777777" w:rsidR="00133485" w:rsidRPr="004650FF" w:rsidRDefault="00133485" w:rsidP="00661DCE">
      <w:pPr>
        <w:pStyle w:val="FootnoteText"/>
      </w:pPr>
      <w:r w:rsidRPr="004650FF">
        <w:rPr>
          <w:rStyle w:val="FootnoteReference"/>
        </w:rPr>
        <w:footnoteRef/>
      </w:r>
      <w:r w:rsidRPr="004650FF">
        <w:t xml:space="preserve"> For list of </w:t>
      </w:r>
      <w:r>
        <w:t>State</w:t>
      </w:r>
      <w:r w:rsidRPr="004650FF">
        <w:t xml:space="preserve"> standards see </w:t>
      </w:r>
      <w:hyperlink r:id="rId14" w:history="1">
        <w:r w:rsidRPr="004650FF">
          <w:rPr>
            <w:rStyle w:val="Hyperlink"/>
          </w:rPr>
          <w:t>http://www.appliance-standards.org/states</w:t>
        </w:r>
      </w:hyperlink>
      <w:r w:rsidRPr="004650FF">
        <w:t xml:space="preserve"> </w:t>
      </w:r>
    </w:p>
  </w:footnote>
  <w:footnote w:id="64">
    <w:p w14:paraId="0E619FF6" w14:textId="77777777" w:rsidR="00133485" w:rsidRDefault="00133485" w:rsidP="00661DCE">
      <w:pPr>
        <w:pStyle w:val="FootnoteText"/>
      </w:pPr>
      <w:r w:rsidRPr="004650FF">
        <w:rPr>
          <w:rStyle w:val="FootnoteReference"/>
        </w:rPr>
        <w:footnoteRef/>
      </w:r>
      <w:r w:rsidRPr="004650FF">
        <w:t xml:space="preserve"> Not only sales, but also installation of the sold equipment should be assessed, but for the purposes of this guidance document, only sales data are described as involved in determining electricity savings.</w:t>
      </w:r>
    </w:p>
  </w:footnote>
  <w:footnote w:id="65">
    <w:p w14:paraId="52425C89" w14:textId="77777777" w:rsidR="00133485" w:rsidRPr="006D78FC" w:rsidRDefault="00133485" w:rsidP="002A356E">
      <w:pPr>
        <w:rPr>
          <w:rFonts w:asciiTheme="majorHAnsi" w:hAnsiTheme="majorHAnsi" w:cstheme="majorHAnsi"/>
        </w:rPr>
      </w:pPr>
      <w:r w:rsidRPr="006D78FC">
        <w:rPr>
          <w:rStyle w:val="FootnoteReference"/>
          <w:rFonts w:asciiTheme="majorHAnsi" w:hAnsiTheme="majorHAnsi" w:cstheme="majorHAnsi"/>
        </w:rPr>
        <w:footnoteRef/>
      </w:r>
      <w:r w:rsidRPr="006D78FC">
        <w:rPr>
          <w:rFonts w:asciiTheme="majorHAnsi" w:hAnsiTheme="majorHAnsi" w:cstheme="majorHAnsi"/>
        </w:rPr>
        <w:t xml:space="preserve"> Singh, </w:t>
      </w:r>
      <w:proofErr w:type="spellStart"/>
      <w:r w:rsidRPr="006D78FC">
        <w:rPr>
          <w:rFonts w:asciiTheme="majorHAnsi" w:hAnsiTheme="majorHAnsi" w:cstheme="majorHAnsi"/>
        </w:rPr>
        <w:t>Harinder</w:t>
      </w:r>
      <w:proofErr w:type="spellEnd"/>
      <w:r w:rsidRPr="006D78FC">
        <w:rPr>
          <w:rFonts w:asciiTheme="majorHAnsi" w:hAnsiTheme="majorHAnsi" w:cstheme="majorHAnsi"/>
        </w:rPr>
        <w:t xml:space="preserve">, Ken Rider, Betty Chrisman, and Jared </w:t>
      </w:r>
      <w:proofErr w:type="spellStart"/>
      <w:r w:rsidRPr="006D78FC">
        <w:rPr>
          <w:rFonts w:asciiTheme="majorHAnsi" w:hAnsiTheme="majorHAnsi" w:cstheme="majorHAnsi"/>
        </w:rPr>
        <w:t>Babula</w:t>
      </w:r>
      <w:proofErr w:type="spellEnd"/>
      <w:r w:rsidRPr="006D78FC">
        <w:rPr>
          <w:rFonts w:asciiTheme="majorHAnsi" w:hAnsiTheme="majorHAnsi" w:cstheme="majorHAnsi"/>
        </w:rPr>
        <w:t xml:space="preserve">. 2014. </w:t>
      </w:r>
      <w:r w:rsidRPr="006D78FC">
        <w:rPr>
          <w:rFonts w:asciiTheme="majorHAnsi" w:hAnsiTheme="majorHAnsi" w:cstheme="majorHAnsi"/>
          <w:i/>
          <w:iCs/>
        </w:rPr>
        <w:t xml:space="preserve">2014 Appliance Efficiency Regulations. </w:t>
      </w:r>
      <w:r w:rsidRPr="006D78FC">
        <w:rPr>
          <w:rFonts w:asciiTheme="majorHAnsi" w:hAnsiTheme="majorHAnsi" w:cstheme="majorHAnsi"/>
        </w:rPr>
        <w:t xml:space="preserve">California Energy Commission. Publication Number: CEC-400-2014-009-CMF </w:t>
      </w:r>
    </w:p>
    <w:p w14:paraId="56E4C823" w14:textId="77777777" w:rsidR="00133485" w:rsidRDefault="00133485" w:rsidP="00661DCE">
      <w:pPr>
        <w:pStyle w:val="FootnoteText"/>
      </w:pPr>
    </w:p>
  </w:footnote>
  <w:footnote w:id="66">
    <w:p w14:paraId="21DED4C9" w14:textId="77777777" w:rsidR="00133485" w:rsidRDefault="00133485" w:rsidP="00661DCE">
      <w:pPr>
        <w:pStyle w:val="FootnoteText"/>
      </w:pPr>
      <w:r>
        <w:rPr>
          <w:rStyle w:val="FootnoteReference"/>
        </w:rPr>
        <w:footnoteRef/>
      </w:r>
      <w:r>
        <w:t xml:space="preserve"> Program life may be estimated as the average life of the measures being offered under the program. </w:t>
      </w:r>
    </w:p>
  </w:footnote>
  <w:footnote w:id="67">
    <w:p w14:paraId="7C95F656" w14:textId="04B7F71F" w:rsidR="00133485" w:rsidRDefault="00133485" w:rsidP="00661DCE">
      <w:pPr>
        <w:pStyle w:val="FootnoteText"/>
      </w:pPr>
      <w:r>
        <w:rPr>
          <w:rStyle w:val="FootnoteReference"/>
        </w:rPr>
        <w:footnoteRef/>
      </w:r>
      <w:r w:rsidR="00894C60">
        <w:t xml:space="preserve"> </w:t>
      </w:r>
      <w:r w:rsidR="005E09C1">
        <w:t xml:space="preserve">Certain states, EE providers, and other stakeholders may currently apply variations of these terms. </w:t>
      </w:r>
      <w:r w:rsidR="00894C60" w:rsidRPr="00894C60">
        <w:t xml:space="preserve">For additional </w:t>
      </w:r>
      <w:r w:rsidR="005E09C1">
        <w:t>information</w:t>
      </w:r>
      <w:r w:rsidR="00894C60" w:rsidRPr="00894C60">
        <w:t xml:space="preserve">, readers </w:t>
      </w:r>
      <w:r w:rsidR="00894C60">
        <w:t xml:space="preserve">can </w:t>
      </w:r>
      <w:r w:rsidR="00894C60" w:rsidRPr="00894C60">
        <w:t xml:space="preserve">consult </w:t>
      </w:r>
      <w:r w:rsidR="00894C60">
        <w:t xml:space="preserve">the glossary of the </w:t>
      </w:r>
      <w:r w:rsidR="00894C60" w:rsidRPr="00894C60">
        <w:t>SEE Action EM&amp;V Guide</w:t>
      </w:r>
      <w:r w:rsidR="00894C60">
        <w:t xml:space="preserve">.  </w:t>
      </w:r>
      <w:r w:rsidRPr="009F3B67">
        <w:t xml:space="preserve">State and Local Energy Efficiency Action Network. 2012. </w:t>
      </w:r>
      <w:r w:rsidRPr="009F3B67">
        <w:rPr>
          <w:i/>
          <w:iCs/>
        </w:rPr>
        <w:t>Energy Efficiency Program Impact Evaluation Guide</w:t>
      </w:r>
      <w:r w:rsidRPr="009F3B67">
        <w:t xml:space="preserve">. Prepared by Steven R. Schiller, Schiller Consulting, </w:t>
      </w:r>
      <w:r>
        <w:t>Inc., www.seeaction.energy.gov.</w:t>
      </w:r>
    </w:p>
  </w:footnote>
  <w:footnote w:id="68">
    <w:p w14:paraId="201840D9" w14:textId="2032A503" w:rsidR="00133485" w:rsidRPr="00CA771D" w:rsidRDefault="00133485" w:rsidP="0097148B">
      <w:pPr>
        <w:pStyle w:val="FootnoteText"/>
      </w:pPr>
      <w:r w:rsidRPr="001D079E">
        <w:rPr>
          <w:rStyle w:val="FootnoteReference"/>
        </w:rPr>
        <w:footnoteRef/>
      </w:r>
      <w:r w:rsidRPr="00CD2257">
        <w:t xml:space="preserve"> With </w:t>
      </w:r>
      <w:r w:rsidR="005E09C1">
        <w:t>PB-MV,</w:t>
      </w:r>
      <w:r w:rsidRPr="00CD2257">
        <w:t xml:space="preserve"> one could say that the “comparison group” is the affected facility before the efficiency retrofit. This approach is known as pre-post analysis and some people categorize it as a quasi-experimental method. However, because of how the comparison group is defined, it does not have the benefits of more rigorously implemented quasi-experimental methods and is not considered a comparison group method for the purposes of this guidance.</w:t>
      </w:r>
    </w:p>
  </w:footnote>
  <w:footnote w:id="69">
    <w:p w14:paraId="5D7C8532" w14:textId="77777777" w:rsidR="00133485" w:rsidRPr="00383D5E" w:rsidRDefault="00133485" w:rsidP="0001760A">
      <w:pPr>
        <w:rPr>
          <w:sz w:val="20"/>
          <w:szCs w:val="20"/>
        </w:rPr>
      </w:pPr>
      <w:r>
        <w:rPr>
          <w:rStyle w:val="FootnoteReference"/>
        </w:rPr>
        <w:footnoteRef/>
      </w:r>
      <w:r>
        <w:t xml:space="preserve"> </w:t>
      </w:r>
      <w:r w:rsidRPr="00383D5E">
        <w:rPr>
          <w:sz w:val="20"/>
          <w:szCs w:val="20"/>
        </w:rPr>
        <w:t xml:space="preserve">Note the range of </w:t>
      </w:r>
      <w:r>
        <w:rPr>
          <w:sz w:val="20"/>
          <w:szCs w:val="20"/>
        </w:rPr>
        <w:t xml:space="preserve">recently evaluated </w:t>
      </w:r>
      <w:r w:rsidRPr="00383D5E">
        <w:rPr>
          <w:sz w:val="20"/>
          <w:szCs w:val="20"/>
        </w:rPr>
        <w:t>residential lamp operating hours range f</w:t>
      </w:r>
      <w:r>
        <w:rPr>
          <w:sz w:val="20"/>
          <w:szCs w:val="20"/>
        </w:rPr>
        <w:t xml:space="preserve">rom 1.7 to 3.0 hours per day. </w:t>
      </w:r>
    </w:p>
  </w:footnote>
  <w:footnote w:id="70">
    <w:p w14:paraId="0D0EAA21" w14:textId="77777777" w:rsidR="00133485" w:rsidRPr="00192E5D" w:rsidRDefault="00133485" w:rsidP="00661DCE">
      <w:pPr>
        <w:pStyle w:val="FootnoteText"/>
      </w:pPr>
      <w:r>
        <w:rPr>
          <w:rStyle w:val="FootnoteReference"/>
        </w:rPr>
        <w:footnoteRef/>
      </w:r>
      <w:r>
        <w:t xml:space="preserve"> </w:t>
      </w:r>
      <w:r w:rsidRPr="00192E5D">
        <w:t>Note all of these approaches assume that hours of use for the new efficient bulbs is equivalent to the hours of use for the baseline bulbs. This assumption may need to be tested as saturation of LED’s increase.</w:t>
      </w:r>
      <w:r>
        <w:t xml:space="preserve"> </w:t>
      </w:r>
    </w:p>
  </w:footnote>
  <w:footnote w:id="71">
    <w:p w14:paraId="06A17B19" w14:textId="77777777" w:rsidR="00133485" w:rsidRDefault="00133485" w:rsidP="00661DCE">
      <w:pPr>
        <w:pStyle w:val="FootnoteText"/>
      </w:pPr>
      <w:r w:rsidRPr="00192E5D">
        <w:rPr>
          <w:rStyle w:val="FootnoteReference"/>
        </w:rPr>
        <w:footnoteRef/>
      </w:r>
      <w:r w:rsidRPr="00192E5D">
        <w:t xml:space="preserve"> </w:t>
      </w:r>
      <w:r>
        <w:t>Savings=multiplier * efficient bulb wattage. This m</w:t>
      </w:r>
      <w:r w:rsidRPr="00192E5D">
        <w:t>ultiplier is usually based on a bin match of the lumens produced by specific baseline and more efficient bulbs</w:t>
      </w:r>
    </w:p>
  </w:footnote>
  <w:footnote w:id="72">
    <w:p w14:paraId="7BFC3004" w14:textId="58AC0491" w:rsidR="00133485" w:rsidRDefault="00133485" w:rsidP="00661DCE">
      <w:pPr>
        <w:pStyle w:val="FootnoteText"/>
      </w:pPr>
      <w:r>
        <w:rPr>
          <w:rStyle w:val="FootnoteReference"/>
        </w:rPr>
        <w:footnoteRef/>
      </w:r>
      <w:r>
        <w:t xml:space="preserve"> Examples of equivalent wattage tables can be found in </w:t>
      </w:r>
      <w:r w:rsidRPr="00137180">
        <w:t>Massachusetts Technical Reference Manual 2011</w:t>
      </w:r>
      <w:r>
        <w:t xml:space="preserve"> (</w:t>
      </w:r>
      <w:hyperlink r:id="rId15" w:history="1">
        <w:r w:rsidRPr="00B6269C">
          <w:rPr>
            <w:rStyle w:val="Hyperlink1"/>
          </w:rPr>
          <w:t>http://www.ma-eeac.org/index.htm</w:t>
        </w:r>
      </w:hyperlink>
      <w:r>
        <w:t>)</w:t>
      </w:r>
      <w:r w:rsidRPr="00137180">
        <w:t>,</w:t>
      </w:r>
      <w:r>
        <w:t xml:space="preserve"> the New York Standard Approach for Estimating Energy Savings from Energy Efficiency Programs 2010 (</w:t>
      </w:r>
      <w:hyperlink r:id="rId16" w:history="1">
        <w:r w:rsidRPr="00B6269C">
          <w:rPr>
            <w:rStyle w:val="Hyperlink1"/>
          </w:rPr>
          <w:t>http://www.dps.ny.gov/TechManualNYRevised10-15-10.pdf</w:t>
        </w:r>
      </w:hyperlink>
      <w:r>
        <w:t xml:space="preserve"> ), and the Database for Energy Efficiency Resources (</w:t>
      </w:r>
      <w:r w:rsidRPr="00922093">
        <w:rPr>
          <w:rStyle w:val="Hyperlink"/>
        </w:rPr>
        <w:t>http://</w:t>
      </w:r>
      <w:hyperlink r:id="rId17" w:history="1">
        <w:r w:rsidRPr="00922093">
          <w:rPr>
            <w:rStyle w:val="Hyperlink"/>
          </w:rPr>
          <w:t>www.deeresources.com</w:t>
        </w:r>
      </w:hyperlink>
      <w:r>
        <w:t xml:space="preserve"> )</w:t>
      </w:r>
    </w:p>
  </w:footnote>
  <w:footnote w:id="73">
    <w:p w14:paraId="14CB03AA" w14:textId="77777777" w:rsidR="00133485" w:rsidRPr="00E86A32" w:rsidRDefault="00133485" w:rsidP="00661DCE">
      <w:pPr>
        <w:pStyle w:val="FootnoteText"/>
      </w:pPr>
      <w:r>
        <w:rPr>
          <w:rStyle w:val="FootnoteReference"/>
        </w:rPr>
        <w:footnoteRef/>
      </w:r>
      <w:r>
        <w:t xml:space="preserve"> </w:t>
      </w:r>
      <w:r w:rsidRPr="00E86A32">
        <w:t xml:space="preserve">State and Local Energy Efficiency Action Network. 2012. Evaluation, Measurement, and Verification (EM&amp;V) of Residential Behavior-Based Energy Efficiency Programs: Issues and Recommendations. Prepared by A. Todd, E. Stuart, S. Schiller, and C. Goldman, Lawrence Berkeley National Laboratory. </w:t>
      </w:r>
      <w:r w:rsidRPr="00922093">
        <w:rPr>
          <w:rStyle w:val="Hyperlink"/>
        </w:rPr>
        <w:t>http://www.behavioranalytics.lbl.gov</w:t>
      </w:r>
      <w:r w:rsidRPr="00E86A32">
        <w:t xml:space="preserve">. </w:t>
      </w:r>
    </w:p>
  </w:footnote>
  <w:footnote w:id="74">
    <w:p w14:paraId="4B584E20" w14:textId="77777777" w:rsidR="00133485" w:rsidRDefault="00133485" w:rsidP="00661DCE">
      <w:pPr>
        <w:pStyle w:val="FootnoteText"/>
      </w:pPr>
      <w:r>
        <w:rPr>
          <w:rStyle w:val="FootnoteReference"/>
        </w:rPr>
        <w:footnoteRef/>
      </w:r>
      <w:r>
        <w:t xml:space="preserve"> Uniform Methods Project, Chapter 8: Whole-Building Retrofit with Consumption ( Data Analysis Evaluation Protocol (Prepared by Mimi Rosenberg and Ken Agnew for the National Renewable Energy Laboratory NREL, April 2013)</w:t>
      </w:r>
      <w:r w:rsidRPr="00922093">
        <w:rPr>
          <w:rStyle w:val="Hyperlink"/>
        </w:rPr>
        <w:t xml:space="preserve"> http://www.energy.gov/sites/prod/files/2013/11/f5/53827-8.pdf</w:t>
      </w:r>
    </w:p>
  </w:footnote>
  <w:footnote w:id="75">
    <w:p w14:paraId="15B9F267" w14:textId="77777777" w:rsidR="00133485" w:rsidRDefault="00133485" w:rsidP="00661DCE">
      <w:pPr>
        <w:pStyle w:val="FootnoteText"/>
      </w:pPr>
      <w:r>
        <w:rPr>
          <w:rStyle w:val="FootnoteReference"/>
        </w:rPr>
        <w:footnoteRef/>
      </w:r>
      <w:r>
        <w:t xml:space="preserve"> Two stages in this regression approach refers to the first stage of the regression analysis where changes in usage or savings are estimated using past or previous participating customers and then in a second stage of analysis where changes in usage are estimated for the current participant sample. Savings are estimated using a difference of differences approach across the entire group. Use of past or future participants as a comparison group helps avoid biases in savings estimates introduced by customer self-selection into the program. </w:t>
      </w:r>
    </w:p>
  </w:footnote>
  <w:footnote w:id="76">
    <w:p w14:paraId="1995058E" w14:textId="77777777" w:rsidR="00133485" w:rsidRDefault="00133485" w:rsidP="00661DCE">
      <w:pPr>
        <w:pStyle w:val="FootnoteText"/>
      </w:pPr>
      <w:r>
        <w:rPr>
          <w:rStyle w:val="FootnoteReference"/>
        </w:rPr>
        <w:footnoteRef/>
      </w:r>
      <w:r>
        <w:t>Examples of area use types include conference room, offices, halls, bathrooms, storage rooms, or retail display.</w:t>
      </w:r>
    </w:p>
  </w:footnote>
  <w:footnote w:id="77">
    <w:p w14:paraId="0502CB8B" w14:textId="77777777" w:rsidR="00133485" w:rsidRDefault="00133485" w:rsidP="00661DCE">
      <w:pPr>
        <w:pStyle w:val="FootnoteText"/>
      </w:pPr>
      <w:r>
        <w:rPr>
          <w:rStyle w:val="FootnoteReference"/>
        </w:rPr>
        <w:footnoteRef/>
      </w:r>
      <w:r>
        <w:t xml:space="preserve"> Table 6 page 13 in the Chiller Evaluation protocol at </w:t>
      </w:r>
      <w:hyperlink r:id="rId18" w:history="1">
        <w:r w:rsidRPr="00B6269C">
          <w:rPr>
            <w:rStyle w:val="Hyperlink"/>
          </w:rPr>
          <w:t>http://energy.gov/sites/prod/files/2014/10/f18/Chapter%2014--Chiller%20Evaluation%20Protocol.pdf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42A6D" w14:textId="1F801934" w:rsidR="00133485" w:rsidRDefault="00133485" w:rsidP="00823462">
    <w:pPr>
      <w:pStyle w:val="Header"/>
      <w:jc w:val="center"/>
      <w:rPr>
        <w:rFonts w:ascii="Times New Roman" w:hAnsi="Times New Roman"/>
        <w:sz w:val="24"/>
      </w:rPr>
    </w:pPr>
    <w:r>
      <w:rPr>
        <w:i/>
        <w:iCs/>
      </w:rPr>
      <w:t xml:space="preserve">*** Draft for Public Input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9pt;height:9pt" o:bullet="t">
        <v:imagedata r:id="rId1" o:title="bullet2"/>
      </v:shape>
    </w:pict>
  </w:numPicBullet>
  <w:numPicBullet w:numPicBulletId="1">
    <w:pict>
      <v:shape id="_x0000_i1142" type="#_x0000_t75" style="width:9pt;height:9pt" o:bullet="t">
        <v:imagedata r:id="rId2" o:title="bullet3"/>
      </v:shape>
    </w:pict>
  </w:numPicBullet>
  <w:abstractNum w:abstractNumId="0">
    <w:nsid w:val="FFFFFF7C"/>
    <w:multiLevelType w:val="singleLevel"/>
    <w:tmpl w:val="88F6B480"/>
    <w:lvl w:ilvl="0">
      <w:start w:val="1"/>
      <w:numFmt w:val="decimal"/>
      <w:lvlText w:val="%1."/>
      <w:lvlJc w:val="left"/>
      <w:pPr>
        <w:tabs>
          <w:tab w:val="num" w:pos="1800"/>
        </w:tabs>
        <w:ind w:left="1800" w:hanging="360"/>
      </w:pPr>
    </w:lvl>
  </w:abstractNum>
  <w:abstractNum w:abstractNumId="1">
    <w:nsid w:val="FFFFFF7D"/>
    <w:multiLevelType w:val="singleLevel"/>
    <w:tmpl w:val="7E4CC95C"/>
    <w:lvl w:ilvl="0">
      <w:start w:val="1"/>
      <w:numFmt w:val="decimal"/>
      <w:lvlText w:val="%1."/>
      <w:lvlJc w:val="left"/>
      <w:pPr>
        <w:tabs>
          <w:tab w:val="num" w:pos="1440"/>
        </w:tabs>
        <w:ind w:left="1440" w:hanging="360"/>
      </w:pPr>
    </w:lvl>
  </w:abstractNum>
  <w:abstractNum w:abstractNumId="2">
    <w:nsid w:val="FFFFFF7E"/>
    <w:multiLevelType w:val="singleLevel"/>
    <w:tmpl w:val="9A96F9DC"/>
    <w:lvl w:ilvl="0">
      <w:start w:val="1"/>
      <w:numFmt w:val="decimal"/>
      <w:lvlText w:val="%1."/>
      <w:lvlJc w:val="left"/>
      <w:pPr>
        <w:tabs>
          <w:tab w:val="num" w:pos="1080"/>
        </w:tabs>
        <w:ind w:left="1080" w:hanging="360"/>
      </w:pPr>
    </w:lvl>
  </w:abstractNum>
  <w:abstractNum w:abstractNumId="3">
    <w:nsid w:val="FFFFFF7F"/>
    <w:multiLevelType w:val="singleLevel"/>
    <w:tmpl w:val="AE7E97AC"/>
    <w:lvl w:ilvl="0">
      <w:start w:val="1"/>
      <w:numFmt w:val="decimal"/>
      <w:lvlText w:val="%1."/>
      <w:lvlJc w:val="left"/>
      <w:pPr>
        <w:tabs>
          <w:tab w:val="num" w:pos="720"/>
        </w:tabs>
        <w:ind w:left="720" w:hanging="360"/>
      </w:pPr>
    </w:lvl>
  </w:abstractNum>
  <w:abstractNum w:abstractNumId="4">
    <w:nsid w:val="FFFFFF80"/>
    <w:multiLevelType w:val="singleLevel"/>
    <w:tmpl w:val="D53ACF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66CF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66E0E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6FA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E4535C"/>
    <w:lvl w:ilvl="0">
      <w:start w:val="1"/>
      <w:numFmt w:val="decimal"/>
      <w:lvlText w:val="%1."/>
      <w:lvlJc w:val="left"/>
      <w:pPr>
        <w:tabs>
          <w:tab w:val="num" w:pos="360"/>
        </w:tabs>
        <w:ind w:left="360" w:hanging="360"/>
      </w:pPr>
    </w:lvl>
  </w:abstractNum>
  <w:abstractNum w:abstractNumId="9">
    <w:nsid w:val="FFFFFF89"/>
    <w:multiLevelType w:val="singleLevel"/>
    <w:tmpl w:val="448C394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1"/>
    <w:multiLevelType w:val="hybridMultilevel"/>
    <w:tmpl w:val="00000001"/>
    <w:lvl w:ilvl="0" w:tplc="00000001">
      <w:start w:val="1"/>
      <w:numFmt w:val="bullet"/>
      <w:lvlText w:val=""/>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DC182B"/>
    <w:multiLevelType w:val="hybridMultilevel"/>
    <w:tmpl w:val="9B268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18921A2"/>
    <w:multiLevelType w:val="hybridMultilevel"/>
    <w:tmpl w:val="2E38A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26763FE"/>
    <w:multiLevelType w:val="hybridMultilevel"/>
    <w:tmpl w:val="A80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652417"/>
    <w:multiLevelType w:val="hybridMultilevel"/>
    <w:tmpl w:val="8BE66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912CE6AA">
      <w:numFmt w:val="bullet"/>
      <w:lvlText w:val="-"/>
      <w:lvlJc w:val="left"/>
      <w:pPr>
        <w:ind w:left="2160" w:hanging="360"/>
      </w:pPr>
      <w:rPr>
        <w:rFonts w:ascii="Calibri" w:eastAsiaTheme="minorHAnsi" w:hAnsi="Calibri" w:cs="Calibri"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8729C6"/>
    <w:multiLevelType w:val="hybridMultilevel"/>
    <w:tmpl w:val="73D671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08E43118"/>
    <w:multiLevelType w:val="hybridMultilevel"/>
    <w:tmpl w:val="30FA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B87748"/>
    <w:multiLevelType w:val="hybridMultilevel"/>
    <w:tmpl w:val="87624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416F92"/>
    <w:multiLevelType w:val="hybridMultilevel"/>
    <w:tmpl w:val="4FFAB1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C3744BA"/>
    <w:multiLevelType w:val="hybridMultilevel"/>
    <w:tmpl w:val="BC98B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C4F5B14"/>
    <w:multiLevelType w:val="hybridMultilevel"/>
    <w:tmpl w:val="A5D09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C704962"/>
    <w:multiLevelType w:val="multilevel"/>
    <w:tmpl w:val="07B2BC8A"/>
    <w:lvl w:ilvl="0">
      <w:start w:val="1"/>
      <w:numFmt w:val="decimal"/>
      <w:lvlText w:val="%1."/>
      <w:lvlJc w:val="left"/>
      <w:pPr>
        <w:ind w:left="720" w:hanging="360"/>
      </w:pPr>
      <w:rPr>
        <w:rFonts w:asciiTheme="minorHAnsi" w:hAnsiTheme="minorHAnsi" w:hint="default"/>
      </w:rPr>
    </w:lvl>
    <w:lvl w:ilvl="1">
      <w:start w:val="2"/>
      <w:numFmt w:val="decimal"/>
      <w:isLgl/>
      <w:lvlText w:val="%1.%2"/>
      <w:lvlJc w:val="left"/>
      <w:pPr>
        <w:ind w:left="1090" w:hanging="730"/>
      </w:pPr>
      <w:rPr>
        <w:rFonts w:hint="default"/>
      </w:rPr>
    </w:lvl>
    <w:lvl w:ilvl="2">
      <w:start w:val="10"/>
      <w:numFmt w:val="decimal"/>
      <w:isLgl/>
      <w:lvlText w:val="%1.%2.%3"/>
      <w:lvlJc w:val="left"/>
      <w:pPr>
        <w:ind w:left="1090" w:hanging="730"/>
      </w:pPr>
      <w:rPr>
        <w:rFonts w:hint="default"/>
      </w:rPr>
    </w:lvl>
    <w:lvl w:ilvl="3">
      <w:start w:val="2"/>
      <w:numFmt w:val="decimal"/>
      <w:isLgl/>
      <w:lvlText w:val="%1.%2.%3.%4"/>
      <w:lvlJc w:val="left"/>
      <w:pPr>
        <w:ind w:left="1090" w:hanging="73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0C7D371C"/>
    <w:multiLevelType w:val="hybridMultilevel"/>
    <w:tmpl w:val="E012C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0CAE2E5E"/>
    <w:multiLevelType w:val="hybridMultilevel"/>
    <w:tmpl w:val="2D6046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0D6D309C"/>
    <w:multiLevelType w:val="hybridMultilevel"/>
    <w:tmpl w:val="93883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DCA2DA2"/>
    <w:multiLevelType w:val="multilevel"/>
    <w:tmpl w:val="3C2CE2F8"/>
    <w:lvl w:ilvl="0">
      <w:start w:val="1"/>
      <w:numFmt w:val="bullet"/>
      <w:pStyle w:val="BulletLevel1"/>
      <w:lvlText w:val="•"/>
      <w:lvlJc w:val="left"/>
      <w:pPr>
        <w:ind w:left="360" w:hanging="360"/>
      </w:pPr>
      <w:rPr>
        <w:rFonts w:hint="default"/>
      </w:rPr>
    </w:lvl>
    <w:lvl w:ilvl="1">
      <w:start w:val="1"/>
      <w:numFmt w:val="bullet"/>
      <w:pStyle w:val="BulletLevel2"/>
      <w:lvlText w:val="-"/>
      <w:lvlJc w:val="left"/>
      <w:pPr>
        <w:ind w:left="720" w:hanging="360"/>
      </w:pPr>
      <w:rPr>
        <w:rFonts w:ascii="Courier New" w:hAnsi="Courier New" w:hint="default"/>
      </w:rPr>
    </w:lvl>
    <w:lvl w:ilvl="2">
      <w:start w:val="1"/>
      <w:numFmt w:val="bullet"/>
      <w:pStyle w:val="BulletLevel3"/>
      <w:lvlText w:val=""/>
      <w:lvlJc w:val="left"/>
      <w:pPr>
        <w:ind w:left="1080" w:hanging="360"/>
      </w:pPr>
      <w:rPr>
        <w:rFonts w:ascii="Wingdings" w:hAnsi="Wingdings" w:hint="default"/>
      </w:rPr>
    </w:lvl>
    <w:lvl w:ilvl="3">
      <w:start w:val="1"/>
      <w:numFmt w:val="bullet"/>
      <w:lvlText w:val="o"/>
      <w:lvlJc w:val="left"/>
      <w:pPr>
        <w:ind w:left="2520" w:hanging="360"/>
      </w:pPr>
      <w:rPr>
        <w:rFonts w:ascii="Courier New" w:hAnsi="Courier New" w:cs="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nsid w:val="0F0D20A1"/>
    <w:multiLevelType w:val="multilevel"/>
    <w:tmpl w:val="85383EF6"/>
    <w:styleLink w:val="Style1"/>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106D4B42"/>
    <w:multiLevelType w:val="hybridMultilevel"/>
    <w:tmpl w:val="1F3A46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1D266C6"/>
    <w:multiLevelType w:val="hybridMultilevel"/>
    <w:tmpl w:val="FE6E6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9E5F79"/>
    <w:multiLevelType w:val="multilevel"/>
    <w:tmpl w:val="591E6918"/>
    <w:lvl w:ilvl="0">
      <w:start w:val="1"/>
      <w:numFmt w:val="bullet"/>
      <w:lvlText w:val=""/>
      <w:lvlJc w:val="left"/>
      <w:pPr>
        <w:ind w:left="720" w:hanging="360"/>
      </w:pPr>
      <w:rPr>
        <w:rFonts w:ascii="Symbol" w:hAnsi="Symbol" w:hint="default"/>
      </w:rPr>
    </w:lvl>
    <w:lvl w:ilvl="1">
      <w:start w:val="1"/>
      <w:numFmt w:val="bullet"/>
      <w:lvlText w:val=""/>
      <w:lvlJc w:val="left"/>
      <w:pPr>
        <w:ind w:left="1296" w:hanging="360"/>
      </w:pPr>
      <w:rPr>
        <w:rFonts w:ascii="Symbol" w:hAnsi="Symbol" w:hint="default"/>
      </w:rPr>
    </w:lvl>
    <w:lvl w:ilvl="2">
      <w:numFmt w:val="bullet"/>
      <w:lvlText w:val="-"/>
      <w:lvlJc w:val="left"/>
      <w:pPr>
        <w:ind w:left="1800" w:hanging="360"/>
      </w:pPr>
      <w:rPr>
        <w:rFonts w:ascii="Calibri" w:eastAsiaTheme="minorHAnsi" w:hAnsi="Calibri" w:cs="Calibri" w:hint="default"/>
      </w:rPr>
    </w:lvl>
    <w:lvl w:ilvl="3">
      <w:numFmt w:val="bullet"/>
      <w:lvlText w:val="-"/>
      <w:lvlJc w:val="left"/>
      <w:pPr>
        <w:ind w:left="2880" w:hanging="360"/>
      </w:pPr>
      <w:rPr>
        <w:rFonts w:ascii="Calibri" w:eastAsiaTheme="minorHAnsi" w:hAnsi="Calibri" w:cs="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134E4621"/>
    <w:multiLevelType w:val="hybridMultilevel"/>
    <w:tmpl w:val="64EE7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4DD1390"/>
    <w:multiLevelType w:val="hybridMultilevel"/>
    <w:tmpl w:val="7D56A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5B502AC"/>
    <w:multiLevelType w:val="hybridMultilevel"/>
    <w:tmpl w:val="1E32B7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6FD2B4C"/>
    <w:multiLevelType w:val="hybridMultilevel"/>
    <w:tmpl w:val="7E0617F2"/>
    <w:lvl w:ilvl="0" w:tplc="74323BA4">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nsid w:val="176F334B"/>
    <w:multiLevelType w:val="hybridMultilevel"/>
    <w:tmpl w:val="BA4EC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78B6A8E"/>
    <w:multiLevelType w:val="hybridMultilevel"/>
    <w:tmpl w:val="41888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18D42846"/>
    <w:multiLevelType w:val="hybridMultilevel"/>
    <w:tmpl w:val="84BA3E2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9061E86"/>
    <w:multiLevelType w:val="hybridMultilevel"/>
    <w:tmpl w:val="D3FA9B2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9AC20A3"/>
    <w:multiLevelType w:val="hybridMultilevel"/>
    <w:tmpl w:val="5CA0F4A4"/>
    <w:lvl w:ilvl="0" w:tplc="F40AA5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1ADB6B59"/>
    <w:multiLevelType w:val="hybridMultilevel"/>
    <w:tmpl w:val="FE3E2988"/>
    <w:lvl w:ilvl="0" w:tplc="04090019">
      <w:start w:val="1"/>
      <w:numFmt w:val="lowerLetter"/>
      <w:lvlText w:val="%1."/>
      <w:lvlJc w:val="left"/>
      <w:pPr>
        <w:ind w:left="25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1B0C45C7"/>
    <w:multiLevelType w:val="hybridMultilevel"/>
    <w:tmpl w:val="3276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BA539F6"/>
    <w:multiLevelType w:val="multilevel"/>
    <w:tmpl w:val="815AC886"/>
    <w:lvl w:ilvl="0">
      <w:start w:val="4"/>
      <w:numFmt w:val="decimal"/>
      <w:pStyle w:val="Heading1"/>
      <w:suff w:val="space"/>
      <w:lvlText w:val="%1."/>
      <w:lvlJc w:val="left"/>
      <w:pPr>
        <w:ind w:left="0" w:firstLine="0"/>
      </w:pPr>
      <w:rPr>
        <w:rFonts w:hint="default"/>
        <w:i w:val="0"/>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5490" w:firstLine="0"/>
      </w:pPr>
      <w:rPr>
        <w:rFonts w:hint="default"/>
      </w:rPr>
    </w:lvl>
    <w:lvl w:ilvl="3">
      <w:start w:val="1"/>
      <w:numFmt w:val="none"/>
      <w:pStyle w:val="Heading4"/>
      <w:suff w:val="nothing"/>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upperLetter"/>
      <w:pStyle w:val="Heading6"/>
      <w:suff w:val="space"/>
      <w:lvlText w:val="Appendix %6."/>
      <w:lvlJc w:val="left"/>
      <w:pPr>
        <w:ind w:left="0" w:firstLine="0"/>
      </w:pPr>
      <w:rPr>
        <w:rFonts w:hint="default"/>
        <w:b/>
        <w:sz w:val="28"/>
        <w:szCs w:val="28"/>
      </w:rPr>
    </w:lvl>
    <w:lvl w:ilvl="6">
      <w:start w:val="1"/>
      <w:numFmt w:val="decimal"/>
      <w:pStyle w:val="Heading7"/>
      <w:suff w:val="space"/>
      <w:lvlText w:val="%6.%7."/>
      <w:lvlJc w:val="left"/>
      <w:pPr>
        <w:ind w:left="4410" w:firstLine="0"/>
      </w:pPr>
      <w:rPr>
        <w:rFonts w:hint="default"/>
      </w:rPr>
    </w:lvl>
    <w:lvl w:ilvl="7">
      <w:start w:val="1"/>
      <w:numFmt w:val="decimal"/>
      <w:pStyle w:val="Heading8"/>
      <w:suff w:val="space"/>
      <w:lvlText w:val="%6.%7.%8."/>
      <w:lvlJc w:val="left"/>
      <w:pPr>
        <w:ind w:left="0" w:firstLine="0"/>
      </w:pPr>
      <w:rPr>
        <w:rFonts w:ascii="Calibri" w:hAnsi="Calibr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3240" w:hanging="360"/>
      </w:pPr>
      <w:rPr>
        <w:rFonts w:hint="default"/>
      </w:rPr>
    </w:lvl>
  </w:abstractNum>
  <w:abstractNum w:abstractNumId="43">
    <w:nsid w:val="1D2D0081"/>
    <w:multiLevelType w:val="hybridMultilevel"/>
    <w:tmpl w:val="8A623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D69000F"/>
    <w:multiLevelType w:val="hybridMultilevel"/>
    <w:tmpl w:val="2A98889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2B5E2DA2">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1DE05978"/>
    <w:multiLevelType w:val="hybridMultilevel"/>
    <w:tmpl w:val="12549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1E4A4233"/>
    <w:multiLevelType w:val="hybridMultilevel"/>
    <w:tmpl w:val="BA4EC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FF82487"/>
    <w:multiLevelType w:val="hybridMultilevel"/>
    <w:tmpl w:val="7A3E0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10447C8"/>
    <w:multiLevelType w:val="hybridMultilevel"/>
    <w:tmpl w:val="2A148FB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18700B4"/>
    <w:multiLevelType w:val="hybridMultilevel"/>
    <w:tmpl w:val="6286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19C189F"/>
    <w:multiLevelType w:val="hybridMultilevel"/>
    <w:tmpl w:val="8D52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3D55C7F"/>
    <w:multiLevelType w:val="hybridMultilevel"/>
    <w:tmpl w:val="61A0B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4702645"/>
    <w:multiLevelType w:val="hybridMultilevel"/>
    <w:tmpl w:val="9F2837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24CA00AB"/>
    <w:multiLevelType w:val="hybridMultilevel"/>
    <w:tmpl w:val="07E8C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24D95A7B"/>
    <w:multiLevelType w:val="hybridMultilevel"/>
    <w:tmpl w:val="1F3A46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255D2440"/>
    <w:multiLevelType w:val="hybridMultilevel"/>
    <w:tmpl w:val="BB6CD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285157A7"/>
    <w:multiLevelType w:val="hybridMultilevel"/>
    <w:tmpl w:val="BA4EC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88D7338"/>
    <w:multiLevelType w:val="hybridMultilevel"/>
    <w:tmpl w:val="E35E1BBE"/>
    <w:lvl w:ilvl="0" w:tplc="04090003">
      <w:start w:val="1"/>
      <w:numFmt w:val="bullet"/>
      <w:lvlText w:val="o"/>
      <w:lvlJc w:val="left"/>
      <w:pPr>
        <w:ind w:left="1296" w:hanging="360"/>
      </w:pPr>
      <w:rPr>
        <w:rFonts w:ascii="Courier New" w:hAnsi="Courier New" w:cs="Courier New" w:hint="default"/>
        <w:color w:val="auto"/>
      </w:rPr>
    </w:lvl>
    <w:lvl w:ilvl="1" w:tplc="912CE6AA">
      <w:numFmt w:val="bullet"/>
      <w:lvlText w:val="-"/>
      <w:lvlJc w:val="left"/>
      <w:pPr>
        <w:ind w:left="2016" w:hanging="360"/>
      </w:pPr>
      <w:rPr>
        <w:rFonts w:ascii="Calibri" w:eastAsiaTheme="minorHAnsi" w:hAnsi="Calibri" w:cs="Calibri" w:hint="default"/>
        <w:color w:val="auto"/>
      </w:r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nsid w:val="289218C0"/>
    <w:multiLevelType w:val="hybridMultilevel"/>
    <w:tmpl w:val="44DA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99E3D4F"/>
    <w:multiLevelType w:val="hybridMultilevel"/>
    <w:tmpl w:val="EC2E1FD2"/>
    <w:lvl w:ilvl="0" w:tplc="E6BC5436">
      <w:start w:val="1"/>
      <w:numFmt w:val="decimal"/>
      <w:lvlText w:val="%1."/>
      <w:lvlJc w:val="left"/>
      <w:pPr>
        <w:ind w:left="1080" w:hanging="360"/>
      </w:pPr>
      <w:rPr>
        <w:rFonts w:asciiTheme="majorHAnsi" w:hAnsiTheme="majorHAnsi"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A8D2316"/>
    <w:multiLevelType w:val="multilevel"/>
    <w:tmpl w:val="E5DA59C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2ABC2C2E"/>
    <w:multiLevelType w:val="multilevel"/>
    <w:tmpl w:val="E8B404B4"/>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2BF75150"/>
    <w:multiLevelType w:val="hybridMultilevel"/>
    <w:tmpl w:val="5106D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C834E1E"/>
    <w:multiLevelType w:val="hybridMultilevel"/>
    <w:tmpl w:val="14DA4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CBE3F02"/>
    <w:multiLevelType w:val="hybridMultilevel"/>
    <w:tmpl w:val="292E3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15B2428"/>
    <w:multiLevelType w:val="hybridMultilevel"/>
    <w:tmpl w:val="99026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2854CF3"/>
    <w:multiLevelType w:val="hybridMultilevel"/>
    <w:tmpl w:val="5C00D6BE"/>
    <w:lvl w:ilvl="0" w:tplc="F8B847D4">
      <w:start w:val="1"/>
      <w:numFmt w:val="decimal"/>
      <w:lvlText w:val="%1."/>
      <w:lvlJc w:val="left"/>
      <w:pPr>
        <w:ind w:left="720" w:hanging="360"/>
      </w:pPr>
      <w:rPr>
        <w:rFonts w:asciiTheme="minorHAnsi" w:hAnsiTheme="minorHAnsi"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3574422"/>
    <w:multiLevelType w:val="hybridMultilevel"/>
    <w:tmpl w:val="F72C1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37264BD"/>
    <w:multiLevelType w:val="hybridMultilevel"/>
    <w:tmpl w:val="5C00D6BE"/>
    <w:lvl w:ilvl="0" w:tplc="F8B847D4">
      <w:start w:val="1"/>
      <w:numFmt w:val="decimal"/>
      <w:lvlText w:val="%1."/>
      <w:lvlJc w:val="left"/>
      <w:pPr>
        <w:ind w:left="720" w:hanging="360"/>
      </w:pPr>
      <w:rPr>
        <w:rFonts w:asciiTheme="minorHAnsi" w:hAnsiTheme="minorHAnsi"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38A78E5"/>
    <w:multiLevelType w:val="hybridMultilevel"/>
    <w:tmpl w:val="8FB0C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34845C72"/>
    <w:multiLevelType w:val="hybridMultilevel"/>
    <w:tmpl w:val="2C120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BE43C70">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4C6443B"/>
    <w:multiLevelType w:val="multilevel"/>
    <w:tmpl w:val="4FFAB1A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nsid w:val="3500052D"/>
    <w:multiLevelType w:val="hybridMultilevel"/>
    <w:tmpl w:val="87A65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5F0096F"/>
    <w:multiLevelType w:val="hybridMultilevel"/>
    <w:tmpl w:val="1F3A46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39F35775"/>
    <w:multiLevelType w:val="hybridMultilevel"/>
    <w:tmpl w:val="87A65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A127BE7"/>
    <w:multiLevelType w:val="hybridMultilevel"/>
    <w:tmpl w:val="D7C8D496"/>
    <w:lvl w:ilvl="0" w:tplc="37422742">
      <w:start w:val="1"/>
      <w:numFmt w:val="decimal"/>
      <w:lvlText w:val="%1."/>
      <w:lvlJc w:val="left"/>
      <w:pPr>
        <w:ind w:left="360" w:hanging="360"/>
      </w:pPr>
      <w:rPr>
        <w:rFonts w:asciiTheme="majorHAnsi" w:hAnsiTheme="majorHAnsi" w:hint="default"/>
        <w:b w:val="0"/>
        <w:i w:val="0"/>
        <w:caps w:val="0"/>
        <w:strike w:val="0"/>
        <w:dstrike w:val="0"/>
        <w:vanish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A6579DE"/>
    <w:multiLevelType w:val="hybridMultilevel"/>
    <w:tmpl w:val="3E84B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3AA765E4"/>
    <w:multiLevelType w:val="hybridMultilevel"/>
    <w:tmpl w:val="B502A85E"/>
    <w:lvl w:ilvl="0" w:tplc="D11E12C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AE17B38"/>
    <w:multiLevelType w:val="hybridMultilevel"/>
    <w:tmpl w:val="D8EC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C1B20B4"/>
    <w:multiLevelType w:val="hybridMultilevel"/>
    <w:tmpl w:val="CA6629AC"/>
    <w:lvl w:ilvl="0" w:tplc="3834871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C23512C"/>
    <w:multiLevelType w:val="hybridMultilevel"/>
    <w:tmpl w:val="7E2A9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D0E047C"/>
    <w:multiLevelType w:val="hybridMultilevel"/>
    <w:tmpl w:val="928CAD38"/>
    <w:lvl w:ilvl="0" w:tplc="6E4CB836">
      <w:start w:val="1"/>
      <w:numFmt w:val="bullet"/>
      <w:lvlText w:val=""/>
      <w:lvlJc w:val="left"/>
      <w:pPr>
        <w:ind w:left="108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D0E0CAE"/>
    <w:multiLevelType w:val="hybridMultilevel"/>
    <w:tmpl w:val="D7C8D496"/>
    <w:lvl w:ilvl="0" w:tplc="37422742">
      <w:start w:val="1"/>
      <w:numFmt w:val="decimal"/>
      <w:lvlText w:val="%1."/>
      <w:lvlJc w:val="left"/>
      <w:pPr>
        <w:ind w:left="360" w:hanging="360"/>
      </w:pPr>
      <w:rPr>
        <w:rFonts w:asciiTheme="majorHAnsi" w:hAnsiTheme="majorHAnsi" w:hint="default"/>
        <w:b w:val="0"/>
        <w:i w:val="0"/>
        <w:caps w:val="0"/>
        <w:strike w:val="0"/>
        <w:dstrike w:val="0"/>
        <w:vanish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3D367BFB"/>
    <w:multiLevelType w:val="hybridMultilevel"/>
    <w:tmpl w:val="41804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3D45314E"/>
    <w:multiLevelType w:val="hybridMultilevel"/>
    <w:tmpl w:val="64AEE3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D9D6A83"/>
    <w:multiLevelType w:val="hybridMultilevel"/>
    <w:tmpl w:val="89A86076"/>
    <w:lvl w:ilvl="0" w:tplc="04090001">
      <w:start w:val="1"/>
      <w:numFmt w:val="bullet"/>
      <w:lvlText w:val=""/>
      <w:lvlJc w:val="left"/>
      <w:pPr>
        <w:ind w:left="720" w:hanging="360"/>
      </w:pPr>
      <w:rPr>
        <w:rFonts w:ascii="Symbol" w:hAnsi="Symbol" w:hint="default"/>
      </w:rPr>
    </w:lvl>
    <w:lvl w:ilvl="1" w:tplc="AC8E3E1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E7F4987"/>
    <w:multiLevelType w:val="hybridMultilevel"/>
    <w:tmpl w:val="174E6D96"/>
    <w:lvl w:ilvl="0" w:tplc="B728F67C">
      <w:start w:val="1"/>
      <w:numFmt w:val="bullet"/>
      <w:pStyle w:val="ListParagraph"/>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08D318B"/>
    <w:multiLevelType w:val="hybridMultilevel"/>
    <w:tmpl w:val="A4FCC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4096749F"/>
    <w:multiLevelType w:val="hybridMultilevel"/>
    <w:tmpl w:val="D3A63E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105128B"/>
    <w:multiLevelType w:val="hybridMultilevel"/>
    <w:tmpl w:val="EA3A5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42DC31E8"/>
    <w:multiLevelType w:val="multilevel"/>
    <w:tmpl w:val="786C2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4290EDC"/>
    <w:multiLevelType w:val="multilevel"/>
    <w:tmpl w:val="7CC40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4C740D8"/>
    <w:multiLevelType w:val="hybridMultilevel"/>
    <w:tmpl w:val="C0E0EC0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555053E"/>
    <w:multiLevelType w:val="hybridMultilevel"/>
    <w:tmpl w:val="39FA8C72"/>
    <w:lvl w:ilvl="0" w:tplc="74323B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46BE2922"/>
    <w:multiLevelType w:val="hybridMultilevel"/>
    <w:tmpl w:val="960CF23C"/>
    <w:lvl w:ilvl="0" w:tplc="527829B6">
      <w:start w:val="1"/>
      <w:numFmt w:val="bullet"/>
      <w:lvlText w:val=""/>
      <w:lvlJc w:val="left"/>
      <w:pPr>
        <w:ind w:left="1080" w:hanging="360"/>
      </w:pPr>
      <w:rPr>
        <w:rFonts w:ascii="Symbol" w:hAnsi="Symbol" w:hint="default"/>
        <w:color w:val="000000" w:themeColor="text1"/>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476E7C4E"/>
    <w:multiLevelType w:val="hybridMultilevel"/>
    <w:tmpl w:val="16B2F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489113F6"/>
    <w:multiLevelType w:val="hybridMultilevel"/>
    <w:tmpl w:val="F6548A7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B2B632B"/>
    <w:multiLevelType w:val="hybridMultilevel"/>
    <w:tmpl w:val="58C850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B4F5EFB"/>
    <w:multiLevelType w:val="hybridMultilevel"/>
    <w:tmpl w:val="AE36D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4BC57FA3"/>
    <w:multiLevelType w:val="hybridMultilevel"/>
    <w:tmpl w:val="BC0A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C162EA4"/>
    <w:multiLevelType w:val="hybridMultilevel"/>
    <w:tmpl w:val="EEE0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CB865A0"/>
    <w:multiLevelType w:val="hybridMultilevel"/>
    <w:tmpl w:val="D3A63E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D6D01C9"/>
    <w:multiLevelType w:val="hybridMultilevel"/>
    <w:tmpl w:val="3634B2A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4D894D1B"/>
    <w:multiLevelType w:val="hybridMultilevel"/>
    <w:tmpl w:val="9F2837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4DBF5E2B"/>
    <w:multiLevelType w:val="hybridMultilevel"/>
    <w:tmpl w:val="5C00D6BE"/>
    <w:lvl w:ilvl="0" w:tplc="F8B847D4">
      <w:start w:val="1"/>
      <w:numFmt w:val="decimal"/>
      <w:lvlText w:val="%1."/>
      <w:lvlJc w:val="left"/>
      <w:pPr>
        <w:ind w:left="720" w:hanging="360"/>
      </w:pPr>
      <w:rPr>
        <w:rFonts w:asciiTheme="minorHAnsi" w:hAnsiTheme="minorHAnsi" w:hint="default"/>
        <w:b w:val="0"/>
        <w:i w:val="0"/>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DE75045"/>
    <w:multiLevelType w:val="hybridMultilevel"/>
    <w:tmpl w:val="70666960"/>
    <w:lvl w:ilvl="0" w:tplc="04090001">
      <w:start w:val="1"/>
      <w:numFmt w:val="bullet"/>
      <w:lvlText w:val=""/>
      <w:lvlJc w:val="left"/>
      <w:pPr>
        <w:ind w:left="1296" w:hanging="360"/>
      </w:pPr>
      <w:rPr>
        <w:rFonts w:ascii="Symbol" w:hAnsi="Symbol" w:hint="default"/>
        <w:color w:val="auto"/>
      </w:rPr>
    </w:lvl>
    <w:lvl w:ilvl="1" w:tplc="04090003">
      <w:start w:val="1"/>
      <w:numFmt w:val="bullet"/>
      <w:lvlText w:val="o"/>
      <w:lvlJc w:val="left"/>
      <w:pPr>
        <w:ind w:left="2016" w:hanging="360"/>
      </w:pPr>
      <w:rPr>
        <w:rFonts w:ascii="Courier New" w:hAnsi="Courier New" w:cs="Courier New" w:hint="default"/>
        <w:color w:val="auto"/>
      </w:r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nsid w:val="4E5712F0"/>
    <w:multiLevelType w:val="hybridMultilevel"/>
    <w:tmpl w:val="8F04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1A44FAD"/>
    <w:multiLevelType w:val="hybridMultilevel"/>
    <w:tmpl w:val="A9968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2221865"/>
    <w:multiLevelType w:val="hybridMultilevel"/>
    <w:tmpl w:val="183E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2F72202"/>
    <w:multiLevelType w:val="hybridMultilevel"/>
    <w:tmpl w:val="B250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398456D"/>
    <w:multiLevelType w:val="hybridMultilevel"/>
    <w:tmpl w:val="68668B18"/>
    <w:lvl w:ilvl="0" w:tplc="04090001">
      <w:start w:val="1"/>
      <w:numFmt w:val="bullet"/>
      <w:pStyle w:val="ListParagraph-las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45D42F7"/>
    <w:multiLevelType w:val="hybridMultilevel"/>
    <w:tmpl w:val="DE18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6357EA5"/>
    <w:multiLevelType w:val="hybridMultilevel"/>
    <w:tmpl w:val="BE8C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79A7D5C"/>
    <w:multiLevelType w:val="hybridMultilevel"/>
    <w:tmpl w:val="E8BE57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58C41602"/>
    <w:multiLevelType w:val="multilevel"/>
    <w:tmpl w:val="F9EE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5A16374B"/>
    <w:multiLevelType w:val="hybridMultilevel"/>
    <w:tmpl w:val="0422079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5AAC431A"/>
    <w:multiLevelType w:val="hybridMultilevel"/>
    <w:tmpl w:val="E0B0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B36726D"/>
    <w:multiLevelType w:val="hybridMultilevel"/>
    <w:tmpl w:val="153C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B994E69"/>
    <w:multiLevelType w:val="hybridMultilevel"/>
    <w:tmpl w:val="C0F6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E703380"/>
    <w:multiLevelType w:val="multilevel"/>
    <w:tmpl w:val="C7CA4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F4B099D"/>
    <w:multiLevelType w:val="hybridMultilevel"/>
    <w:tmpl w:val="D8387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F965807"/>
    <w:multiLevelType w:val="hybridMultilevel"/>
    <w:tmpl w:val="7BE0D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61390289"/>
    <w:multiLevelType w:val="hybridMultilevel"/>
    <w:tmpl w:val="6B42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2CD13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631A22D5"/>
    <w:multiLevelType w:val="hybridMultilevel"/>
    <w:tmpl w:val="D65AC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3254C0C"/>
    <w:multiLevelType w:val="hybridMultilevel"/>
    <w:tmpl w:val="F1E6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37414C5"/>
    <w:multiLevelType w:val="hybridMultilevel"/>
    <w:tmpl w:val="E1DA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4572AFC"/>
    <w:multiLevelType w:val="hybridMultilevel"/>
    <w:tmpl w:val="AD926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4EF7358"/>
    <w:multiLevelType w:val="hybridMultilevel"/>
    <w:tmpl w:val="B066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400B2B"/>
    <w:multiLevelType w:val="hybridMultilevel"/>
    <w:tmpl w:val="2F4A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6970855"/>
    <w:multiLevelType w:val="hybridMultilevel"/>
    <w:tmpl w:val="3992E04C"/>
    <w:lvl w:ilvl="0" w:tplc="00000001">
      <w:start w:val="1"/>
      <w:numFmt w:val="bullet"/>
      <w:lvlText w:val="•"/>
      <w:lvlJc w:val="left"/>
      <w:pPr>
        <w:ind w:left="1080" w:hanging="360"/>
      </w:p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66E77EA9"/>
    <w:multiLevelType w:val="hybridMultilevel"/>
    <w:tmpl w:val="B6CC3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6B7A664E"/>
    <w:multiLevelType w:val="hybridMultilevel"/>
    <w:tmpl w:val="941E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CAC4411"/>
    <w:multiLevelType w:val="hybridMultilevel"/>
    <w:tmpl w:val="CD3E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E65612B"/>
    <w:multiLevelType w:val="hybridMultilevel"/>
    <w:tmpl w:val="213E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EDC33BB"/>
    <w:multiLevelType w:val="hybridMultilevel"/>
    <w:tmpl w:val="52FE2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71260D35"/>
    <w:multiLevelType w:val="hybridMultilevel"/>
    <w:tmpl w:val="96C818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17E4C92"/>
    <w:multiLevelType w:val="hybridMultilevel"/>
    <w:tmpl w:val="477E0200"/>
    <w:lvl w:ilvl="0" w:tplc="11D20B98">
      <w:start w:val="1"/>
      <w:numFmt w:val="lowerLetter"/>
      <w:lvlText w:val="(%1)"/>
      <w:lvlJc w:val="left"/>
      <w:pPr>
        <w:ind w:left="765" w:hanging="405"/>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2C008B2"/>
    <w:multiLevelType w:val="hybridMultilevel"/>
    <w:tmpl w:val="8F36AB8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5341DEA"/>
    <w:multiLevelType w:val="hybridMultilevel"/>
    <w:tmpl w:val="84228A68"/>
    <w:lvl w:ilvl="0" w:tplc="527829B6">
      <w:start w:val="1"/>
      <w:numFmt w:val="bullet"/>
      <w:lvlText w:val=""/>
      <w:lvlJc w:val="left"/>
      <w:pPr>
        <w:ind w:left="360" w:hanging="360"/>
      </w:pPr>
      <w:rPr>
        <w:rFonts w:ascii="Symbol" w:hAnsi="Symbol" w:hint="default"/>
        <w:color w:val="000000" w:themeColor="text1"/>
        <w:sz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0">
    <w:nsid w:val="76893D07"/>
    <w:multiLevelType w:val="hybridMultilevel"/>
    <w:tmpl w:val="294E2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68D4E33"/>
    <w:multiLevelType w:val="hybridMultilevel"/>
    <w:tmpl w:val="FBAEF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77D029BC"/>
    <w:multiLevelType w:val="hybridMultilevel"/>
    <w:tmpl w:val="87A65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8036C6F"/>
    <w:multiLevelType w:val="hybridMultilevel"/>
    <w:tmpl w:val="FA0C2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8A518B0"/>
    <w:multiLevelType w:val="multilevel"/>
    <w:tmpl w:val="7B38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799A58D9"/>
    <w:multiLevelType w:val="hybridMultilevel"/>
    <w:tmpl w:val="D7C8D496"/>
    <w:lvl w:ilvl="0" w:tplc="37422742">
      <w:start w:val="1"/>
      <w:numFmt w:val="decimal"/>
      <w:lvlText w:val="%1."/>
      <w:lvlJc w:val="left"/>
      <w:pPr>
        <w:ind w:left="360" w:hanging="360"/>
      </w:pPr>
      <w:rPr>
        <w:rFonts w:asciiTheme="majorHAnsi" w:hAnsiTheme="majorHAnsi" w:hint="default"/>
        <w:b w:val="0"/>
        <w:i w:val="0"/>
        <w:caps w:val="0"/>
        <w:strike w:val="0"/>
        <w:dstrike w:val="0"/>
        <w:vanish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nsid w:val="7A166B0B"/>
    <w:multiLevelType w:val="hybridMultilevel"/>
    <w:tmpl w:val="D7C8D496"/>
    <w:lvl w:ilvl="0" w:tplc="37422742">
      <w:start w:val="1"/>
      <w:numFmt w:val="decimal"/>
      <w:lvlText w:val="%1."/>
      <w:lvlJc w:val="left"/>
      <w:pPr>
        <w:ind w:left="360" w:hanging="360"/>
      </w:pPr>
      <w:rPr>
        <w:rFonts w:asciiTheme="majorHAnsi" w:hAnsiTheme="majorHAnsi" w:hint="default"/>
        <w:b w:val="0"/>
        <w:i w:val="0"/>
        <w:caps w:val="0"/>
        <w:strike w:val="0"/>
        <w:dstrike w:val="0"/>
        <w:vanish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7B0076F9"/>
    <w:multiLevelType w:val="hybridMultilevel"/>
    <w:tmpl w:val="D7C8D496"/>
    <w:lvl w:ilvl="0" w:tplc="37422742">
      <w:start w:val="1"/>
      <w:numFmt w:val="decimal"/>
      <w:lvlText w:val="%1."/>
      <w:lvlJc w:val="left"/>
      <w:pPr>
        <w:ind w:left="360" w:hanging="360"/>
      </w:pPr>
      <w:rPr>
        <w:rFonts w:asciiTheme="majorHAnsi" w:hAnsiTheme="majorHAnsi" w:hint="default"/>
        <w:b w:val="0"/>
        <w:i w:val="0"/>
        <w:caps w:val="0"/>
        <w:strike w:val="0"/>
        <w:dstrike w:val="0"/>
        <w:vanish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7CC5749D"/>
    <w:multiLevelType w:val="hybridMultilevel"/>
    <w:tmpl w:val="1F3A46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7E141A18"/>
    <w:multiLevelType w:val="hybridMultilevel"/>
    <w:tmpl w:val="709C7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7E6F4553"/>
    <w:multiLevelType w:val="hybridMultilevel"/>
    <w:tmpl w:val="07768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F3B44EF"/>
    <w:multiLevelType w:val="hybridMultilevel"/>
    <w:tmpl w:val="17F0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F814F47"/>
    <w:multiLevelType w:val="hybridMultilevel"/>
    <w:tmpl w:val="15584F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7F8574EE"/>
    <w:multiLevelType w:val="hybridMultilevel"/>
    <w:tmpl w:val="2248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FCC0DB5"/>
    <w:multiLevelType w:val="hybridMultilevel"/>
    <w:tmpl w:val="1718479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0"/>
  </w:num>
  <w:num w:numId="3">
    <w:abstractNumId w:val="40"/>
  </w:num>
  <w:num w:numId="4">
    <w:abstractNumId w:val="115"/>
  </w:num>
  <w:num w:numId="5">
    <w:abstractNumId w:val="141"/>
  </w:num>
  <w:num w:numId="6">
    <w:abstractNumId w:val="92"/>
  </w:num>
  <w:num w:numId="7">
    <w:abstractNumId w:val="67"/>
  </w:num>
  <w:num w:numId="8">
    <w:abstractNumId w:val="124"/>
  </w:num>
  <w:num w:numId="9">
    <w:abstractNumId w:val="43"/>
  </w:num>
  <w:num w:numId="10">
    <w:abstractNumId w:val="84"/>
  </w:num>
  <w:num w:numId="11">
    <w:abstractNumId w:val="110"/>
  </w:num>
  <w:num w:numId="12">
    <w:abstractNumId w:val="129"/>
  </w:num>
  <w:num w:numId="13">
    <w:abstractNumId w:val="97"/>
  </w:num>
  <w:num w:numId="14">
    <w:abstractNumId w:val="136"/>
  </w:num>
  <w:num w:numId="15">
    <w:abstractNumId w:val="70"/>
  </w:num>
  <w:num w:numId="16">
    <w:abstractNumId w:val="41"/>
  </w:num>
  <w:num w:numId="17">
    <w:abstractNumId w:val="80"/>
  </w:num>
  <w:num w:numId="18">
    <w:abstractNumId w:val="142"/>
  </w:num>
  <w:num w:numId="19">
    <w:abstractNumId w:val="126"/>
  </w:num>
  <w:num w:numId="20">
    <w:abstractNumId w:val="19"/>
  </w:num>
  <w:num w:numId="21">
    <w:abstractNumId w:val="127"/>
  </w:num>
  <w:num w:numId="22">
    <w:abstractNumId w:val="54"/>
  </w:num>
  <w:num w:numId="23">
    <w:abstractNumId w:val="148"/>
  </w:num>
  <w:num w:numId="24">
    <w:abstractNumId w:val="107"/>
  </w:num>
  <w:num w:numId="25">
    <w:abstractNumId w:val="64"/>
  </w:num>
  <w:num w:numId="26">
    <w:abstractNumId w:val="73"/>
  </w:num>
  <w:num w:numId="27">
    <w:abstractNumId w:val="28"/>
  </w:num>
  <w:num w:numId="28">
    <w:abstractNumId w:val="103"/>
  </w:num>
  <w:num w:numId="29">
    <w:abstractNumId w:val="52"/>
  </w:num>
  <w:num w:numId="30">
    <w:abstractNumId w:val="12"/>
  </w:num>
  <w:num w:numId="31">
    <w:abstractNumId w:val="106"/>
  </w:num>
  <w:num w:numId="32">
    <w:abstractNumId w:val="130"/>
  </w:num>
  <w:num w:numId="33">
    <w:abstractNumId w:val="44"/>
  </w:num>
  <w:num w:numId="34">
    <w:abstractNumId w:val="85"/>
  </w:num>
  <w:num w:numId="35">
    <w:abstractNumId w:val="76"/>
  </w:num>
  <w:num w:numId="36">
    <w:abstractNumId w:val="121"/>
  </w:num>
  <w:num w:numId="37">
    <w:abstractNumId w:val="36"/>
  </w:num>
  <w:num w:numId="38">
    <w:abstractNumId w:val="143"/>
  </w:num>
  <w:num w:numId="39">
    <w:abstractNumId w:val="45"/>
  </w:num>
  <w:num w:numId="40">
    <w:abstractNumId w:val="11"/>
  </w:num>
  <w:num w:numId="41">
    <w:abstractNumId w:val="46"/>
  </w:num>
  <w:num w:numId="42">
    <w:abstractNumId w:val="59"/>
  </w:num>
  <w:num w:numId="43">
    <w:abstractNumId w:val="102"/>
  </w:num>
  <w:num w:numId="44">
    <w:abstractNumId w:val="61"/>
  </w:num>
  <w:num w:numId="45">
    <w:abstractNumId w:val="65"/>
  </w:num>
  <w:num w:numId="46">
    <w:abstractNumId w:val="117"/>
  </w:num>
  <w:num w:numId="47">
    <w:abstractNumId w:val="58"/>
  </w:num>
  <w:num w:numId="48">
    <w:abstractNumId w:val="98"/>
  </w:num>
  <w:num w:numId="49">
    <w:abstractNumId w:val="31"/>
  </w:num>
  <w:num w:numId="50">
    <w:abstractNumId w:val="16"/>
  </w:num>
  <w:num w:numId="51">
    <w:abstractNumId w:val="99"/>
  </w:num>
  <w:num w:numId="52">
    <w:abstractNumId w:val="25"/>
  </w:num>
  <w:num w:numId="53">
    <w:abstractNumId w:val="87"/>
  </w:num>
  <w:num w:numId="54">
    <w:abstractNumId w:val="78"/>
  </w:num>
  <w:num w:numId="55">
    <w:abstractNumId w:val="17"/>
  </w:num>
  <w:num w:numId="56">
    <w:abstractNumId w:val="14"/>
  </w:num>
  <w:num w:numId="57">
    <w:abstractNumId w:val="109"/>
  </w:num>
  <w:num w:numId="58">
    <w:abstractNumId w:val="69"/>
  </w:num>
  <w:num w:numId="59">
    <w:abstractNumId w:val="112"/>
  </w:num>
  <w:num w:numId="60">
    <w:abstractNumId w:val="20"/>
  </w:num>
  <w:num w:numId="61">
    <w:abstractNumId w:val="135"/>
  </w:num>
  <w:num w:numId="62">
    <w:abstractNumId w:val="144"/>
  </w:num>
  <w:num w:numId="63">
    <w:abstractNumId w:val="114"/>
  </w:num>
  <w:num w:numId="64">
    <w:abstractNumId w:val="93"/>
  </w:num>
  <w:num w:numId="65">
    <w:abstractNumId w:val="34"/>
  </w:num>
  <w:num w:numId="66">
    <w:abstractNumId w:val="86"/>
  </w:num>
  <w:num w:numId="67">
    <w:abstractNumId w:val="26"/>
  </w:num>
  <w:num w:numId="68">
    <w:abstractNumId w:val="44"/>
  </w:num>
  <w:num w:numId="69">
    <w:abstractNumId w:val="42"/>
  </w:num>
  <w:num w:numId="70">
    <w:abstractNumId w:val="42"/>
  </w:num>
  <w:num w:numId="71">
    <w:abstractNumId w:val="42"/>
  </w:num>
  <w:num w:numId="72">
    <w:abstractNumId w:val="9"/>
  </w:num>
  <w:num w:numId="73">
    <w:abstractNumId w:val="7"/>
  </w:num>
  <w:num w:numId="74">
    <w:abstractNumId w:val="6"/>
  </w:num>
  <w:num w:numId="75">
    <w:abstractNumId w:val="5"/>
  </w:num>
  <w:num w:numId="76">
    <w:abstractNumId w:val="4"/>
  </w:num>
  <w:num w:numId="77">
    <w:abstractNumId w:val="8"/>
  </w:num>
  <w:num w:numId="78">
    <w:abstractNumId w:val="3"/>
  </w:num>
  <w:num w:numId="79">
    <w:abstractNumId w:val="2"/>
  </w:num>
  <w:num w:numId="80">
    <w:abstractNumId w:val="1"/>
  </w:num>
  <w:num w:numId="81">
    <w:abstractNumId w:val="0"/>
  </w:num>
  <w:num w:numId="82">
    <w:abstractNumId w:val="123"/>
  </w:num>
  <w:num w:numId="83">
    <w:abstractNumId w:val="42"/>
  </w:num>
  <w:num w:numId="84">
    <w:abstractNumId w:val="42"/>
  </w:num>
  <w:num w:numId="85">
    <w:abstractNumId w:val="42"/>
  </w:num>
  <w:num w:numId="86">
    <w:abstractNumId w:val="1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num>
  <w:num w:numId="88">
    <w:abstractNumId w:val="42"/>
  </w:num>
  <w:num w:numId="89">
    <w:abstractNumId w:val="42"/>
  </w:num>
  <w:num w:numId="90">
    <w:abstractNumId w:val="26"/>
  </w:num>
  <w:num w:numId="91">
    <w:abstractNumId w:val="26"/>
  </w:num>
  <w:num w:numId="92">
    <w:abstractNumId w:val="26"/>
  </w:num>
  <w:num w:numId="93">
    <w:abstractNumId w:val="26"/>
  </w:num>
  <w:num w:numId="94">
    <w:abstractNumId w:val="26"/>
  </w:num>
  <w:num w:numId="95">
    <w:abstractNumId w:val="26"/>
  </w:num>
  <w:num w:numId="96">
    <w:abstractNumId w:val="26"/>
  </w:num>
  <w:num w:numId="97">
    <w:abstractNumId w:val="26"/>
  </w:num>
  <w:num w:numId="98">
    <w:abstractNumId w:val="26"/>
  </w:num>
  <w:num w:numId="99">
    <w:abstractNumId w:val="26"/>
  </w:num>
  <w:num w:numId="100">
    <w:abstractNumId w:val="26"/>
  </w:num>
  <w:num w:numId="101">
    <w:abstractNumId w:val="26"/>
  </w:num>
  <w:num w:numId="102">
    <w:abstractNumId w:val="26"/>
  </w:num>
  <w:num w:numId="103">
    <w:abstractNumId w:val="26"/>
  </w:num>
  <w:num w:numId="104">
    <w:abstractNumId w:val="26"/>
  </w:num>
  <w:num w:numId="105">
    <w:abstractNumId w:val="26"/>
  </w:num>
  <w:num w:numId="106">
    <w:abstractNumId w:val="26"/>
  </w:num>
  <w:num w:numId="107">
    <w:abstractNumId w:val="26"/>
  </w:num>
  <w:num w:numId="108">
    <w:abstractNumId w:val="26"/>
  </w:num>
  <w:num w:numId="109">
    <w:abstractNumId w:val="26"/>
  </w:num>
  <w:num w:numId="110">
    <w:abstractNumId w:val="26"/>
  </w:num>
  <w:num w:numId="111">
    <w:abstractNumId w:val="26"/>
  </w:num>
  <w:num w:numId="112">
    <w:abstractNumId w:val="26"/>
  </w:num>
  <w:num w:numId="113">
    <w:abstractNumId w:val="26"/>
  </w:num>
  <w:num w:numId="114">
    <w:abstractNumId w:val="26"/>
  </w:num>
  <w:num w:numId="115">
    <w:abstractNumId w:val="86"/>
  </w:num>
  <w:num w:numId="116">
    <w:abstractNumId w:val="86"/>
  </w:num>
  <w:num w:numId="117">
    <w:abstractNumId w:val="86"/>
  </w:num>
  <w:num w:numId="118">
    <w:abstractNumId w:val="86"/>
  </w:num>
  <w:num w:numId="119">
    <w:abstractNumId w:val="89"/>
  </w:num>
  <w:num w:numId="120">
    <w:abstractNumId w:val="101"/>
  </w:num>
  <w:num w:numId="121">
    <w:abstractNumId w:val="63"/>
  </w:num>
  <w:num w:numId="122">
    <w:abstractNumId w:val="113"/>
  </w:num>
  <w:num w:numId="123">
    <w:abstractNumId w:val="149"/>
  </w:num>
  <w:num w:numId="124">
    <w:abstractNumId w:val="33"/>
  </w:num>
  <w:num w:numId="125">
    <w:abstractNumId w:val="55"/>
  </w:num>
  <w:num w:numId="126">
    <w:abstractNumId w:val="51"/>
  </w:num>
  <w:num w:numId="127">
    <w:abstractNumId w:val="10"/>
    <w:lvlOverride w:ilvl="0">
      <w:lvl w:ilvl="0">
        <w:start w:val="1"/>
        <w:numFmt w:val="bullet"/>
        <w:lvlText w:val=""/>
        <w:legacy w:legacy="1" w:legacySpace="288" w:legacyIndent="288"/>
        <w:lvlJc w:val="left"/>
        <w:pPr>
          <w:ind w:left="1152" w:hanging="288"/>
        </w:pPr>
        <w:rPr>
          <w:rFonts w:ascii="Symbol" w:hAnsi="Symbol" w:hint="default"/>
        </w:rPr>
      </w:lvl>
    </w:lvlOverride>
  </w:num>
  <w:num w:numId="128">
    <w:abstractNumId w:val="83"/>
  </w:num>
  <w:num w:numId="129">
    <w:abstractNumId w:val="131"/>
  </w:num>
  <w:num w:numId="130">
    <w:abstractNumId w:val="38"/>
  </w:num>
  <w:num w:numId="131">
    <w:abstractNumId w:val="81"/>
  </w:num>
  <w:num w:numId="132">
    <w:abstractNumId w:val="32"/>
  </w:num>
  <w:num w:numId="133">
    <w:abstractNumId w:val="79"/>
  </w:num>
  <w:num w:numId="134">
    <w:abstractNumId w:val="88"/>
  </w:num>
  <w:num w:numId="135">
    <w:abstractNumId w:val="122"/>
  </w:num>
  <w:num w:numId="136">
    <w:abstractNumId w:val="13"/>
  </w:num>
  <w:num w:numId="137">
    <w:abstractNumId w:val="95"/>
  </w:num>
  <w:num w:numId="138">
    <w:abstractNumId w:val="42"/>
  </w:num>
  <w:num w:numId="139">
    <w:abstractNumId w:val="60"/>
  </w:num>
  <w:num w:numId="140">
    <w:abstractNumId w:val="42"/>
  </w:num>
  <w:num w:numId="141">
    <w:abstractNumId w:val="125"/>
  </w:num>
  <w:num w:numId="142">
    <w:abstractNumId w:val="153"/>
  </w:num>
  <w:num w:numId="143">
    <w:abstractNumId w:val="62"/>
  </w:num>
  <w:num w:numId="144">
    <w:abstractNumId w:val="108"/>
  </w:num>
  <w:num w:numId="145">
    <w:abstractNumId w:val="128"/>
  </w:num>
  <w:num w:numId="146">
    <w:abstractNumId w:val="66"/>
  </w:num>
  <w:num w:numId="147">
    <w:abstractNumId w:val="133"/>
  </w:num>
  <w:num w:numId="148">
    <w:abstractNumId w:val="140"/>
  </w:num>
  <w:num w:numId="149">
    <w:abstractNumId w:val="22"/>
  </w:num>
  <w:num w:numId="150">
    <w:abstractNumId w:val="77"/>
  </w:num>
  <w:num w:numId="151">
    <w:abstractNumId w:val="68"/>
  </w:num>
  <w:num w:numId="152">
    <w:abstractNumId w:val="104"/>
  </w:num>
  <w:num w:numId="153">
    <w:abstractNumId w:val="86"/>
  </w:num>
  <w:num w:numId="1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6"/>
  </w:num>
  <w:num w:numId="156">
    <w:abstractNumId w:val="86"/>
  </w:num>
  <w:num w:numId="157">
    <w:abstractNumId w:val="86"/>
  </w:num>
  <w:num w:numId="158">
    <w:abstractNumId w:val="86"/>
  </w:num>
  <w:num w:numId="159">
    <w:abstractNumId w:val="86"/>
  </w:num>
  <w:num w:numId="160">
    <w:abstractNumId w:val="86"/>
  </w:num>
  <w:num w:numId="161">
    <w:abstractNumId w:val="86"/>
  </w:num>
  <w:num w:numId="162">
    <w:abstractNumId w:val="86"/>
  </w:num>
  <w:num w:numId="163">
    <w:abstractNumId w:val="86"/>
  </w:num>
  <w:num w:numId="164">
    <w:abstractNumId w:val="86"/>
  </w:num>
  <w:num w:numId="165">
    <w:abstractNumId w:val="86"/>
  </w:num>
  <w:num w:numId="166">
    <w:abstractNumId w:val="86"/>
  </w:num>
  <w:num w:numId="167">
    <w:abstractNumId w:val="86"/>
  </w:num>
  <w:num w:numId="168">
    <w:abstractNumId w:val="86"/>
  </w:num>
  <w:num w:numId="169">
    <w:abstractNumId w:val="86"/>
  </w:num>
  <w:num w:numId="170">
    <w:abstractNumId w:val="86"/>
  </w:num>
  <w:num w:numId="171">
    <w:abstractNumId w:val="42"/>
  </w:num>
  <w:num w:numId="172">
    <w:abstractNumId w:val="86"/>
  </w:num>
  <w:num w:numId="173">
    <w:abstractNumId w:val="86"/>
  </w:num>
  <w:num w:numId="174">
    <w:abstractNumId w:val="30"/>
  </w:num>
  <w:num w:numId="175">
    <w:abstractNumId w:val="57"/>
  </w:num>
  <w:num w:numId="176">
    <w:abstractNumId w:val="116"/>
  </w:num>
  <w:num w:numId="177">
    <w:abstractNumId w:val="111"/>
  </w:num>
  <w:num w:numId="178">
    <w:abstractNumId w:val="120"/>
  </w:num>
  <w:num w:numId="179">
    <w:abstractNumId w:val="137"/>
  </w:num>
  <w:num w:numId="180">
    <w:abstractNumId w:val="21"/>
  </w:num>
  <w:num w:numId="181">
    <w:abstractNumId w:val="105"/>
  </w:num>
  <w:num w:numId="182">
    <w:abstractNumId w:val="15"/>
  </w:num>
  <w:num w:numId="183">
    <w:abstractNumId w:val="29"/>
  </w:num>
  <w:num w:numId="184">
    <w:abstractNumId w:val="24"/>
  </w:num>
  <w:num w:numId="185">
    <w:abstractNumId w:val="53"/>
  </w:num>
  <w:num w:numId="186">
    <w:abstractNumId w:val="150"/>
  </w:num>
  <w:num w:numId="187">
    <w:abstractNumId w:val="151"/>
  </w:num>
  <w:num w:numId="188">
    <w:abstractNumId w:val="132"/>
  </w:num>
  <w:num w:numId="189">
    <w:abstractNumId w:val="134"/>
  </w:num>
  <w:num w:numId="190">
    <w:abstractNumId w:val="39"/>
  </w:num>
  <w:num w:numId="191">
    <w:abstractNumId w:val="152"/>
  </w:num>
  <w:num w:numId="192">
    <w:abstractNumId w:val="86"/>
  </w:num>
  <w:num w:numId="193">
    <w:abstractNumId w:val="26"/>
  </w:num>
  <w:num w:numId="194">
    <w:abstractNumId w:val="26"/>
  </w:num>
  <w:num w:numId="195">
    <w:abstractNumId w:val="26"/>
  </w:num>
  <w:num w:numId="196">
    <w:abstractNumId w:val="26"/>
  </w:num>
  <w:num w:numId="197">
    <w:abstractNumId w:val="26"/>
  </w:num>
  <w:num w:numId="1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6"/>
  </w:num>
  <w:num w:numId="200">
    <w:abstractNumId w:val="86"/>
  </w:num>
  <w:num w:numId="201">
    <w:abstractNumId w:val="86"/>
  </w:num>
  <w:num w:numId="202">
    <w:abstractNumId w:val="86"/>
  </w:num>
  <w:num w:numId="203">
    <w:abstractNumId w:val="86"/>
  </w:num>
  <w:num w:numId="204">
    <w:abstractNumId w:val="86"/>
  </w:num>
  <w:num w:numId="205">
    <w:abstractNumId w:val="71"/>
  </w:num>
  <w:num w:numId="206">
    <w:abstractNumId w:val="86"/>
  </w:num>
  <w:num w:numId="207">
    <w:abstractNumId w:val="35"/>
  </w:num>
  <w:num w:numId="208">
    <w:abstractNumId w:val="56"/>
  </w:num>
  <w:num w:numId="209">
    <w:abstractNumId w:val="26"/>
  </w:num>
  <w:num w:numId="210">
    <w:abstractNumId w:val="118"/>
  </w:num>
  <w:num w:numId="211">
    <w:abstractNumId w:val="49"/>
  </w:num>
  <w:num w:numId="212">
    <w:abstractNumId w:val="23"/>
  </w:num>
  <w:num w:numId="213">
    <w:abstractNumId w:val="139"/>
  </w:num>
  <w:num w:numId="214">
    <w:abstractNumId w:val="94"/>
  </w:num>
  <w:num w:numId="215">
    <w:abstractNumId w:val="50"/>
  </w:num>
  <w:num w:numId="216">
    <w:abstractNumId w:val="18"/>
  </w:num>
  <w:num w:numId="217">
    <w:abstractNumId w:val="47"/>
  </w:num>
  <w:num w:numId="218">
    <w:abstractNumId w:val="75"/>
  </w:num>
  <w:num w:numId="219">
    <w:abstractNumId w:val="86"/>
  </w:num>
  <w:num w:numId="220">
    <w:abstractNumId w:val="86"/>
  </w:num>
  <w:num w:numId="221">
    <w:abstractNumId w:val="86"/>
  </w:num>
  <w:num w:numId="222">
    <w:abstractNumId w:val="86"/>
  </w:num>
  <w:num w:numId="223">
    <w:abstractNumId w:val="146"/>
  </w:num>
  <w:num w:numId="224">
    <w:abstractNumId w:val="86"/>
  </w:num>
  <w:num w:numId="225">
    <w:abstractNumId w:val="86"/>
  </w:num>
  <w:num w:numId="226">
    <w:abstractNumId w:val="86"/>
  </w:num>
  <w:num w:numId="227">
    <w:abstractNumId w:val="86"/>
  </w:num>
  <w:num w:numId="228">
    <w:abstractNumId w:val="86"/>
  </w:num>
  <w:num w:numId="229">
    <w:abstractNumId w:val="86"/>
  </w:num>
  <w:num w:numId="230">
    <w:abstractNumId w:val="86"/>
  </w:num>
  <w:num w:numId="231">
    <w:abstractNumId w:val="86"/>
  </w:num>
  <w:num w:numId="232">
    <w:abstractNumId w:val="147"/>
  </w:num>
  <w:num w:numId="233">
    <w:abstractNumId w:val="145"/>
  </w:num>
  <w:num w:numId="234">
    <w:abstractNumId w:val="86"/>
  </w:num>
  <w:num w:numId="235">
    <w:abstractNumId w:val="86"/>
  </w:num>
  <w:num w:numId="236">
    <w:abstractNumId w:val="86"/>
  </w:num>
  <w:num w:numId="237">
    <w:abstractNumId w:val="82"/>
  </w:num>
  <w:num w:numId="238">
    <w:abstractNumId w:val="86"/>
  </w:num>
  <w:num w:numId="239">
    <w:abstractNumId w:val="86"/>
  </w:num>
  <w:num w:numId="240">
    <w:abstractNumId w:val="86"/>
  </w:num>
  <w:num w:numId="241">
    <w:abstractNumId w:val="86"/>
  </w:num>
  <w:num w:numId="242">
    <w:abstractNumId w:val="154"/>
  </w:num>
  <w:num w:numId="243">
    <w:abstractNumId w:val="138"/>
  </w:num>
  <w:num w:numId="244">
    <w:abstractNumId w:val="37"/>
  </w:num>
  <w:num w:numId="245">
    <w:abstractNumId w:val="96"/>
  </w:num>
  <w:num w:numId="246">
    <w:abstractNumId w:val="48"/>
  </w:num>
  <w:num w:numId="247">
    <w:abstractNumId w:val="86"/>
  </w:num>
  <w:num w:numId="248">
    <w:abstractNumId w:val="86"/>
  </w:num>
  <w:num w:numId="249">
    <w:abstractNumId w:val="26"/>
  </w:num>
  <w:num w:numId="250">
    <w:abstractNumId w:val="72"/>
  </w:num>
  <w:num w:numId="251">
    <w:abstractNumId w:val="74"/>
  </w:num>
  <w:num w:numId="252">
    <w:abstractNumId w:val="91"/>
  </w:num>
  <w:num w:numId="253">
    <w:abstractNumId w:val="119"/>
  </w:num>
  <w:num w:numId="254">
    <w:abstractNumId w:val="90"/>
  </w:num>
  <w:numIdMacAtCleanup w:val="2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tsch, Nikolaas">
    <w15:presenceInfo w15:providerId="AD" w15:userId="S-1-5-21-1339303556-449845944-1601390327-145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US" w:vendorID="64" w:dllVersion="131078" w:nlCheck="1" w:checkStyle="1"/>
  <w:activeWritingStyle w:appName="MSWord" w:lang="es-CO"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6A"/>
    <w:rsid w:val="0000190D"/>
    <w:rsid w:val="00003242"/>
    <w:rsid w:val="00006549"/>
    <w:rsid w:val="00007514"/>
    <w:rsid w:val="000078FB"/>
    <w:rsid w:val="000101DD"/>
    <w:rsid w:val="000126A9"/>
    <w:rsid w:val="00013DFE"/>
    <w:rsid w:val="00014201"/>
    <w:rsid w:val="00016441"/>
    <w:rsid w:val="00016BB9"/>
    <w:rsid w:val="00017321"/>
    <w:rsid w:val="0001760A"/>
    <w:rsid w:val="00020B79"/>
    <w:rsid w:val="00021297"/>
    <w:rsid w:val="00021820"/>
    <w:rsid w:val="000222A2"/>
    <w:rsid w:val="000225DE"/>
    <w:rsid w:val="00023D76"/>
    <w:rsid w:val="00023F3F"/>
    <w:rsid w:val="0002743E"/>
    <w:rsid w:val="0003188E"/>
    <w:rsid w:val="0003275D"/>
    <w:rsid w:val="00032ECC"/>
    <w:rsid w:val="000347A3"/>
    <w:rsid w:val="00034E53"/>
    <w:rsid w:val="0003630B"/>
    <w:rsid w:val="00037733"/>
    <w:rsid w:val="00040DF2"/>
    <w:rsid w:val="0004365F"/>
    <w:rsid w:val="00047CCF"/>
    <w:rsid w:val="000542A3"/>
    <w:rsid w:val="00054FBC"/>
    <w:rsid w:val="000563F7"/>
    <w:rsid w:val="000569F3"/>
    <w:rsid w:val="00056DF6"/>
    <w:rsid w:val="0005736B"/>
    <w:rsid w:val="000578B8"/>
    <w:rsid w:val="00057B95"/>
    <w:rsid w:val="00057CD6"/>
    <w:rsid w:val="00065D34"/>
    <w:rsid w:val="00065F33"/>
    <w:rsid w:val="00066FF6"/>
    <w:rsid w:val="00067AB1"/>
    <w:rsid w:val="00073FDE"/>
    <w:rsid w:val="00074067"/>
    <w:rsid w:val="00074DA5"/>
    <w:rsid w:val="00075C89"/>
    <w:rsid w:val="0007665B"/>
    <w:rsid w:val="00080547"/>
    <w:rsid w:val="00082725"/>
    <w:rsid w:val="00084231"/>
    <w:rsid w:val="0008677F"/>
    <w:rsid w:val="00086B13"/>
    <w:rsid w:val="00092151"/>
    <w:rsid w:val="00094DBB"/>
    <w:rsid w:val="0009614B"/>
    <w:rsid w:val="00097A40"/>
    <w:rsid w:val="000A0EA2"/>
    <w:rsid w:val="000A20EF"/>
    <w:rsid w:val="000A38C2"/>
    <w:rsid w:val="000A3C86"/>
    <w:rsid w:val="000A5092"/>
    <w:rsid w:val="000A6623"/>
    <w:rsid w:val="000B0C8D"/>
    <w:rsid w:val="000B25D6"/>
    <w:rsid w:val="000B356F"/>
    <w:rsid w:val="000B3BE7"/>
    <w:rsid w:val="000B4BCA"/>
    <w:rsid w:val="000C0E36"/>
    <w:rsid w:val="000C615B"/>
    <w:rsid w:val="000C686E"/>
    <w:rsid w:val="000C7313"/>
    <w:rsid w:val="000C7826"/>
    <w:rsid w:val="000D33A2"/>
    <w:rsid w:val="000D34CB"/>
    <w:rsid w:val="000D4096"/>
    <w:rsid w:val="000D40A1"/>
    <w:rsid w:val="000D5884"/>
    <w:rsid w:val="000D5C67"/>
    <w:rsid w:val="000D6A5D"/>
    <w:rsid w:val="000D79BA"/>
    <w:rsid w:val="000E0771"/>
    <w:rsid w:val="000E080B"/>
    <w:rsid w:val="000E2B33"/>
    <w:rsid w:val="000E37C0"/>
    <w:rsid w:val="000E3CEB"/>
    <w:rsid w:val="000E3E38"/>
    <w:rsid w:val="000E7141"/>
    <w:rsid w:val="000F54FA"/>
    <w:rsid w:val="000F57AC"/>
    <w:rsid w:val="000F70E0"/>
    <w:rsid w:val="000F7B9B"/>
    <w:rsid w:val="00102DDC"/>
    <w:rsid w:val="00103A61"/>
    <w:rsid w:val="00105530"/>
    <w:rsid w:val="00105AE1"/>
    <w:rsid w:val="00105F61"/>
    <w:rsid w:val="00110EE4"/>
    <w:rsid w:val="00113BFF"/>
    <w:rsid w:val="00114CA0"/>
    <w:rsid w:val="001169A6"/>
    <w:rsid w:val="00121328"/>
    <w:rsid w:val="0012693F"/>
    <w:rsid w:val="00127DD0"/>
    <w:rsid w:val="00131920"/>
    <w:rsid w:val="00132652"/>
    <w:rsid w:val="00133485"/>
    <w:rsid w:val="00134C51"/>
    <w:rsid w:val="0014296C"/>
    <w:rsid w:val="00142D4D"/>
    <w:rsid w:val="001511FB"/>
    <w:rsid w:val="00151227"/>
    <w:rsid w:val="0015547C"/>
    <w:rsid w:val="00156AFB"/>
    <w:rsid w:val="00157C96"/>
    <w:rsid w:val="00157E54"/>
    <w:rsid w:val="0016031B"/>
    <w:rsid w:val="00161904"/>
    <w:rsid w:val="00161A53"/>
    <w:rsid w:val="00161B28"/>
    <w:rsid w:val="00162A7B"/>
    <w:rsid w:val="00164FEE"/>
    <w:rsid w:val="001656D8"/>
    <w:rsid w:val="00170515"/>
    <w:rsid w:val="00171109"/>
    <w:rsid w:val="001735F2"/>
    <w:rsid w:val="00175246"/>
    <w:rsid w:val="0018440D"/>
    <w:rsid w:val="00186F62"/>
    <w:rsid w:val="00187773"/>
    <w:rsid w:val="001909C1"/>
    <w:rsid w:val="00190CFB"/>
    <w:rsid w:val="00193841"/>
    <w:rsid w:val="00195691"/>
    <w:rsid w:val="00195CBC"/>
    <w:rsid w:val="00196B1B"/>
    <w:rsid w:val="001A57EC"/>
    <w:rsid w:val="001A5A18"/>
    <w:rsid w:val="001A7E81"/>
    <w:rsid w:val="001B0EA4"/>
    <w:rsid w:val="001B28EE"/>
    <w:rsid w:val="001B4123"/>
    <w:rsid w:val="001B4B08"/>
    <w:rsid w:val="001B4EC4"/>
    <w:rsid w:val="001B6BE3"/>
    <w:rsid w:val="001C1DC3"/>
    <w:rsid w:val="001C2A3D"/>
    <w:rsid w:val="001C3CB5"/>
    <w:rsid w:val="001C48D1"/>
    <w:rsid w:val="001C5289"/>
    <w:rsid w:val="001C639D"/>
    <w:rsid w:val="001C6F4E"/>
    <w:rsid w:val="001C780E"/>
    <w:rsid w:val="001C7A33"/>
    <w:rsid w:val="001D079E"/>
    <w:rsid w:val="001D187C"/>
    <w:rsid w:val="001D38C5"/>
    <w:rsid w:val="001D3B41"/>
    <w:rsid w:val="001D5186"/>
    <w:rsid w:val="001D5503"/>
    <w:rsid w:val="001D5846"/>
    <w:rsid w:val="001D6C3E"/>
    <w:rsid w:val="001E2007"/>
    <w:rsid w:val="001E5053"/>
    <w:rsid w:val="001E50B9"/>
    <w:rsid w:val="001E5918"/>
    <w:rsid w:val="001F2433"/>
    <w:rsid w:val="001F4804"/>
    <w:rsid w:val="001F4C93"/>
    <w:rsid w:val="001F6FE5"/>
    <w:rsid w:val="001F77A1"/>
    <w:rsid w:val="001F7F3A"/>
    <w:rsid w:val="002035B1"/>
    <w:rsid w:val="00206DEE"/>
    <w:rsid w:val="00210361"/>
    <w:rsid w:val="002111B7"/>
    <w:rsid w:val="0021160E"/>
    <w:rsid w:val="00211C1B"/>
    <w:rsid w:val="00215FBC"/>
    <w:rsid w:val="00220070"/>
    <w:rsid w:val="002220AB"/>
    <w:rsid w:val="00222E94"/>
    <w:rsid w:val="00225F30"/>
    <w:rsid w:val="00226615"/>
    <w:rsid w:val="0023427D"/>
    <w:rsid w:val="00235415"/>
    <w:rsid w:val="00235B09"/>
    <w:rsid w:val="00236A8F"/>
    <w:rsid w:val="002377D2"/>
    <w:rsid w:val="00245C0D"/>
    <w:rsid w:val="00245FC5"/>
    <w:rsid w:val="00246480"/>
    <w:rsid w:val="00246819"/>
    <w:rsid w:val="002537FA"/>
    <w:rsid w:val="00256221"/>
    <w:rsid w:val="002573F6"/>
    <w:rsid w:val="002603D6"/>
    <w:rsid w:val="0026267D"/>
    <w:rsid w:val="002628FF"/>
    <w:rsid w:val="00264D20"/>
    <w:rsid w:val="00272288"/>
    <w:rsid w:val="00273DDB"/>
    <w:rsid w:val="00281353"/>
    <w:rsid w:val="0028449D"/>
    <w:rsid w:val="002873B4"/>
    <w:rsid w:val="002924CD"/>
    <w:rsid w:val="00296B47"/>
    <w:rsid w:val="002A061A"/>
    <w:rsid w:val="002A17AE"/>
    <w:rsid w:val="002A195D"/>
    <w:rsid w:val="002A19EC"/>
    <w:rsid w:val="002A1C5C"/>
    <w:rsid w:val="002A2889"/>
    <w:rsid w:val="002A2C22"/>
    <w:rsid w:val="002A356E"/>
    <w:rsid w:val="002A5E91"/>
    <w:rsid w:val="002A727A"/>
    <w:rsid w:val="002B0E4E"/>
    <w:rsid w:val="002B110B"/>
    <w:rsid w:val="002B706D"/>
    <w:rsid w:val="002C09C1"/>
    <w:rsid w:val="002C0BB3"/>
    <w:rsid w:val="002C1894"/>
    <w:rsid w:val="002C27B4"/>
    <w:rsid w:val="002C4043"/>
    <w:rsid w:val="002C5353"/>
    <w:rsid w:val="002C57C0"/>
    <w:rsid w:val="002C6E15"/>
    <w:rsid w:val="002D31A5"/>
    <w:rsid w:val="002E057F"/>
    <w:rsid w:val="002E4C43"/>
    <w:rsid w:val="002E4EAB"/>
    <w:rsid w:val="002E6236"/>
    <w:rsid w:val="002E65B3"/>
    <w:rsid w:val="002E6CC3"/>
    <w:rsid w:val="002F1890"/>
    <w:rsid w:val="002F1FB4"/>
    <w:rsid w:val="002F31EA"/>
    <w:rsid w:val="002F4225"/>
    <w:rsid w:val="002F5ECA"/>
    <w:rsid w:val="002F64B1"/>
    <w:rsid w:val="00301E59"/>
    <w:rsid w:val="00303813"/>
    <w:rsid w:val="0030437E"/>
    <w:rsid w:val="00304F76"/>
    <w:rsid w:val="003105EF"/>
    <w:rsid w:val="00310DF9"/>
    <w:rsid w:val="00313B7E"/>
    <w:rsid w:val="00314A22"/>
    <w:rsid w:val="00315927"/>
    <w:rsid w:val="003179D5"/>
    <w:rsid w:val="00320202"/>
    <w:rsid w:val="00323871"/>
    <w:rsid w:val="003269A2"/>
    <w:rsid w:val="00330795"/>
    <w:rsid w:val="00333C62"/>
    <w:rsid w:val="003342CA"/>
    <w:rsid w:val="00334A2C"/>
    <w:rsid w:val="003364D1"/>
    <w:rsid w:val="003364F4"/>
    <w:rsid w:val="00336E6C"/>
    <w:rsid w:val="0034149E"/>
    <w:rsid w:val="003416AF"/>
    <w:rsid w:val="003423E2"/>
    <w:rsid w:val="0034300F"/>
    <w:rsid w:val="00345430"/>
    <w:rsid w:val="00345973"/>
    <w:rsid w:val="00346EE5"/>
    <w:rsid w:val="003510DD"/>
    <w:rsid w:val="0035325D"/>
    <w:rsid w:val="00355175"/>
    <w:rsid w:val="0035576C"/>
    <w:rsid w:val="00355BFE"/>
    <w:rsid w:val="0035788A"/>
    <w:rsid w:val="00357A7A"/>
    <w:rsid w:val="0036299D"/>
    <w:rsid w:val="003645F9"/>
    <w:rsid w:val="0036596B"/>
    <w:rsid w:val="003660A6"/>
    <w:rsid w:val="003663F3"/>
    <w:rsid w:val="003679AD"/>
    <w:rsid w:val="00367D11"/>
    <w:rsid w:val="00371195"/>
    <w:rsid w:val="00374D30"/>
    <w:rsid w:val="00375280"/>
    <w:rsid w:val="0037615B"/>
    <w:rsid w:val="003819C4"/>
    <w:rsid w:val="0038507A"/>
    <w:rsid w:val="00390E44"/>
    <w:rsid w:val="00397ED8"/>
    <w:rsid w:val="003A0DF6"/>
    <w:rsid w:val="003A1DC1"/>
    <w:rsid w:val="003A6C5D"/>
    <w:rsid w:val="003B1E58"/>
    <w:rsid w:val="003B2481"/>
    <w:rsid w:val="003B29A8"/>
    <w:rsid w:val="003B439D"/>
    <w:rsid w:val="003B6623"/>
    <w:rsid w:val="003B7BDD"/>
    <w:rsid w:val="003C45E2"/>
    <w:rsid w:val="003C4E27"/>
    <w:rsid w:val="003D471C"/>
    <w:rsid w:val="003D6B20"/>
    <w:rsid w:val="003D6E4F"/>
    <w:rsid w:val="003E0285"/>
    <w:rsid w:val="003E09E2"/>
    <w:rsid w:val="003E37DA"/>
    <w:rsid w:val="003E5763"/>
    <w:rsid w:val="003E5BE0"/>
    <w:rsid w:val="003E5E00"/>
    <w:rsid w:val="003E7D1A"/>
    <w:rsid w:val="003F0E90"/>
    <w:rsid w:val="003F1992"/>
    <w:rsid w:val="003F28B1"/>
    <w:rsid w:val="003F49BC"/>
    <w:rsid w:val="003F5ADD"/>
    <w:rsid w:val="003F6B6D"/>
    <w:rsid w:val="003F74AC"/>
    <w:rsid w:val="004002F4"/>
    <w:rsid w:val="00401E7B"/>
    <w:rsid w:val="004040EB"/>
    <w:rsid w:val="00404E28"/>
    <w:rsid w:val="0040560D"/>
    <w:rsid w:val="00407329"/>
    <w:rsid w:val="0040744D"/>
    <w:rsid w:val="0041026B"/>
    <w:rsid w:val="00411005"/>
    <w:rsid w:val="004117E6"/>
    <w:rsid w:val="00414953"/>
    <w:rsid w:val="00414CBA"/>
    <w:rsid w:val="00415521"/>
    <w:rsid w:val="00415727"/>
    <w:rsid w:val="004161F3"/>
    <w:rsid w:val="004227D3"/>
    <w:rsid w:val="00423BCA"/>
    <w:rsid w:val="00425021"/>
    <w:rsid w:val="0042758A"/>
    <w:rsid w:val="00431B9D"/>
    <w:rsid w:val="00432A67"/>
    <w:rsid w:val="004349A5"/>
    <w:rsid w:val="004358AE"/>
    <w:rsid w:val="00435B5F"/>
    <w:rsid w:val="00435C42"/>
    <w:rsid w:val="00435CE6"/>
    <w:rsid w:val="00437870"/>
    <w:rsid w:val="004423E9"/>
    <w:rsid w:val="004442A6"/>
    <w:rsid w:val="00445F21"/>
    <w:rsid w:val="004525F2"/>
    <w:rsid w:val="0045433A"/>
    <w:rsid w:val="0045736E"/>
    <w:rsid w:val="00461A2F"/>
    <w:rsid w:val="00462FE9"/>
    <w:rsid w:val="00464DD3"/>
    <w:rsid w:val="00464F74"/>
    <w:rsid w:val="004650FF"/>
    <w:rsid w:val="0046545C"/>
    <w:rsid w:val="00466997"/>
    <w:rsid w:val="00470EE0"/>
    <w:rsid w:val="004720A4"/>
    <w:rsid w:val="00473EC0"/>
    <w:rsid w:val="00474FC9"/>
    <w:rsid w:val="00475FEB"/>
    <w:rsid w:val="00480A89"/>
    <w:rsid w:val="004834EB"/>
    <w:rsid w:val="00485F13"/>
    <w:rsid w:val="00486D5E"/>
    <w:rsid w:val="00487D80"/>
    <w:rsid w:val="004928FC"/>
    <w:rsid w:val="004944C5"/>
    <w:rsid w:val="00495480"/>
    <w:rsid w:val="004954E1"/>
    <w:rsid w:val="00496ACB"/>
    <w:rsid w:val="004A1694"/>
    <w:rsid w:val="004A20F5"/>
    <w:rsid w:val="004A2EFD"/>
    <w:rsid w:val="004A4E6B"/>
    <w:rsid w:val="004A6180"/>
    <w:rsid w:val="004B19AF"/>
    <w:rsid w:val="004B3532"/>
    <w:rsid w:val="004B4B08"/>
    <w:rsid w:val="004B4ED2"/>
    <w:rsid w:val="004C7CA8"/>
    <w:rsid w:val="004D0439"/>
    <w:rsid w:val="004D0D4A"/>
    <w:rsid w:val="004D2861"/>
    <w:rsid w:val="004D5AB6"/>
    <w:rsid w:val="004D7A4A"/>
    <w:rsid w:val="004E22A1"/>
    <w:rsid w:val="004E59F8"/>
    <w:rsid w:val="004E6D49"/>
    <w:rsid w:val="004E6EF1"/>
    <w:rsid w:val="004F32D0"/>
    <w:rsid w:val="004F346E"/>
    <w:rsid w:val="004F50DD"/>
    <w:rsid w:val="004F7438"/>
    <w:rsid w:val="00505740"/>
    <w:rsid w:val="00513E84"/>
    <w:rsid w:val="005147F1"/>
    <w:rsid w:val="00520AD9"/>
    <w:rsid w:val="00521B7B"/>
    <w:rsid w:val="00525250"/>
    <w:rsid w:val="00525B7E"/>
    <w:rsid w:val="0053354E"/>
    <w:rsid w:val="00533D67"/>
    <w:rsid w:val="00533E47"/>
    <w:rsid w:val="00534A3C"/>
    <w:rsid w:val="00535456"/>
    <w:rsid w:val="005355D8"/>
    <w:rsid w:val="00536566"/>
    <w:rsid w:val="00540003"/>
    <w:rsid w:val="00544AB1"/>
    <w:rsid w:val="005457C4"/>
    <w:rsid w:val="005476A4"/>
    <w:rsid w:val="005500E4"/>
    <w:rsid w:val="00550827"/>
    <w:rsid w:val="005542CB"/>
    <w:rsid w:val="00555B16"/>
    <w:rsid w:val="00556F44"/>
    <w:rsid w:val="0055728F"/>
    <w:rsid w:val="00557C59"/>
    <w:rsid w:val="00560487"/>
    <w:rsid w:val="0056287A"/>
    <w:rsid w:val="00570575"/>
    <w:rsid w:val="0057139E"/>
    <w:rsid w:val="005717F9"/>
    <w:rsid w:val="0057612E"/>
    <w:rsid w:val="00580CC3"/>
    <w:rsid w:val="00582D44"/>
    <w:rsid w:val="00586AC2"/>
    <w:rsid w:val="00587147"/>
    <w:rsid w:val="00587ADD"/>
    <w:rsid w:val="00590312"/>
    <w:rsid w:val="00592504"/>
    <w:rsid w:val="00593EB4"/>
    <w:rsid w:val="00595B64"/>
    <w:rsid w:val="00596025"/>
    <w:rsid w:val="005A1D97"/>
    <w:rsid w:val="005A36F0"/>
    <w:rsid w:val="005A557D"/>
    <w:rsid w:val="005A720E"/>
    <w:rsid w:val="005A7415"/>
    <w:rsid w:val="005A7705"/>
    <w:rsid w:val="005A7A36"/>
    <w:rsid w:val="005B1E0E"/>
    <w:rsid w:val="005B7400"/>
    <w:rsid w:val="005C06EA"/>
    <w:rsid w:val="005C1485"/>
    <w:rsid w:val="005C17B1"/>
    <w:rsid w:val="005C3BB5"/>
    <w:rsid w:val="005C67CB"/>
    <w:rsid w:val="005C77FF"/>
    <w:rsid w:val="005D3323"/>
    <w:rsid w:val="005D41B2"/>
    <w:rsid w:val="005D5FF9"/>
    <w:rsid w:val="005D76F1"/>
    <w:rsid w:val="005D7A48"/>
    <w:rsid w:val="005D7F25"/>
    <w:rsid w:val="005E09C1"/>
    <w:rsid w:val="005E10A9"/>
    <w:rsid w:val="005E4ADB"/>
    <w:rsid w:val="005E65B7"/>
    <w:rsid w:val="005E6C4D"/>
    <w:rsid w:val="005F19EC"/>
    <w:rsid w:val="005F2BB6"/>
    <w:rsid w:val="005F4679"/>
    <w:rsid w:val="005F507A"/>
    <w:rsid w:val="005F633A"/>
    <w:rsid w:val="005F648D"/>
    <w:rsid w:val="006016EE"/>
    <w:rsid w:val="006038EA"/>
    <w:rsid w:val="006049A9"/>
    <w:rsid w:val="00605968"/>
    <w:rsid w:val="00606C33"/>
    <w:rsid w:val="00606E90"/>
    <w:rsid w:val="00611C4D"/>
    <w:rsid w:val="00611CB5"/>
    <w:rsid w:val="00611F4D"/>
    <w:rsid w:val="00611FE9"/>
    <w:rsid w:val="00614618"/>
    <w:rsid w:val="00615B64"/>
    <w:rsid w:val="00616EE7"/>
    <w:rsid w:val="00617066"/>
    <w:rsid w:val="006174A8"/>
    <w:rsid w:val="00621C98"/>
    <w:rsid w:val="006270E9"/>
    <w:rsid w:val="00630FEB"/>
    <w:rsid w:val="006350AE"/>
    <w:rsid w:val="0064113B"/>
    <w:rsid w:val="00642BF9"/>
    <w:rsid w:val="00643014"/>
    <w:rsid w:val="006442D3"/>
    <w:rsid w:val="00644E42"/>
    <w:rsid w:val="00645D24"/>
    <w:rsid w:val="006505C9"/>
    <w:rsid w:val="00650E04"/>
    <w:rsid w:val="00652A96"/>
    <w:rsid w:val="00654063"/>
    <w:rsid w:val="006549FE"/>
    <w:rsid w:val="00656149"/>
    <w:rsid w:val="00660250"/>
    <w:rsid w:val="00661DCE"/>
    <w:rsid w:val="00662050"/>
    <w:rsid w:val="00664BC8"/>
    <w:rsid w:val="0066506B"/>
    <w:rsid w:val="00670712"/>
    <w:rsid w:val="006726CA"/>
    <w:rsid w:val="006727AF"/>
    <w:rsid w:val="006736D6"/>
    <w:rsid w:val="00674451"/>
    <w:rsid w:val="00676236"/>
    <w:rsid w:val="00681FED"/>
    <w:rsid w:val="006846A5"/>
    <w:rsid w:val="00685F7C"/>
    <w:rsid w:val="00687E79"/>
    <w:rsid w:val="0069244F"/>
    <w:rsid w:val="00692667"/>
    <w:rsid w:val="00692BEE"/>
    <w:rsid w:val="00693223"/>
    <w:rsid w:val="00693356"/>
    <w:rsid w:val="0069385B"/>
    <w:rsid w:val="0069426E"/>
    <w:rsid w:val="006952C2"/>
    <w:rsid w:val="00696CCB"/>
    <w:rsid w:val="006A0A70"/>
    <w:rsid w:val="006A27EC"/>
    <w:rsid w:val="006A3C1F"/>
    <w:rsid w:val="006A42FF"/>
    <w:rsid w:val="006A5715"/>
    <w:rsid w:val="006A7DE0"/>
    <w:rsid w:val="006B1BAC"/>
    <w:rsid w:val="006B4B19"/>
    <w:rsid w:val="006B5F6E"/>
    <w:rsid w:val="006B5FAC"/>
    <w:rsid w:val="006C0360"/>
    <w:rsid w:val="006C2F1E"/>
    <w:rsid w:val="006C6133"/>
    <w:rsid w:val="006D1D20"/>
    <w:rsid w:val="006D265D"/>
    <w:rsid w:val="006D49FF"/>
    <w:rsid w:val="006D6990"/>
    <w:rsid w:val="006D6C0F"/>
    <w:rsid w:val="006D7083"/>
    <w:rsid w:val="006D78FC"/>
    <w:rsid w:val="006D7B4F"/>
    <w:rsid w:val="006E2877"/>
    <w:rsid w:val="006E484F"/>
    <w:rsid w:val="006F0324"/>
    <w:rsid w:val="006F0684"/>
    <w:rsid w:val="006F360D"/>
    <w:rsid w:val="006F3843"/>
    <w:rsid w:val="006F3DFB"/>
    <w:rsid w:val="006F4D93"/>
    <w:rsid w:val="006F5B85"/>
    <w:rsid w:val="006F6310"/>
    <w:rsid w:val="006F7A25"/>
    <w:rsid w:val="007005EC"/>
    <w:rsid w:val="007011D3"/>
    <w:rsid w:val="00703A52"/>
    <w:rsid w:val="00706F4B"/>
    <w:rsid w:val="00707FEC"/>
    <w:rsid w:val="00710436"/>
    <w:rsid w:val="0071129B"/>
    <w:rsid w:val="00711A90"/>
    <w:rsid w:val="00713DC8"/>
    <w:rsid w:val="00715462"/>
    <w:rsid w:val="0071620F"/>
    <w:rsid w:val="007229F0"/>
    <w:rsid w:val="00726E0A"/>
    <w:rsid w:val="00733BD5"/>
    <w:rsid w:val="00737A69"/>
    <w:rsid w:val="007466BB"/>
    <w:rsid w:val="00746F5E"/>
    <w:rsid w:val="00750FD3"/>
    <w:rsid w:val="00751458"/>
    <w:rsid w:val="00751C23"/>
    <w:rsid w:val="00753267"/>
    <w:rsid w:val="00754987"/>
    <w:rsid w:val="00756369"/>
    <w:rsid w:val="007579E5"/>
    <w:rsid w:val="007634C9"/>
    <w:rsid w:val="007637FF"/>
    <w:rsid w:val="00763965"/>
    <w:rsid w:val="00763F91"/>
    <w:rsid w:val="00764474"/>
    <w:rsid w:val="00767877"/>
    <w:rsid w:val="00770014"/>
    <w:rsid w:val="00771892"/>
    <w:rsid w:val="00771C9D"/>
    <w:rsid w:val="00772C60"/>
    <w:rsid w:val="00774EFC"/>
    <w:rsid w:val="0078224F"/>
    <w:rsid w:val="00783473"/>
    <w:rsid w:val="007856AE"/>
    <w:rsid w:val="00787633"/>
    <w:rsid w:val="007878F0"/>
    <w:rsid w:val="0079046B"/>
    <w:rsid w:val="007949E3"/>
    <w:rsid w:val="00794ECB"/>
    <w:rsid w:val="007954D5"/>
    <w:rsid w:val="00795C9D"/>
    <w:rsid w:val="007A011F"/>
    <w:rsid w:val="007A1551"/>
    <w:rsid w:val="007A290A"/>
    <w:rsid w:val="007A6DD8"/>
    <w:rsid w:val="007A729E"/>
    <w:rsid w:val="007B0115"/>
    <w:rsid w:val="007B20F2"/>
    <w:rsid w:val="007B4BB3"/>
    <w:rsid w:val="007B541A"/>
    <w:rsid w:val="007B55B0"/>
    <w:rsid w:val="007B6120"/>
    <w:rsid w:val="007B6320"/>
    <w:rsid w:val="007B64E2"/>
    <w:rsid w:val="007B77D9"/>
    <w:rsid w:val="007C0E59"/>
    <w:rsid w:val="007C0F95"/>
    <w:rsid w:val="007C13B1"/>
    <w:rsid w:val="007C5F08"/>
    <w:rsid w:val="007C6013"/>
    <w:rsid w:val="007D129C"/>
    <w:rsid w:val="007D1D30"/>
    <w:rsid w:val="007D24AE"/>
    <w:rsid w:val="007D2DD1"/>
    <w:rsid w:val="007D3778"/>
    <w:rsid w:val="007D44F8"/>
    <w:rsid w:val="007D4D54"/>
    <w:rsid w:val="007D69DB"/>
    <w:rsid w:val="007D78F0"/>
    <w:rsid w:val="007D7BE7"/>
    <w:rsid w:val="007E127B"/>
    <w:rsid w:val="007E1CCD"/>
    <w:rsid w:val="007E27E4"/>
    <w:rsid w:val="007E3BF4"/>
    <w:rsid w:val="007E4994"/>
    <w:rsid w:val="007E7610"/>
    <w:rsid w:val="007F3578"/>
    <w:rsid w:val="007F5236"/>
    <w:rsid w:val="007F5D3F"/>
    <w:rsid w:val="007F6129"/>
    <w:rsid w:val="007F67D2"/>
    <w:rsid w:val="007F70D1"/>
    <w:rsid w:val="00804A47"/>
    <w:rsid w:val="0080510E"/>
    <w:rsid w:val="008054BD"/>
    <w:rsid w:val="008056C8"/>
    <w:rsid w:val="00805B41"/>
    <w:rsid w:val="00805C6E"/>
    <w:rsid w:val="0080630B"/>
    <w:rsid w:val="00806D88"/>
    <w:rsid w:val="0081189D"/>
    <w:rsid w:val="00811F45"/>
    <w:rsid w:val="008125E8"/>
    <w:rsid w:val="008128AA"/>
    <w:rsid w:val="00813893"/>
    <w:rsid w:val="008138EE"/>
    <w:rsid w:val="00814FE3"/>
    <w:rsid w:val="008174A9"/>
    <w:rsid w:val="00820287"/>
    <w:rsid w:val="00821C31"/>
    <w:rsid w:val="00823462"/>
    <w:rsid w:val="008247A8"/>
    <w:rsid w:val="008270E3"/>
    <w:rsid w:val="0082734B"/>
    <w:rsid w:val="008311E8"/>
    <w:rsid w:val="0083194C"/>
    <w:rsid w:val="00831EF6"/>
    <w:rsid w:val="008325ED"/>
    <w:rsid w:val="00834A69"/>
    <w:rsid w:val="008354F5"/>
    <w:rsid w:val="00836232"/>
    <w:rsid w:val="00840CD8"/>
    <w:rsid w:val="00846E50"/>
    <w:rsid w:val="0085040D"/>
    <w:rsid w:val="00850CE1"/>
    <w:rsid w:val="00850E25"/>
    <w:rsid w:val="00851E9B"/>
    <w:rsid w:val="00854AAA"/>
    <w:rsid w:val="00854FD2"/>
    <w:rsid w:val="0085572D"/>
    <w:rsid w:val="00855964"/>
    <w:rsid w:val="00856355"/>
    <w:rsid w:val="00860257"/>
    <w:rsid w:val="00861575"/>
    <w:rsid w:val="00862934"/>
    <w:rsid w:val="00865F44"/>
    <w:rsid w:val="00867725"/>
    <w:rsid w:val="008719BA"/>
    <w:rsid w:val="00872D8D"/>
    <w:rsid w:val="0087324C"/>
    <w:rsid w:val="00873C64"/>
    <w:rsid w:val="00873DC3"/>
    <w:rsid w:val="00874752"/>
    <w:rsid w:val="00875481"/>
    <w:rsid w:val="00880F83"/>
    <w:rsid w:val="00885D6E"/>
    <w:rsid w:val="00890663"/>
    <w:rsid w:val="008922E6"/>
    <w:rsid w:val="00892622"/>
    <w:rsid w:val="00892D54"/>
    <w:rsid w:val="00894C60"/>
    <w:rsid w:val="00896011"/>
    <w:rsid w:val="00896317"/>
    <w:rsid w:val="00896A51"/>
    <w:rsid w:val="00896C26"/>
    <w:rsid w:val="008A1A09"/>
    <w:rsid w:val="008A2E6A"/>
    <w:rsid w:val="008A414F"/>
    <w:rsid w:val="008A586B"/>
    <w:rsid w:val="008A5B0D"/>
    <w:rsid w:val="008A6056"/>
    <w:rsid w:val="008A66A0"/>
    <w:rsid w:val="008A69EE"/>
    <w:rsid w:val="008B1B50"/>
    <w:rsid w:val="008B6BD7"/>
    <w:rsid w:val="008B7D2C"/>
    <w:rsid w:val="008C125C"/>
    <w:rsid w:val="008C1CB2"/>
    <w:rsid w:val="008D1161"/>
    <w:rsid w:val="008D1E86"/>
    <w:rsid w:val="008D2E59"/>
    <w:rsid w:val="008D3574"/>
    <w:rsid w:val="008D3D32"/>
    <w:rsid w:val="008D4C88"/>
    <w:rsid w:val="008D5423"/>
    <w:rsid w:val="008E0794"/>
    <w:rsid w:val="008E3134"/>
    <w:rsid w:val="008E3BC1"/>
    <w:rsid w:val="008F1CC5"/>
    <w:rsid w:val="008F1D0B"/>
    <w:rsid w:val="008F288D"/>
    <w:rsid w:val="008F3A47"/>
    <w:rsid w:val="009008F4"/>
    <w:rsid w:val="009027CE"/>
    <w:rsid w:val="009030C3"/>
    <w:rsid w:val="00904515"/>
    <w:rsid w:val="00904E8A"/>
    <w:rsid w:val="009062F7"/>
    <w:rsid w:val="0091166A"/>
    <w:rsid w:val="00911885"/>
    <w:rsid w:val="009126DD"/>
    <w:rsid w:val="0091278E"/>
    <w:rsid w:val="00913F3C"/>
    <w:rsid w:val="0091501B"/>
    <w:rsid w:val="009154AB"/>
    <w:rsid w:val="009173AF"/>
    <w:rsid w:val="00917DC9"/>
    <w:rsid w:val="00917EE6"/>
    <w:rsid w:val="00920866"/>
    <w:rsid w:val="00920AAC"/>
    <w:rsid w:val="00920EFD"/>
    <w:rsid w:val="00921515"/>
    <w:rsid w:val="00921F2D"/>
    <w:rsid w:val="00922093"/>
    <w:rsid w:val="009221FA"/>
    <w:rsid w:val="00922EC0"/>
    <w:rsid w:val="009265E4"/>
    <w:rsid w:val="00926E42"/>
    <w:rsid w:val="00930DB4"/>
    <w:rsid w:val="00931DDA"/>
    <w:rsid w:val="0093283B"/>
    <w:rsid w:val="00932EF8"/>
    <w:rsid w:val="00934954"/>
    <w:rsid w:val="0094075D"/>
    <w:rsid w:val="0094289F"/>
    <w:rsid w:val="009434F3"/>
    <w:rsid w:val="00943737"/>
    <w:rsid w:val="00946690"/>
    <w:rsid w:val="00947AAA"/>
    <w:rsid w:val="00952630"/>
    <w:rsid w:val="00952B8F"/>
    <w:rsid w:val="00952FD0"/>
    <w:rsid w:val="00957091"/>
    <w:rsid w:val="009571FB"/>
    <w:rsid w:val="009629AA"/>
    <w:rsid w:val="009663EC"/>
    <w:rsid w:val="0097148B"/>
    <w:rsid w:val="00975EC6"/>
    <w:rsid w:val="0097617E"/>
    <w:rsid w:val="00976211"/>
    <w:rsid w:val="00977456"/>
    <w:rsid w:val="00980294"/>
    <w:rsid w:val="00983BB9"/>
    <w:rsid w:val="00984C74"/>
    <w:rsid w:val="0098545B"/>
    <w:rsid w:val="00985D6A"/>
    <w:rsid w:val="009861FE"/>
    <w:rsid w:val="00987FF2"/>
    <w:rsid w:val="009916EA"/>
    <w:rsid w:val="0099240D"/>
    <w:rsid w:val="009925BC"/>
    <w:rsid w:val="00993887"/>
    <w:rsid w:val="009952E9"/>
    <w:rsid w:val="00996DB2"/>
    <w:rsid w:val="009A3605"/>
    <w:rsid w:val="009A4547"/>
    <w:rsid w:val="009A488E"/>
    <w:rsid w:val="009B025F"/>
    <w:rsid w:val="009B0FEF"/>
    <w:rsid w:val="009B10F6"/>
    <w:rsid w:val="009B2AD5"/>
    <w:rsid w:val="009B2F52"/>
    <w:rsid w:val="009B517D"/>
    <w:rsid w:val="009C06E7"/>
    <w:rsid w:val="009C0AB7"/>
    <w:rsid w:val="009C0CA9"/>
    <w:rsid w:val="009C2E62"/>
    <w:rsid w:val="009C3D40"/>
    <w:rsid w:val="009C43A4"/>
    <w:rsid w:val="009C6295"/>
    <w:rsid w:val="009D2131"/>
    <w:rsid w:val="009D23DD"/>
    <w:rsid w:val="009D276E"/>
    <w:rsid w:val="009E0124"/>
    <w:rsid w:val="009E66E0"/>
    <w:rsid w:val="009E7639"/>
    <w:rsid w:val="009F278D"/>
    <w:rsid w:val="009F2C48"/>
    <w:rsid w:val="009F43BC"/>
    <w:rsid w:val="009F4ED9"/>
    <w:rsid w:val="009F50F7"/>
    <w:rsid w:val="009F77D5"/>
    <w:rsid w:val="00A01AFE"/>
    <w:rsid w:val="00A036EA"/>
    <w:rsid w:val="00A07015"/>
    <w:rsid w:val="00A12557"/>
    <w:rsid w:val="00A21221"/>
    <w:rsid w:val="00A22298"/>
    <w:rsid w:val="00A23C79"/>
    <w:rsid w:val="00A247E6"/>
    <w:rsid w:val="00A24822"/>
    <w:rsid w:val="00A24B7A"/>
    <w:rsid w:val="00A257E1"/>
    <w:rsid w:val="00A314CA"/>
    <w:rsid w:val="00A328F7"/>
    <w:rsid w:val="00A347B5"/>
    <w:rsid w:val="00A3592F"/>
    <w:rsid w:val="00A36FF1"/>
    <w:rsid w:val="00A40CC4"/>
    <w:rsid w:val="00A41395"/>
    <w:rsid w:val="00A41DB5"/>
    <w:rsid w:val="00A454E4"/>
    <w:rsid w:val="00A50F3E"/>
    <w:rsid w:val="00A52EC1"/>
    <w:rsid w:val="00A54801"/>
    <w:rsid w:val="00A55389"/>
    <w:rsid w:val="00A65949"/>
    <w:rsid w:val="00A675C2"/>
    <w:rsid w:val="00A7086F"/>
    <w:rsid w:val="00A739A0"/>
    <w:rsid w:val="00A74210"/>
    <w:rsid w:val="00A7610B"/>
    <w:rsid w:val="00A77104"/>
    <w:rsid w:val="00A80EA7"/>
    <w:rsid w:val="00A835D9"/>
    <w:rsid w:val="00A8478E"/>
    <w:rsid w:val="00A860CC"/>
    <w:rsid w:val="00A86BD6"/>
    <w:rsid w:val="00A91A6A"/>
    <w:rsid w:val="00A9292F"/>
    <w:rsid w:val="00A942CC"/>
    <w:rsid w:val="00A94CDE"/>
    <w:rsid w:val="00A952CA"/>
    <w:rsid w:val="00A956F5"/>
    <w:rsid w:val="00A964D9"/>
    <w:rsid w:val="00AA07E0"/>
    <w:rsid w:val="00AA1B0D"/>
    <w:rsid w:val="00AA28DE"/>
    <w:rsid w:val="00AA4000"/>
    <w:rsid w:val="00AA456B"/>
    <w:rsid w:val="00AB07AB"/>
    <w:rsid w:val="00AB1127"/>
    <w:rsid w:val="00AB2356"/>
    <w:rsid w:val="00AB257B"/>
    <w:rsid w:val="00AB3DB9"/>
    <w:rsid w:val="00AB4150"/>
    <w:rsid w:val="00AB5741"/>
    <w:rsid w:val="00AB64D1"/>
    <w:rsid w:val="00AB69BE"/>
    <w:rsid w:val="00AB6C96"/>
    <w:rsid w:val="00AB7C51"/>
    <w:rsid w:val="00AC2481"/>
    <w:rsid w:val="00AC4956"/>
    <w:rsid w:val="00AC60B6"/>
    <w:rsid w:val="00AC6B53"/>
    <w:rsid w:val="00AC75AE"/>
    <w:rsid w:val="00AC7F0D"/>
    <w:rsid w:val="00AD0E22"/>
    <w:rsid w:val="00AD176D"/>
    <w:rsid w:val="00AD3C72"/>
    <w:rsid w:val="00AD412A"/>
    <w:rsid w:val="00AD4316"/>
    <w:rsid w:val="00AD60EA"/>
    <w:rsid w:val="00AE0014"/>
    <w:rsid w:val="00AE1557"/>
    <w:rsid w:val="00AE1A06"/>
    <w:rsid w:val="00AE72F5"/>
    <w:rsid w:val="00AE740F"/>
    <w:rsid w:val="00AF3487"/>
    <w:rsid w:val="00AF6A3D"/>
    <w:rsid w:val="00AF739D"/>
    <w:rsid w:val="00B02DDF"/>
    <w:rsid w:val="00B0532B"/>
    <w:rsid w:val="00B0743E"/>
    <w:rsid w:val="00B14884"/>
    <w:rsid w:val="00B148DC"/>
    <w:rsid w:val="00B14D62"/>
    <w:rsid w:val="00B16309"/>
    <w:rsid w:val="00B173C6"/>
    <w:rsid w:val="00B176FF"/>
    <w:rsid w:val="00B17AF2"/>
    <w:rsid w:val="00B20D97"/>
    <w:rsid w:val="00B222E8"/>
    <w:rsid w:val="00B22636"/>
    <w:rsid w:val="00B24B72"/>
    <w:rsid w:val="00B24CF4"/>
    <w:rsid w:val="00B25563"/>
    <w:rsid w:val="00B26B41"/>
    <w:rsid w:val="00B26DC7"/>
    <w:rsid w:val="00B27025"/>
    <w:rsid w:val="00B273D2"/>
    <w:rsid w:val="00B2768F"/>
    <w:rsid w:val="00B32813"/>
    <w:rsid w:val="00B338DD"/>
    <w:rsid w:val="00B33F3F"/>
    <w:rsid w:val="00B373D4"/>
    <w:rsid w:val="00B45168"/>
    <w:rsid w:val="00B458B5"/>
    <w:rsid w:val="00B46BF2"/>
    <w:rsid w:val="00B51291"/>
    <w:rsid w:val="00B54252"/>
    <w:rsid w:val="00B54F43"/>
    <w:rsid w:val="00B5587A"/>
    <w:rsid w:val="00B566AD"/>
    <w:rsid w:val="00B56BFC"/>
    <w:rsid w:val="00B6078F"/>
    <w:rsid w:val="00B610FE"/>
    <w:rsid w:val="00B61545"/>
    <w:rsid w:val="00B62FAF"/>
    <w:rsid w:val="00B637A4"/>
    <w:rsid w:val="00B63F1F"/>
    <w:rsid w:val="00B65A63"/>
    <w:rsid w:val="00B6765E"/>
    <w:rsid w:val="00B67A19"/>
    <w:rsid w:val="00B7132D"/>
    <w:rsid w:val="00B738A6"/>
    <w:rsid w:val="00B7701A"/>
    <w:rsid w:val="00B774AE"/>
    <w:rsid w:val="00B80425"/>
    <w:rsid w:val="00B81417"/>
    <w:rsid w:val="00B84886"/>
    <w:rsid w:val="00B84A44"/>
    <w:rsid w:val="00B84DAF"/>
    <w:rsid w:val="00B85079"/>
    <w:rsid w:val="00B850B4"/>
    <w:rsid w:val="00B85B2B"/>
    <w:rsid w:val="00B86325"/>
    <w:rsid w:val="00B8634A"/>
    <w:rsid w:val="00B933BC"/>
    <w:rsid w:val="00B95718"/>
    <w:rsid w:val="00B957E0"/>
    <w:rsid w:val="00B97558"/>
    <w:rsid w:val="00BA1F02"/>
    <w:rsid w:val="00BA2108"/>
    <w:rsid w:val="00BA2EF1"/>
    <w:rsid w:val="00BA3193"/>
    <w:rsid w:val="00BA393D"/>
    <w:rsid w:val="00BA4C3B"/>
    <w:rsid w:val="00BA728E"/>
    <w:rsid w:val="00BB2BA1"/>
    <w:rsid w:val="00BB424D"/>
    <w:rsid w:val="00BB4C17"/>
    <w:rsid w:val="00BB69EF"/>
    <w:rsid w:val="00BB7E36"/>
    <w:rsid w:val="00BC027B"/>
    <w:rsid w:val="00BD124B"/>
    <w:rsid w:val="00BD178B"/>
    <w:rsid w:val="00BD2718"/>
    <w:rsid w:val="00BD34CF"/>
    <w:rsid w:val="00BD4E78"/>
    <w:rsid w:val="00BD5D04"/>
    <w:rsid w:val="00BE0016"/>
    <w:rsid w:val="00BE180E"/>
    <w:rsid w:val="00BE1BB1"/>
    <w:rsid w:val="00BE1C38"/>
    <w:rsid w:val="00BE252D"/>
    <w:rsid w:val="00BE4A55"/>
    <w:rsid w:val="00BE4AC2"/>
    <w:rsid w:val="00BE4FEE"/>
    <w:rsid w:val="00BF0E4A"/>
    <w:rsid w:val="00BF4161"/>
    <w:rsid w:val="00BF4DA7"/>
    <w:rsid w:val="00BF4F8B"/>
    <w:rsid w:val="00BF64E5"/>
    <w:rsid w:val="00C00DEE"/>
    <w:rsid w:val="00C01E9A"/>
    <w:rsid w:val="00C02333"/>
    <w:rsid w:val="00C023F3"/>
    <w:rsid w:val="00C03A74"/>
    <w:rsid w:val="00C04086"/>
    <w:rsid w:val="00C04126"/>
    <w:rsid w:val="00C0696B"/>
    <w:rsid w:val="00C072E5"/>
    <w:rsid w:val="00C07D32"/>
    <w:rsid w:val="00C07F8F"/>
    <w:rsid w:val="00C07FF9"/>
    <w:rsid w:val="00C12837"/>
    <w:rsid w:val="00C2150C"/>
    <w:rsid w:val="00C22E50"/>
    <w:rsid w:val="00C22F7C"/>
    <w:rsid w:val="00C24269"/>
    <w:rsid w:val="00C258E2"/>
    <w:rsid w:val="00C26E80"/>
    <w:rsid w:val="00C309DD"/>
    <w:rsid w:val="00C31030"/>
    <w:rsid w:val="00C340C0"/>
    <w:rsid w:val="00C34CF7"/>
    <w:rsid w:val="00C3574F"/>
    <w:rsid w:val="00C35F46"/>
    <w:rsid w:val="00C4243F"/>
    <w:rsid w:val="00C4259B"/>
    <w:rsid w:val="00C433BD"/>
    <w:rsid w:val="00C4358D"/>
    <w:rsid w:val="00C438DA"/>
    <w:rsid w:val="00C46224"/>
    <w:rsid w:val="00C4690A"/>
    <w:rsid w:val="00C5210E"/>
    <w:rsid w:val="00C52206"/>
    <w:rsid w:val="00C53F9E"/>
    <w:rsid w:val="00C54C09"/>
    <w:rsid w:val="00C550E5"/>
    <w:rsid w:val="00C55DB6"/>
    <w:rsid w:val="00C60E4D"/>
    <w:rsid w:val="00C61B4C"/>
    <w:rsid w:val="00C65406"/>
    <w:rsid w:val="00C65E95"/>
    <w:rsid w:val="00C6635B"/>
    <w:rsid w:val="00C67308"/>
    <w:rsid w:val="00C7056A"/>
    <w:rsid w:val="00C7099C"/>
    <w:rsid w:val="00C71964"/>
    <w:rsid w:val="00C74581"/>
    <w:rsid w:val="00C750AC"/>
    <w:rsid w:val="00C76271"/>
    <w:rsid w:val="00C801E3"/>
    <w:rsid w:val="00C839E3"/>
    <w:rsid w:val="00C86DF5"/>
    <w:rsid w:val="00C87B23"/>
    <w:rsid w:val="00C87F26"/>
    <w:rsid w:val="00C90189"/>
    <w:rsid w:val="00C93092"/>
    <w:rsid w:val="00C95CD7"/>
    <w:rsid w:val="00C96AF8"/>
    <w:rsid w:val="00C97B99"/>
    <w:rsid w:val="00CA0243"/>
    <w:rsid w:val="00CA4214"/>
    <w:rsid w:val="00CA771D"/>
    <w:rsid w:val="00CB1D07"/>
    <w:rsid w:val="00CB44AE"/>
    <w:rsid w:val="00CB5B84"/>
    <w:rsid w:val="00CB6FBA"/>
    <w:rsid w:val="00CB71FB"/>
    <w:rsid w:val="00CC4E34"/>
    <w:rsid w:val="00CC574F"/>
    <w:rsid w:val="00CD0007"/>
    <w:rsid w:val="00CD0174"/>
    <w:rsid w:val="00CD0912"/>
    <w:rsid w:val="00CD226F"/>
    <w:rsid w:val="00CD3748"/>
    <w:rsid w:val="00CD5933"/>
    <w:rsid w:val="00CD5A50"/>
    <w:rsid w:val="00CD717D"/>
    <w:rsid w:val="00CE1FFC"/>
    <w:rsid w:val="00CE34D4"/>
    <w:rsid w:val="00CF07C5"/>
    <w:rsid w:val="00CF23CB"/>
    <w:rsid w:val="00CF5E16"/>
    <w:rsid w:val="00CF6335"/>
    <w:rsid w:val="00CF74A1"/>
    <w:rsid w:val="00D000C0"/>
    <w:rsid w:val="00D010E4"/>
    <w:rsid w:val="00D01E5C"/>
    <w:rsid w:val="00D02B8B"/>
    <w:rsid w:val="00D03E94"/>
    <w:rsid w:val="00D046AD"/>
    <w:rsid w:val="00D04F03"/>
    <w:rsid w:val="00D05B50"/>
    <w:rsid w:val="00D07AC4"/>
    <w:rsid w:val="00D107DC"/>
    <w:rsid w:val="00D122FB"/>
    <w:rsid w:val="00D14C09"/>
    <w:rsid w:val="00D15EB6"/>
    <w:rsid w:val="00D1630E"/>
    <w:rsid w:val="00D17FF5"/>
    <w:rsid w:val="00D214D9"/>
    <w:rsid w:val="00D220E1"/>
    <w:rsid w:val="00D22EC6"/>
    <w:rsid w:val="00D2571B"/>
    <w:rsid w:val="00D25DA3"/>
    <w:rsid w:val="00D264B7"/>
    <w:rsid w:val="00D26AC6"/>
    <w:rsid w:val="00D32075"/>
    <w:rsid w:val="00D33E8D"/>
    <w:rsid w:val="00D37196"/>
    <w:rsid w:val="00D37AB7"/>
    <w:rsid w:val="00D43897"/>
    <w:rsid w:val="00D43BCE"/>
    <w:rsid w:val="00D52087"/>
    <w:rsid w:val="00D54F03"/>
    <w:rsid w:val="00D60675"/>
    <w:rsid w:val="00D60ABE"/>
    <w:rsid w:val="00D63914"/>
    <w:rsid w:val="00D65BEA"/>
    <w:rsid w:val="00D65E68"/>
    <w:rsid w:val="00D70733"/>
    <w:rsid w:val="00D71637"/>
    <w:rsid w:val="00D71D48"/>
    <w:rsid w:val="00D72B6B"/>
    <w:rsid w:val="00D734C9"/>
    <w:rsid w:val="00D74630"/>
    <w:rsid w:val="00D751EA"/>
    <w:rsid w:val="00D762E2"/>
    <w:rsid w:val="00D76768"/>
    <w:rsid w:val="00D76B48"/>
    <w:rsid w:val="00D77673"/>
    <w:rsid w:val="00D77701"/>
    <w:rsid w:val="00D834BF"/>
    <w:rsid w:val="00D83871"/>
    <w:rsid w:val="00D841E6"/>
    <w:rsid w:val="00D85045"/>
    <w:rsid w:val="00D91221"/>
    <w:rsid w:val="00D93C89"/>
    <w:rsid w:val="00D94765"/>
    <w:rsid w:val="00D94F37"/>
    <w:rsid w:val="00D963C8"/>
    <w:rsid w:val="00DA2C6E"/>
    <w:rsid w:val="00DA3C85"/>
    <w:rsid w:val="00DA3E11"/>
    <w:rsid w:val="00DA50B7"/>
    <w:rsid w:val="00DB17D9"/>
    <w:rsid w:val="00DC1543"/>
    <w:rsid w:val="00DC570C"/>
    <w:rsid w:val="00DD0AC4"/>
    <w:rsid w:val="00DD2EC8"/>
    <w:rsid w:val="00DD5704"/>
    <w:rsid w:val="00DE132A"/>
    <w:rsid w:val="00DE180B"/>
    <w:rsid w:val="00DE2174"/>
    <w:rsid w:val="00DE5F42"/>
    <w:rsid w:val="00DE61FD"/>
    <w:rsid w:val="00DF010D"/>
    <w:rsid w:val="00DF52ED"/>
    <w:rsid w:val="00E00D09"/>
    <w:rsid w:val="00E020F9"/>
    <w:rsid w:val="00E03282"/>
    <w:rsid w:val="00E04776"/>
    <w:rsid w:val="00E06F06"/>
    <w:rsid w:val="00E10786"/>
    <w:rsid w:val="00E10E70"/>
    <w:rsid w:val="00E110ED"/>
    <w:rsid w:val="00E12958"/>
    <w:rsid w:val="00E1316B"/>
    <w:rsid w:val="00E13C78"/>
    <w:rsid w:val="00E206F2"/>
    <w:rsid w:val="00E213DF"/>
    <w:rsid w:val="00E226BF"/>
    <w:rsid w:val="00E2367F"/>
    <w:rsid w:val="00E26834"/>
    <w:rsid w:val="00E301CA"/>
    <w:rsid w:val="00E35A5B"/>
    <w:rsid w:val="00E37A1D"/>
    <w:rsid w:val="00E41233"/>
    <w:rsid w:val="00E42345"/>
    <w:rsid w:val="00E43EDA"/>
    <w:rsid w:val="00E43F28"/>
    <w:rsid w:val="00E44AC9"/>
    <w:rsid w:val="00E455D8"/>
    <w:rsid w:val="00E466C1"/>
    <w:rsid w:val="00E479C6"/>
    <w:rsid w:val="00E52F4B"/>
    <w:rsid w:val="00E53619"/>
    <w:rsid w:val="00E55269"/>
    <w:rsid w:val="00E578C6"/>
    <w:rsid w:val="00E57F3E"/>
    <w:rsid w:val="00E63499"/>
    <w:rsid w:val="00E649B6"/>
    <w:rsid w:val="00E67C4E"/>
    <w:rsid w:val="00E67F3C"/>
    <w:rsid w:val="00E7248C"/>
    <w:rsid w:val="00E72B7F"/>
    <w:rsid w:val="00E733E0"/>
    <w:rsid w:val="00E743DA"/>
    <w:rsid w:val="00E74E33"/>
    <w:rsid w:val="00E76D88"/>
    <w:rsid w:val="00E7767A"/>
    <w:rsid w:val="00E77A8E"/>
    <w:rsid w:val="00E835CD"/>
    <w:rsid w:val="00E8494C"/>
    <w:rsid w:val="00E87884"/>
    <w:rsid w:val="00E90DB4"/>
    <w:rsid w:val="00E93A19"/>
    <w:rsid w:val="00E94042"/>
    <w:rsid w:val="00E95511"/>
    <w:rsid w:val="00EA1022"/>
    <w:rsid w:val="00EA1346"/>
    <w:rsid w:val="00EA1412"/>
    <w:rsid w:val="00EA1FC1"/>
    <w:rsid w:val="00EA30B5"/>
    <w:rsid w:val="00EA44CF"/>
    <w:rsid w:val="00EA6D34"/>
    <w:rsid w:val="00EB0AD1"/>
    <w:rsid w:val="00EB0DB3"/>
    <w:rsid w:val="00EB11DA"/>
    <w:rsid w:val="00EB1ADC"/>
    <w:rsid w:val="00EB21BC"/>
    <w:rsid w:val="00EB2D4E"/>
    <w:rsid w:val="00EB3922"/>
    <w:rsid w:val="00EB6041"/>
    <w:rsid w:val="00EB6086"/>
    <w:rsid w:val="00EB654A"/>
    <w:rsid w:val="00EB74B1"/>
    <w:rsid w:val="00EC0DB3"/>
    <w:rsid w:val="00EC11F9"/>
    <w:rsid w:val="00EC34CE"/>
    <w:rsid w:val="00EC43B8"/>
    <w:rsid w:val="00EC463F"/>
    <w:rsid w:val="00EC6835"/>
    <w:rsid w:val="00ED0090"/>
    <w:rsid w:val="00ED0FC2"/>
    <w:rsid w:val="00ED10C6"/>
    <w:rsid w:val="00ED222F"/>
    <w:rsid w:val="00ED3B38"/>
    <w:rsid w:val="00ED64BA"/>
    <w:rsid w:val="00ED68E2"/>
    <w:rsid w:val="00EE05E7"/>
    <w:rsid w:val="00EE3B3C"/>
    <w:rsid w:val="00EE6304"/>
    <w:rsid w:val="00EE6CC1"/>
    <w:rsid w:val="00EF1409"/>
    <w:rsid w:val="00EF16B2"/>
    <w:rsid w:val="00EF1AE4"/>
    <w:rsid w:val="00EF45FD"/>
    <w:rsid w:val="00EF5B25"/>
    <w:rsid w:val="00EF6411"/>
    <w:rsid w:val="00EF7CAE"/>
    <w:rsid w:val="00F0172F"/>
    <w:rsid w:val="00F017F5"/>
    <w:rsid w:val="00F0257F"/>
    <w:rsid w:val="00F0266B"/>
    <w:rsid w:val="00F04094"/>
    <w:rsid w:val="00F06202"/>
    <w:rsid w:val="00F062AC"/>
    <w:rsid w:val="00F12595"/>
    <w:rsid w:val="00F1726B"/>
    <w:rsid w:val="00F258E8"/>
    <w:rsid w:val="00F30B20"/>
    <w:rsid w:val="00F31AA4"/>
    <w:rsid w:val="00F33069"/>
    <w:rsid w:val="00F362C2"/>
    <w:rsid w:val="00F4252A"/>
    <w:rsid w:val="00F438F1"/>
    <w:rsid w:val="00F44C0F"/>
    <w:rsid w:val="00F44FD0"/>
    <w:rsid w:val="00F450E6"/>
    <w:rsid w:val="00F47B5B"/>
    <w:rsid w:val="00F5016E"/>
    <w:rsid w:val="00F52511"/>
    <w:rsid w:val="00F54E17"/>
    <w:rsid w:val="00F57270"/>
    <w:rsid w:val="00F64C55"/>
    <w:rsid w:val="00F650D3"/>
    <w:rsid w:val="00F7085F"/>
    <w:rsid w:val="00F715B3"/>
    <w:rsid w:val="00F71EBB"/>
    <w:rsid w:val="00F74D27"/>
    <w:rsid w:val="00F75E11"/>
    <w:rsid w:val="00F763D5"/>
    <w:rsid w:val="00F77B9C"/>
    <w:rsid w:val="00F8030C"/>
    <w:rsid w:val="00F82B6A"/>
    <w:rsid w:val="00F84B09"/>
    <w:rsid w:val="00F86263"/>
    <w:rsid w:val="00F8640C"/>
    <w:rsid w:val="00F865ED"/>
    <w:rsid w:val="00F943E3"/>
    <w:rsid w:val="00F95093"/>
    <w:rsid w:val="00F962AE"/>
    <w:rsid w:val="00FA13B3"/>
    <w:rsid w:val="00FA182E"/>
    <w:rsid w:val="00FA19DD"/>
    <w:rsid w:val="00FA2B10"/>
    <w:rsid w:val="00FA59BB"/>
    <w:rsid w:val="00FA68AE"/>
    <w:rsid w:val="00FB0D3D"/>
    <w:rsid w:val="00FB121C"/>
    <w:rsid w:val="00FB1276"/>
    <w:rsid w:val="00FB2341"/>
    <w:rsid w:val="00FB7B7E"/>
    <w:rsid w:val="00FC04FB"/>
    <w:rsid w:val="00FC0E94"/>
    <w:rsid w:val="00FC1745"/>
    <w:rsid w:val="00FC2F8A"/>
    <w:rsid w:val="00FC522B"/>
    <w:rsid w:val="00FC5CE3"/>
    <w:rsid w:val="00FC6CC2"/>
    <w:rsid w:val="00FD0F3D"/>
    <w:rsid w:val="00FD242F"/>
    <w:rsid w:val="00FD6B43"/>
    <w:rsid w:val="00FE0149"/>
    <w:rsid w:val="00FE1292"/>
    <w:rsid w:val="00FE1CCF"/>
    <w:rsid w:val="00FE3547"/>
    <w:rsid w:val="00FE7EFE"/>
    <w:rsid w:val="00FF1969"/>
    <w:rsid w:val="00FF21BB"/>
    <w:rsid w:val="00FF433B"/>
    <w:rsid w:val="00FF4994"/>
    <w:rsid w:val="00FF77ED"/>
    <w:rsid w:val="00FF7F9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D0D1766"/>
  <w15:docId w15:val="{2FC1B0EE-3EBC-47B4-92BD-67975715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F44"/>
    <w:pPr>
      <w:spacing w:after="0"/>
    </w:pPr>
    <w:rPr>
      <w:rFonts w:ascii="Calibri" w:hAnsi="Calibri" w:cs="Times New Roman"/>
      <w:sz w:val="22"/>
    </w:rPr>
  </w:style>
  <w:style w:type="paragraph" w:styleId="Heading1">
    <w:name w:val="heading 1"/>
    <w:basedOn w:val="Normal"/>
    <w:next w:val="Normal"/>
    <w:link w:val="Heading1Char"/>
    <w:uiPriority w:val="9"/>
    <w:qFormat/>
    <w:rsid w:val="004D5AB6"/>
    <w:pPr>
      <w:keepNext/>
      <w:pageBreakBefore/>
      <w:numPr>
        <w:numId w:val="140"/>
      </w:numPr>
      <w:spacing w:after="240"/>
      <w:outlineLvl w:val="0"/>
    </w:pPr>
    <w:rPr>
      <w:rFonts w:eastAsia="Times New Roman"/>
      <w:b/>
      <w:sz w:val="28"/>
      <w:szCs w:val="20"/>
    </w:rPr>
  </w:style>
  <w:style w:type="paragraph" w:styleId="Heading2">
    <w:name w:val="heading 2"/>
    <w:basedOn w:val="Normal"/>
    <w:next w:val="Normal"/>
    <w:link w:val="Heading2Char"/>
    <w:qFormat/>
    <w:rsid w:val="008A6056"/>
    <w:pPr>
      <w:keepNext/>
      <w:numPr>
        <w:ilvl w:val="1"/>
        <w:numId w:val="140"/>
      </w:numPr>
      <w:spacing w:before="360" w:after="240"/>
      <w:outlineLvl w:val="1"/>
    </w:pPr>
    <w:rPr>
      <w:rFonts w:eastAsia="Times New Roman"/>
      <w:b/>
      <w:sz w:val="24"/>
      <w:szCs w:val="20"/>
    </w:rPr>
  </w:style>
  <w:style w:type="paragraph" w:styleId="Heading3">
    <w:name w:val="heading 3"/>
    <w:basedOn w:val="Normal"/>
    <w:next w:val="Normal"/>
    <w:link w:val="Heading3Char"/>
    <w:qFormat/>
    <w:rsid w:val="00746F5E"/>
    <w:pPr>
      <w:keepNext/>
      <w:numPr>
        <w:ilvl w:val="2"/>
        <w:numId w:val="140"/>
      </w:numPr>
      <w:spacing w:before="360" w:after="120"/>
      <w:ind w:left="0"/>
      <w:jc w:val="both"/>
      <w:outlineLvl w:val="2"/>
    </w:pPr>
    <w:rPr>
      <w:rFonts w:eastAsia="Times New Roman"/>
      <w:b/>
      <w:szCs w:val="20"/>
    </w:rPr>
  </w:style>
  <w:style w:type="paragraph" w:styleId="Heading4">
    <w:name w:val="heading 4"/>
    <w:basedOn w:val="Normal"/>
    <w:next w:val="Normal"/>
    <w:link w:val="Heading4Char"/>
    <w:uiPriority w:val="9"/>
    <w:unhideWhenUsed/>
    <w:qFormat/>
    <w:rsid w:val="005E6C4D"/>
    <w:pPr>
      <w:keepNext/>
      <w:keepLines/>
      <w:numPr>
        <w:ilvl w:val="3"/>
        <w:numId w:val="14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330D6"/>
    <w:pPr>
      <w:spacing w:before="240" w:after="60"/>
      <w:outlineLvl w:val="4"/>
    </w:pPr>
    <w:rPr>
      <w:b/>
      <w:i/>
      <w:sz w:val="26"/>
      <w:szCs w:val="26"/>
    </w:rPr>
  </w:style>
  <w:style w:type="paragraph" w:styleId="Heading6">
    <w:name w:val="heading 6"/>
    <w:basedOn w:val="Normal"/>
    <w:next w:val="Normal"/>
    <w:link w:val="Heading6Char"/>
    <w:uiPriority w:val="9"/>
    <w:unhideWhenUsed/>
    <w:qFormat/>
    <w:rsid w:val="004C7CA8"/>
    <w:pPr>
      <w:keepNext/>
      <w:keepLines/>
      <w:numPr>
        <w:ilvl w:val="5"/>
        <w:numId w:val="140"/>
      </w:numPr>
      <w:spacing w:before="480" w:after="240"/>
      <w:jc w:val="center"/>
      <w:outlineLvl w:val="5"/>
    </w:pPr>
    <w:rPr>
      <w:rFonts w:asciiTheme="majorHAnsi" w:eastAsiaTheme="majorEastAsia" w:hAnsiTheme="majorHAnsi" w:cstheme="majorBidi"/>
      <w:b/>
      <w:sz w:val="28"/>
      <w:szCs w:val="28"/>
    </w:rPr>
  </w:style>
  <w:style w:type="paragraph" w:styleId="Heading7">
    <w:name w:val="heading 7"/>
    <w:basedOn w:val="Normal"/>
    <w:next w:val="Normal"/>
    <w:link w:val="Heading7Char"/>
    <w:uiPriority w:val="9"/>
    <w:unhideWhenUsed/>
    <w:qFormat/>
    <w:rsid w:val="004C7CA8"/>
    <w:pPr>
      <w:keepNext/>
      <w:keepLines/>
      <w:numPr>
        <w:ilvl w:val="6"/>
        <w:numId w:val="140"/>
      </w:numPr>
      <w:spacing w:after="240"/>
      <w:ind w:left="0"/>
      <w:outlineLvl w:val="6"/>
    </w:pPr>
    <w:rPr>
      <w:rFonts w:asciiTheme="majorHAnsi" w:eastAsiaTheme="majorEastAsia" w:hAnsiTheme="majorHAnsi" w:cstheme="majorBidi"/>
      <w:b/>
      <w:iCs/>
      <w:sz w:val="24"/>
    </w:rPr>
  </w:style>
  <w:style w:type="paragraph" w:styleId="Heading8">
    <w:name w:val="heading 8"/>
    <w:basedOn w:val="Normal"/>
    <w:next w:val="Normal"/>
    <w:link w:val="Heading8Char"/>
    <w:uiPriority w:val="9"/>
    <w:unhideWhenUsed/>
    <w:qFormat/>
    <w:rsid w:val="009D2131"/>
    <w:pPr>
      <w:keepNext/>
      <w:keepLines/>
      <w:numPr>
        <w:ilvl w:val="7"/>
        <w:numId w:val="140"/>
      </w:numPr>
      <w:spacing w:after="120"/>
      <w:outlineLvl w:val="7"/>
    </w:pPr>
    <w:rPr>
      <w:rFonts w:eastAsiaTheme="majorEastAsia" w:cstheme="majorBidi"/>
      <w:b/>
      <w:bCs/>
      <w:iCs/>
      <w:color w:val="272727" w:themeColor="text1" w:themeTint="D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8B12DE"/>
    <w:pPr>
      <w:numPr>
        <w:numId w:val="1"/>
      </w:numPr>
    </w:pPr>
  </w:style>
  <w:style w:type="paragraph" w:styleId="BalloonText">
    <w:name w:val="Balloon Text"/>
    <w:basedOn w:val="Normal"/>
    <w:link w:val="BalloonTextChar"/>
    <w:semiHidden/>
    <w:rsid w:val="006A6C28"/>
    <w:rPr>
      <w:rFonts w:ascii="Lucida Grande" w:hAnsi="Lucida Grande"/>
      <w:sz w:val="18"/>
      <w:szCs w:val="18"/>
    </w:rPr>
  </w:style>
  <w:style w:type="paragraph" w:styleId="Header">
    <w:name w:val="header"/>
    <w:basedOn w:val="Normal"/>
    <w:link w:val="HeaderChar"/>
    <w:uiPriority w:val="99"/>
    <w:unhideWhenUsed/>
    <w:rsid w:val="008F288D"/>
    <w:pPr>
      <w:tabs>
        <w:tab w:val="center" w:pos="4680"/>
        <w:tab w:val="right" w:pos="9360"/>
      </w:tabs>
    </w:pPr>
  </w:style>
  <w:style w:type="character" w:customStyle="1" w:styleId="Heading3Char">
    <w:name w:val="Heading 3 Char"/>
    <w:basedOn w:val="DefaultParagraphFont"/>
    <w:link w:val="Heading3"/>
    <w:rsid w:val="00746F5E"/>
    <w:rPr>
      <w:rFonts w:ascii="Calibri" w:eastAsia="Times New Roman" w:hAnsi="Calibri" w:cs="Times New Roman"/>
      <w:b/>
      <w:sz w:val="22"/>
      <w:szCs w:val="20"/>
    </w:rPr>
  </w:style>
  <w:style w:type="character" w:customStyle="1" w:styleId="HeaderChar">
    <w:name w:val="Header Char"/>
    <w:basedOn w:val="DefaultParagraphFont"/>
    <w:link w:val="Header"/>
    <w:uiPriority w:val="99"/>
    <w:rsid w:val="008F288D"/>
    <w:rPr>
      <w:rFonts w:ascii="Calibri" w:hAnsi="Calibri" w:cs="Times New Roman"/>
      <w:sz w:val="22"/>
    </w:rPr>
  </w:style>
  <w:style w:type="character" w:customStyle="1" w:styleId="Heading1Char">
    <w:name w:val="Heading 1 Char"/>
    <w:basedOn w:val="DefaultParagraphFont"/>
    <w:link w:val="Heading1"/>
    <w:uiPriority w:val="9"/>
    <w:rsid w:val="004D5AB6"/>
    <w:rPr>
      <w:rFonts w:ascii="Calibri" w:eastAsia="Times New Roman" w:hAnsi="Calibri" w:cs="Times New Roman"/>
      <w:b/>
      <w:sz w:val="28"/>
      <w:szCs w:val="20"/>
    </w:rPr>
  </w:style>
  <w:style w:type="paragraph" w:styleId="FootnoteText">
    <w:name w:val="footnote text"/>
    <w:basedOn w:val="Normal"/>
    <w:link w:val="FootnoteTextChar"/>
    <w:autoRedefine/>
    <w:uiPriority w:val="99"/>
    <w:unhideWhenUsed/>
    <w:qFormat/>
    <w:rsid w:val="00661DCE"/>
    <w:pPr>
      <w:widowControl w:val="0"/>
    </w:pPr>
    <w:rPr>
      <w:rFonts w:asciiTheme="majorHAnsi" w:eastAsiaTheme="minorHAnsi" w:hAnsiTheme="majorHAnsi" w:cstheme="majorHAnsi"/>
      <w:sz w:val="20"/>
      <w:szCs w:val="20"/>
    </w:rPr>
  </w:style>
  <w:style w:type="character" w:customStyle="1" w:styleId="FootnoteTextChar">
    <w:name w:val="Footnote Text Char"/>
    <w:basedOn w:val="DefaultParagraphFont"/>
    <w:link w:val="FootnoteText"/>
    <w:uiPriority w:val="99"/>
    <w:rsid w:val="00661DCE"/>
    <w:rPr>
      <w:rFonts w:asciiTheme="majorHAnsi" w:eastAsiaTheme="minorHAnsi" w:hAnsiTheme="majorHAnsi" w:cstheme="majorHAnsi"/>
      <w:sz w:val="20"/>
      <w:szCs w:val="20"/>
    </w:rPr>
  </w:style>
  <w:style w:type="character" w:customStyle="1" w:styleId="Heading4Char">
    <w:name w:val="Heading 4 Char"/>
    <w:basedOn w:val="DefaultParagraphFont"/>
    <w:link w:val="Heading4"/>
    <w:uiPriority w:val="9"/>
    <w:rsid w:val="005E6C4D"/>
    <w:rPr>
      <w:rFonts w:asciiTheme="majorHAnsi" w:eastAsiaTheme="majorEastAsia" w:hAnsiTheme="majorHAnsi" w:cstheme="majorBidi"/>
      <w:b/>
      <w:bCs/>
      <w:i/>
      <w:iCs/>
      <w:color w:val="4F81BD" w:themeColor="accent1"/>
      <w:sz w:val="22"/>
    </w:rPr>
  </w:style>
  <w:style w:type="paragraph" w:styleId="ListParagraph">
    <w:name w:val="List Paragraph"/>
    <w:aliases w:val="Bullets,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F82B6A"/>
    <w:pPr>
      <w:numPr>
        <w:numId w:val="66"/>
      </w:numPr>
      <w:contextualSpacing/>
    </w:pPr>
  </w:style>
  <w:style w:type="character" w:customStyle="1" w:styleId="ListParagraphChar">
    <w:name w:val="List Paragraph Char"/>
    <w:aliases w:val="Bullets Char,Issue Action POC Char,List Paragraph1 Char,3 Char,POCG Table Text Char,Dot pt Char,F5 List Paragraph Char,List Paragraph Char Char Char Char,Indicator Text Char,Colorful List - Accent 11 Char,Numbered Para 1 Char"/>
    <w:link w:val="ListParagraph"/>
    <w:uiPriority w:val="34"/>
    <w:rsid w:val="00F82B6A"/>
    <w:rPr>
      <w:rFonts w:ascii="Calibri" w:hAnsi="Calibri" w:cs="Times New Roman"/>
      <w:sz w:val="22"/>
    </w:rPr>
  </w:style>
  <w:style w:type="character" w:styleId="CommentReference">
    <w:name w:val="annotation reference"/>
    <w:basedOn w:val="DefaultParagraphFont"/>
    <w:uiPriority w:val="99"/>
    <w:unhideWhenUsed/>
    <w:rsid w:val="00F82B6A"/>
    <w:rPr>
      <w:sz w:val="16"/>
      <w:szCs w:val="16"/>
    </w:rPr>
  </w:style>
  <w:style w:type="paragraph" w:styleId="CommentText">
    <w:name w:val="annotation text"/>
    <w:basedOn w:val="Normal"/>
    <w:link w:val="CommentTextChar"/>
    <w:uiPriority w:val="99"/>
    <w:unhideWhenUsed/>
    <w:rsid w:val="00F82B6A"/>
    <w:pPr>
      <w:spacing w:after="200"/>
    </w:pPr>
    <w:rPr>
      <w:rFonts w:ascii="Times New Roman" w:hAnsi="Times New Roman" w:cstheme="minorBidi"/>
      <w:sz w:val="20"/>
      <w:szCs w:val="20"/>
    </w:rPr>
  </w:style>
  <w:style w:type="character" w:customStyle="1" w:styleId="CommentTextChar">
    <w:name w:val="Comment Text Char"/>
    <w:basedOn w:val="DefaultParagraphFont"/>
    <w:link w:val="CommentText"/>
    <w:uiPriority w:val="99"/>
    <w:rsid w:val="00F82B6A"/>
    <w:rPr>
      <w:sz w:val="20"/>
      <w:szCs w:val="20"/>
    </w:rPr>
  </w:style>
  <w:style w:type="character" w:styleId="FootnoteReference">
    <w:name w:val="footnote reference"/>
    <w:basedOn w:val="DefaultParagraphFont"/>
    <w:uiPriority w:val="99"/>
    <w:unhideWhenUsed/>
    <w:rsid w:val="00B85079"/>
    <w:rPr>
      <w:vertAlign w:val="superscript"/>
    </w:rPr>
  </w:style>
  <w:style w:type="character" w:styleId="Hyperlink">
    <w:name w:val="Hyperlink"/>
    <w:basedOn w:val="DefaultParagraphFont"/>
    <w:uiPriority w:val="99"/>
    <w:unhideWhenUsed/>
    <w:rsid w:val="00F82B6A"/>
    <w:rPr>
      <w:color w:val="0000FF" w:themeColor="hyperlink"/>
      <w:u w:val="single"/>
    </w:rPr>
  </w:style>
  <w:style w:type="character" w:styleId="EndnoteReference">
    <w:name w:val="endnote reference"/>
    <w:basedOn w:val="DefaultParagraphFont"/>
    <w:uiPriority w:val="99"/>
    <w:unhideWhenUsed/>
    <w:rsid w:val="00F82B6A"/>
    <w:rPr>
      <w:vertAlign w:val="superscript"/>
    </w:rPr>
  </w:style>
  <w:style w:type="character" w:customStyle="1" w:styleId="Heading2Char">
    <w:name w:val="Heading 2 Char"/>
    <w:basedOn w:val="DefaultParagraphFont"/>
    <w:link w:val="Heading2"/>
    <w:rsid w:val="008A6056"/>
    <w:rPr>
      <w:rFonts w:ascii="Calibri" w:eastAsia="Times New Roman" w:hAnsi="Calibri" w:cs="Times New Roman"/>
      <w:b/>
      <w:szCs w:val="20"/>
    </w:rPr>
  </w:style>
  <w:style w:type="paragraph" w:styleId="Footer">
    <w:name w:val="footer"/>
    <w:basedOn w:val="Normal"/>
    <w:link w:val="FooterChar"/>
    <w:uiPriority w:val="99"/>
    <w:unhideWhenUsed/>
    <w:rsid w:val="00C90189"/>
    <w:pPr>
      <w:tabs>
        <w:tab w:val="center" w:pos="4320"/>
        <w:tab w:val="right" w:pos="8640"/>
      </w:tabs>
    </w:pPr>
  </w:style>
  <w:style w:type="character" w:customStyle="1" w:styleId="FooterChar">
    <w:name w:val="Footer Char"/>
    <w:basedOn w:val="DefaultParagraphFont"/>
    <w:link w:val="Footer"/>
    <w:uiPriority w:val="99"/>
    <w:rsid w:val="00C90189"/>
    <w:rPr>
      <w:rFonts w:asciiTheme="minorHAnsi" w:hAnsiTheme="minorHAnsi" w:cs="Times New Roman"/>
      <w:sz w:val="22"/>
    </w:rPr>
  </w:style>
  <w:style w:type="paragraph" w:styleId="BodyText">
    <w:name w:val="Body Text"/>
    <w:basedOn w:val="Normal"/>
    <w:link w:val="BodyTextChar"/>
    <w:uiPriority w:val="99"/>
    <w:unhideWhenUsed/>
    <w:qFormat/>
    <w:rsid w:val="005F4679"/>
    <w:pPr>
      <w:widowControl w:val="0"/>
      <w:autoSpaceDE w:val="0"/>
      <w:autoSpaceDN w:val="0"/>
      <w:adjustRightInd w:val="0"/>
      <w:spacing w:after="240"/>
    </w:pPr>
  </w:style>
  <w:style w:type="character" w:customStyle="1" w:styleId="BodyTextChar">
    <w:name w:val="Body Text Char"/>
    <w:basedOn w:val="DefaultParagraphFont"/>
    <w:link w:val="BodyText"/>
    <w:uiPriority w:val="99"/>
    <w:rsid w:val="005F4679"/>
    <w:rPr>
      <w:rFonts w:ascii="Calibri" w:hAnsi="Calibri" w:cs="Times New Roman"/>
      <w:sz w:val="22"/>
    </w:rPr>
  </w:style>
  <w:style w:type="paragraph" w:styleId="CommentSubject">
    <w:name w:val="annotation subject"/>
    <w:basedOn w:val="CommentText"/>
    <w:next w:val="CommentText"/>
    <w:link w:val="CommentSubjectChar"/>
    <w:uiPriority w:val="99"/>
    <w:semiHidden/>
    <w:unhideWhenUsed/>
    <w:rsid w:val="000F70E0"/>
    <w:pPr>
      <w:spacing w:after="0"/>
    </w:pPr>
    <w:rPr>
      <w:rFonts w:asciiTheme="minorHAnsi" w:hAnsiTheme="minorHAnsi" w:cs="Times New Roman"/>
      <w:b/>
      <w:bCs/>
    </w:rPr>
  </w:style>
  <w:style w:type="character" w:customStyle="1" w:styleId="CommentSubjectChar">
    <w:name w:val="Comment Subject Char"/>
    <w:basedOn w:val="CommentTextChar"/>
    <w:link w:val="CommentSubject"/>
    <w:uiPriority w:val="99"/>
    <w:semiHidden/>
    <w:rsid w:val="000F70E0"/>
    <w:rPr>
      <w:rFonts w:asciiTheme="minorHAnsi" w:hAnsiTheme="minorHAnsi" w:cs="Times New Roman"/>
      <w:b/>
      <w:bCs/>
      <w:sz w:val="20"/>
      <w:szCs w:val="20"/>
    </w:rPr>
  </w:style>
  <w:style w:type="table" w:styleId="ColorfulGrid-Accent4">
    <w:name w:val="Colorful Grid Accent 4"/>
    <w:basedOn w:val="TableNormal"/>
    <w:uiPriority w:val="73"/>
    <w:rsid w:val="00687E79"/>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FollowedHyperlink">
    <w:name w:val="FollowedHyperlink"/>
    <w:basedOn w:val="DefaultParagraphFont"/>
    <w:uiPriority w:val="99"/>
    <w:semiHidden/>
    <w:unhideWhenUsed/>
    <w:rsid w:val="00C67308"/>
    <w:rPr>
      <w:color w:val="800080" w:themeColor="followedHyperlink"/>
      <w:u w:val="single"/>
    </w:rPr>
  </w:style>
  <w:style w:type="paragraph" w:customStyle="1" w:styleId="BodyTextBold">
    <w:name w:val="Body Text Bold"/>
    <w:basedOn w:val="Normal"/>
    <w:link w:val="BodyTextBoldChar"/>
    <w:qFormat/>
    <w:rsid w:val="005F4679"/>
    <w:pPr>
      <w:keepNext/>
      <w:autoSpaceDE w:val="0"/>
      <w:autoSpaceDN w:val="0"/>
      <w:adjustRightInd w:val="0"/>
    </w:pPr>
    <w:rPr>
      <w:rFonts w:cstheme="majorHAnsi"/>
      <w:b/>
      <w:szCs w:val="22"/>
    </w:rPr>
  </w:style>
  <w:style w:type="character" w:customStyle="1" w:styleId="BodyTextBoldChar">
    <w:name w:val="Body Text Bold Char"/>
    <w:basedOn w:val="DefaultParagraphFont"/>
    <w:link w:val="BodyTextBold"/>
    <w:rsid w:val="005F4679"/>
    <w:rPr>
      <w:rFonts w:asciiTheme="minorHAnsi" w:hAnsiTheme="minorHAnsi" w:cstheme="majorHAnsi"/>
      <w:b/>
      <w:sz w:val="22"/>
      <w:szCs w:val="22"/>
    </w:rPr>
  </w:style>
  <w:style w:type="paragraph" w:customStyle="1" w:styleId="BulletLevel1">
    <w:name w:val="Bullet Level 1"/>
    <w:basedOn w:val="ListParagraph"/>
    <w:link w:val="BulletLevel1Char"/>
    <w:qFormat/>
    <w:rsid w:val="005F4679"/>
    <w:pPr>
      <w:numPr>
        <w:numId w:val="67"/>
      </w:numPr>
      <w:spacing w:after="120"/>
      <w:contextualSpacing w:val="0"/>
    </w:pPr>
  </w:style>
  <w:style w:type="character" w:customStyle="1" w:styleId="BulletLevel1Char">
    <w:name w:val="Bullet Level 1 Char"/>
    <w:basedOn w:val="ListParagraphChar"/>
    <w:link w:val="BulletLevel1"/>
    <w:rsid w:val="005F4679"/>
    <w:rPr>
      <w:rFonts w:asciiTheme="minorHAnsi" w:hAnsiTheme="minorHAnsi" w:cs="Times New Roman"/>
      <w:sz w:val="22"/>
    </w:rPr>
  </w:style>
  <w:style w:type="paragraph" w:customStyle="1" w:styleId="BulletLevel2">
    <w:name w:val="Bullet Level 2"/>
    <w:basedOn w:val="ListParagraph"/>
    <w:link w:val="BulletLevel2Char"/>
    <w:qFormat/>
    <w:rsid w:val="00746F5E"/>
    <w:pPr>
      <w:numPr>
        <w:ilvl w:val="1"/>
        <w:numId w:val="67"/>
      </w:numPr>
      <w:spacing w:after="120"/>
      <w:contextualSpacing w:val="0"/>
    </w:pPr>
    <w:rPr>
      <w:rFonts w:eastAsia="Courier New"/>
      <w:color w:val="000000" w:themeColor="text1"/>
    </w:rPr>
  </w:style>
  <w:style w:type="character" w:customStyle="1" w:styleId="BulletLevel2Char">
    <w:name w:val="Bullet Level 2 Char"/>
    <w:basedOn w:val="ListParagraphChar"/>
    <w:link w:val="BulletLevel2"/>
    <w:rsid w:val="00746F5E"/>
    <w:rPr>
      <w:rFonts w:ascii="Calibri" w:eastAsia="Courier New" w:hAnsi="Calibri" w:cs="Times New Roman"/>
      <w:color w:val="000000" w:themeColor="text1"/>
      <w:sz w:val="22"/>
    </w:rPr>
  </w:style>
  <w:style w:type="paragraph" w:customStyle="1" w:styleId="BulletLevel3">
    <w:name w:val="Bullet Level 3"/>
    <w:basedOn w:val="ListParagraph"/>
    <w:link w:val="BulletLevel3Char"/>
    <w:qFormat/>
    <w:rsid w:val="00C023F3"/>
    <w:pPr>
      <w:numPr>
        <w:ilvl w:val="2"/>
        <w:numId w:val="67"/>
      </w:numPr>
      <w:spacing w:after="120"/>
      <w:contextualSpacing w:val="0"/>
    </w:pPr>
  </w:style>
  <w:style w:type="character" w:customStyle="1" w:styleId="BulletLevel3Char">
    <w:name w:val="Bullet Level 3 Char"/>
    <w:basedOn w:val="ListParagraphChar"/>
    <w:link w:val="BulletLevel3"/>
    <w:rsid w:val="00C023F3"/>
    <w:rPr>
      <w:rFonts w:ascii="Calibri" w:hAnsi="Calibri" w:cs="Times New Roman"/>
      <w:sz w:val="22"/>
    </w:rPr>
  </w:style>
  <w:style w:type="paragraph" w:styleId="Caption">
    <w:name w:val="caption"/>
    <w:basedOn w:val="Normal"/>
    <w:next w:val="Normal"/>
    <w:uiPriority w:val="35"/>
    <w:unhideWhenUsed/>
    <w:qFormat/>
    <w:rsid w:val="007F5236"/>
    <w:pPr>
      <w:keepNext/>
      <w:spacing w:before="120" w:after="240" w:line="276" w:lineRule="auto"/>
      <w:ind w:firstLine="720"/>
      <w:jc w:val="center"/>
    </w:pPr>
    <w:rPr>
      <w:rFonts w:asciiTheme="majorHAnsi" w:eastAsia="Times New Roman" w:hAnsiTheme="majorHAnsi"/>
      <w:b/>
      <w:szCs w:val="20"/>
    </w:rPr>
  </w:style>
  <w:style w:type="paragraph" w:customStyle="1" w:styleId="FrontMatterHeading">
    <w:name w:val="Front Matter Heading"/>
    <w:basedOn w:val="Normal"/>
    <w:link w:val="FrontMatterHeadingChar"/>
    <w:qFormat/>
    <w:rsid w:val="005F4679"/>
    <w:pPr>
      <w:spacing w:after="360"/>
    </w:pPr>
    <w:rPr>
      <w:rFonts w:eastAsia="Times New Roman"/>
      <w:b/>
      <w:sz w:val="28"/>
    </w:rPr>
  </w:style>
  <w:style w:type="character" w:customStyle="1" w:styleId="FrontMatterHeadingChar">
    <w:name w:val="Front Matter Heading Char"/>
    <w:basedOn w:val="Heading1Char"/>
    <w:link w:val="FrontMatterHeading"/>
    <w:rsid w:val="005F4679"/>
    <w:rPr>
      <w:rFonts w:asciiTheme="minorHAnsi" w:eastAsia="Times New Roman" w:hAnsiTheme="minorHAnsi" w:cs="Times New Roman"/>
      <w:b/>
      <w:sz w:val="28"/>
      <w:szCs w:val="20"/>
    </w:rPr>
  </w:style>
  <w:style w:type="paragraph" w:styleId="BodyTextIndent">
    <w:name w:val="Body Text Indent"/>
    <w:basedOn w:val="BodyText"/>
    <w:link w:val="BodyTextIndentChar"/>
    <w:uiPriority w:val="99"/>
    <w:unhideWhenUsed/>
    <w:rsid w:val="004F346E"/>
    <w:pPr>
      <w:spacing w:after="120"/>
      <w:ind w:left="360"/>
    </w:pPr>
  </w:style>
  <w:style w:type="character" w:customStyle="1" w:styleId="BodyTextIndentChar">
    <w:name w:val="Body Text Indent Char"/>
    <w:basedOn w:val="DefaultParagraphFont"/>
    <w:link w:val="BodyTextIndent"/>
    <w:uiPriority w:val="99"/>
    <w:rsid w:val="004F346E"/>
    <w:rPr>
      <w:rFonts w:ascii="Calibri" w:hAnsi="Calibri" w:cs="Times New Roman"/>
      <w:sz w:val="22"/>
    </w:rPr>
  </w:style>
  <w:style w:type="character" w:customStyle="1" w:styleId="Heading5Char">
    <w:name w:val="Heading 5 Char"/>
    <w:basedOn w:val="DefaultParagraphFont"/>
    <w:link w:val="Heading5"/>
    <w:rsid w:val="00B22636"/>
    <w:rPr>
      <w:rFonts w:ascii="Calibri" w:hAnsi="Calibri" w:cs="Times New Roman"/>
      <w:b/>
      <w:i/>
      <w:sz w:val="26"/>
      <w:szCs w:val="26"/>
    </w:rPr>
  </w:style>
  <w:style w:type="character" w:customStyle="1" w:styleId="BalloonTextChar">
    <w:name w:val="Balloon Text Char"/>
    <w:basedOn w:val="DefaultParagraphFont"/>
    <w:link w:val="BalloonText"/>
    <w:semiHidden/>
    <w:rsid w:val="00B22636"/>
    <w:rPr>
      <w:rFonts w:ascii="Lucida Grande" w:hAnsi="Lucida Grande" w:cs="Times New Roman"/>
      <w:sz w:val="18"/>
      <w:szCs w:val="18"/>
    </w:rPr>
  </w:style>
  <w:style w:type="character" w:styleId="PageNumber">
    <w:name w:val="page number"/>
    <w:basedOn w:val="DefaultParagraphFont"/>
    <w:uiPriority w:val="99"/>
    <w:semiHidden/>
    <w:unhideWhenUsed/>
    <w:rsid w:val="00B22636"/>
  </w:style>
  <w:style w:type="paragraph" w:styleId="TOC1">
    <w:name w:val="toc 1"/>
    <w:basedOn w:val="Normal"/>
    <w:next w:val="Normal"/>
    <w:uiPriority w:val="39"/>
    <w:unhideWhenUsed/>
    <w:rsid w:val="00EC6835"/>
    <w:pPr>
      <w:tabs>
        <w:tab w:val="right" w:leader="dot" w:pos="9350"/>
      </w:tabs>
      <w:spacing w:before="120"/>
      <w:ind w:right="1080"/>
    </w:pPr>
    <w:rPr>
      <w:b/>
    </w:rPr>
  </w:style>
  <w:style w:type="paragraph" w:styleId="TOC2">
    <w:name w:val="toc 2"/>
    <w:basedOn w:val="Normal"/>
    <w:next w:val="Normal"/>
    <w:uiPriority w:val="39"/>
    <w:unhideWhenUsed/>
    <w:rsid w:val="00EC6835"/>
    <w:pPr>
      <w:ind w:left="216" w:right="1080"/>
    </w:pPr>
    <w:rPr>
      <w:b/>
      <w:szCs w:val="22"/>
    </w:rPr>
  </w:style>
  <w:style w:type="paragraph" w:styleId="TOC3">
    <w:name w:val="toc 3"/>
    <w:basedOn w:val="Normal"/>
    <w:next w:val="Normal"/>
    <w:uiPriority w:val="39"/>
    <w:unhideWhenUsed/>
    <w:rsid w:val="00C55DB6"/>
    <w:pPr>
      <w:tabs>
        <w:tab w:val="right" w:leader="dot" w:pos="9350"/>
      </w:tabs>
      <w:ind w:left="1008" w:right="1080" w:hanging="562"/>
    </w:pPr>
    <w:rPr>
      <w:rFonts w:eastAsiaTheme="majorEastAsia"/>
      <w:noProof/>
      <w:szCs w:val="22"/>
    </w:rPr>
  </w:style>
  <w:style w:type="paragraph" w:styleId="TOC4">
    <w:name w:val="toc 4"/>
    <w:basedOn w:val="Normal"/>
    <w:next w:val="Normal"/>
    <w:autoRedefine/>
    <w:uiPriority w:val="39"/>
    <w:unhideWhenUsed/>
    <w:rsid w:val="00B22636"/>
    <w:pPr>
      <w:ind w:left="660"/>
    </w:pPr>
    <w:rPr>
      <w:rFonts w:asciiTheme="minorHAnsi" w:hAnsiTheme="minorHAnsi"/>
      <w:sz w:val="20"/>
      <w:szCs w:val="20"/>
    </w:rPr>
  </w:style>
  <w:style w:type="paragraph" w:styleId="TOC5">
    <w:name w:val="toc 5"/>
    <w:basedOn w:val="Normal"/>
    <w:next w:val="Normal"/>
    <w:autoRedefine/>
    <w:uiPriority w:val="39"/>
    <w:unhideWhenUsed/>
    <w:rsid w:val="00B22636"/>
    <w:pPr>
      <w:ind w:left="880"/>
    </w:pPr>
    <w:rPr>
      <w:rFonts w:asciiTheme="minorHAnsi" w:hAnsiTheme="minorHAnsi"/>
      <w:sz w:val="20"/>
      <w:szCs w:val="20"/>
    </w:rPr>
  </w:style>
  <w:style w:type="paragraph" w:styleId="TOC6">
    <w:name w:val="toc 6"/>
    <w:basedOn w:val="Normal"/>
    <w:next w:val="Normal"/>
    <w:autoRedefine/>
    <w:uiPriority w:val="39"/>
    <w:unhideWhenUsed/>
    <w:rsid w:val="00B22636"/>
    <w:pPr>
      <w:ind w:left="1100"/>
    </w:pPr>
    <w:rPr>
      <w:rFonts w:asciiTheme="minorHAnsi" w:hAnsiTheme="minorHAnsi"/>
      <w:sz w:val="20"/>
      <w:szCs w:val="20"/>
    </w:rPr>
  </w:style>
  <w:style w:type="paragraph" w:styleId="TOC7">
    <w:name w:val="toc 7"/>
    <w:basedOn w:val="Normal"/>
    <w:next w:val="Normal"/>
    <w:autoRedefine/>
    <w:uiPriority w:val="39"/>
    <w:unhideWhenUsed/>
    <w:rsid w:val="00B22636"/>
    <w:pPr>
      <w:ind w:left="1320"/>
    </w:pPr>
    <w:rPr>
      <w:rFonts w:asciiTheme="minorHAnsi" w:hAnsiTheme="minorHAnsi"/>
      <w:sz w:val="20"/>
      <w:szCs w:val="20"/>
    </w:rPr>
  </w:style>
  <w:style w:type="paragraph" w:styleId="TOC8">
    <w:name w:val="toc 8"/>
    <w:basedOn w:val="Normal"/>
    <w:next w:val="Normal"/>
    <w:autoRedefine/>
    <w:uiPriority w:val="39"/>
    <w:unhideWhenUsed/>
    <w:rsid w:val="00B22636"/>
    <w:pPr>
      <w:ind w:left="1540"/>
    </w:pPr>
    <w:rPr>
      <w:rFonts w:asciiTheme="minorHAnsi" w:hAnsiTheme="minorHAnsi"/>
      <w:sz w:val="20"/>
      <w:szCs w:val="20"/>
    </w:rPr>
  </w:style>
  <w:style w:type="paragraph" w:styleId="TOC9">
    <w:name w:val="toc 9"/>
    <w:basedOn w:val="Normal"/>
    <w:next w:val="Normal"/>
    <w:autoRedefine/>
    <w:uiPriority w:val="39"/>
    <w:unhideWhenUsed/>
    <w:rsid w:val="00B22636"/>
    <w:pPr>
      <w:ind w:left="1760"/>
    </w:pPr>
    <w:rPr>
      <w:rFonts w:asciiTheme="minorHAnsi" w:hAnsiTheme="minorHAnsi"/>
      <w:sz w:val="20"/>
      <w:szCs w:val="20"/>
    </w:rPr>
  </w:style>
  <w:style w:type="table" w:styleId="TableGrid">
    <w:name w:val="Table Grid"/>
    <w:basedOn w:val="TableNormal"/>
    <w:uiPriority w:val="39"/>
    <w:rsid w:val="00B2263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B22636"/>
    <w:pPr>
      <w:ind w:left="440" w:hanging="440"/>
    </w:pPr>
    <w:rPr>
      <w:rFonts w:asciiTheme="minorHAnsi" w:hAnsiTheme="minorHAnsi"/>
    </w:rPr>
  </w:style>
  <w:style w:type="paragraph" w:styleId="EndnoteText">
    <w:name w:val="endnote text"/>
    <w:basedOn w:val="Normal"/>
    <w:link w:val="EndnoteTextChar"/>
    <w:uiPriority w:val="99"/>
    <w:unhideWhenUsed/>
    <w:rsid w:val="00B22636"/>
    <w:rPr>
      <w:rFonts w:ascii="Times New Roman" w:hAnsi="Times New Roman" w:cstheme="minorBidi"/>
      <w:sz w:val="24"/>
    </w:rPr>
  </w:style>
  <w:style w:type="character" w:customStyle="1" w:styleId="EndnoteTextChar">
    <w:name w:val="Endnote Text Char"/>
    <w:basedOn w:val="DefaultParagraphFont"/>
    <w:link w:val="EndnoteText"/>
    <w:uiPriority w:val="99"/>
    <w:rsid w:val="00B22636"/>
  </w:style>
  <w:style w:type="paragraph" w:customStyle="1" w:styleId="Default">
    <w:name w:val="Default"/>
    <w:rsid w:val="00B22636"/>
    <w:pPr>
      <w:autoSpaceDE w:val="0"/>
      <w:autoSpaceDN w:val="0"/>
      <w:adjustRightInd w:val="0"/>
      <w:spacing w:after="0"/>
    </w:pPr>
    <w:rPr>
      <w:rFonts w:ascii="Arial" w:eastAsiaTheme="minorHAnsi" w:hAnsi="Arial" w:cs="Arial"/>
      <w:color w:val="000000"/>
    </w:rPr>
  </w:style>
  <w:style w:type="paragraph" w:styleId="NoSpacing">
    <w:name w:val="No Spacing"/>
    <w:uiPriority w:val="1"/>
    <w:qFormat/>
    <w:rsid w:val="00B22636"/>
    <w:pPr>
      <w:spacing w:after="0"/>
    </w:pPr>
    <w:rPr>
      <w:rFonts w:ascii="Arial" w:eastAsiaTheme="minorHAnsi" w:hAnsi="Arial"/>
      <w:sz w:val="22"/>
      <w:szCs w:val="22"/>
    </w:rPr>
  </w:style>
  <w:style w:type="paragraph" w:styleId="Revision">
    <w:name w:val="Revision"/>
    <w:hidden/>
    <w:uiPriority w:val="99"/>
    <w:semiHidden/>
    <w:rsid w:val="00B22636"/>
    <w:pPr>
      <w:spacing w:after="0"/>
    </w:pPr>
    <w:rPr>
      <w:rFonts w:asciiTheme="minorHAnsi" w:hAnsiTheme="minorHAnsi" w:cs="Times New Roman"/>
      <w:sz w:val="22"/>
    </w:rPr>
  </w:style>
  <w:style w:type="paragraph" w:styleId="DocumentMap">
    <w:name w:val="Document Map"/>
    <w:basedOn w:val="Normal"/>
    <w:link w:val="DocumentMapChar"/>
    <w:uiPriority w:val="99"/>
    <w:semiHidden/>
    <w:unhideWhenUsed/>
    <w:rsid w:val="00B22636"/>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22636"/>
    <w:rPr>
      <w:rFonts w:ascii="Lucida Grande" w:hAnsi="Lucida Grande" w:cs="Lucida Grande"/>
    </w:rPr>
  </w:style>
  <w:style w:type="table" w:styleId="LightShading-Accent3">
    <w:name w:val="Light Shading Accent 3"/>
    <w:basedOn w:val="TableNormal"/>
    <w:uiPriority w:val="60"/>
    <w:rsid w:val="00B22636"/>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ListParagraph-last">
    <w:name w:val="List Paragraph-last"/>
    <w:basedOn w:val="ListParagraph"/>
    <w:link w:val="ListParagraph-lastChar"/>
    <w:qFormat/>
    <w:rsid w:val="00B22636"/>
    <w:pPr>
      <w:numPr>
        <w:numId w:val="11"/>
      </w:numPr>
      <w:spacing w:after="240"/>
      <w:contextualSpacing w:val="0"/>
    </w:pPr>
    <w:rPr>
      <w:rFonts w:asciiTheme="minorHAnsi" w:hAnsiTheme="minorHAnsi"/>
    </w:rPr>
  </w:style>
  <w:style w:type="character" w:customStyle="1" w:styleId="ListParagraph-lastChar">
    <w:name w:val="List Paragraph-last Char"/>
    <w:basedOn w:val="ListParagraphChar"/>
    <w:link w:val="ListParagraph-last"/>
    <w:rsid w:val="00B22636"/>
    <w:rPr>
      <w:rFonts w:asciiTheme="minorHAnsi" w:hAnsiTheme="minorHAnsi" w:cs="Times New Roman"/>
      <w:sz w:val="22"/>
    </w:rPr>
  </w:style>
  <w:style w:type="character" w:customStyle="1" w:styleId="Hyperlink1">
    <w:name w:val="Hyperlink1"/>
    <w:basedOn w:val="DefaultParagraphFont"/>
    <w:uiPriority w:val="99"/>
    <w:unhideWhenUsed/>
    <w:rsid w:val="008F1CC5"/>
    <w:rPr>
      <w:color w:val="0000FF"/>
      <w:u w:val="single"/>
    </w:rPr>
  </w:style>
  <w:style w:type="character" w:customStyle="1" w:styleId="Heading6Char">
    <w:name w:val="Heading 6 Char"/>
    <w:basedOn w:val="DefaultParagraphFont"/>
    <w:link w:val="Heading6"/>
    <w:uiPriority w:val="9"/>
    <w:rsid w:val="004C7CA8"/>
    <w:rPr>
      <w:rFonts w:asciiTheme="majorHAnsi" w:eastAsiaTheme="majorEastAsia" w:hAnsiTheme="majorHAnsi" w:cstheme="majorBidi"/>
      <w:b/>
      <w:sz w:val="28"/>
      <w:szCs w:val="28"/>
    </w:rPr>
  </w:style>
  <w:style w:type="character" w:customStyle="1" w:styleId="Heading7Char">
    <w:name w:val="Heading 7 Char"/>
    <w:basedOn w:val="DefaultParagraphFont"/>
    <w:link w:val="Heading7"/>
    <w:uiPriority w:val="9"/>
    <w:rsid w:val="004C7CA8"/>
    <w:rPr>
      <w:rFonts w:asciiTheme="majorHAnsi" w:eastAsiaTheme="majorEastAsia" w:hAnsiTheme="majorHAnsi" w:cstheme="majorBidi"/>
      <w:b/>
      <w:iCs/>
    </w:rPr>
  </w:style>
  <w:style w:type="character" w:customStyle="1" w:styleId="Heading8Char">
    <w:name w:val="Heading 8 Char"/>
    <w:basedOn w:val="DefaultParagraphFont"/>
    <w:link w:val="Heading8"/>
    <w:uiPriority w:val="9"/>
    <w:rsid w:val="009D2131"/>
    <w:rPr>
      <w:rFonts w:ascii="Calibri" w:eastAsiaTheme="majorEastAsia" w:hAnsi="Calibri" w:cstheme="majorBidi"/>
      <w:b/>
      <w:bCs/>
      <w:iCs/>
      <w:color w:val="272727" w:themeColor="text1" w:themeTint="D8"/>
      <w:sz w:val="22"/>
      <w:szCs w:val="22"/>
    </w:rPr>
  </w:style>
  <w:style w:type="paragraph" w:customStyle="1" w:styleId="FigurePlacement">
    <w:name w:val="Figure Placement"/>
    <w:basedOn w:val="Normal"/>
    <w:link w:val="FigurePlacementChar"/>
    <w:qFormat/>
    <w:rsid w:val="00AD3C72"/>
    <w:pPr>
      <w:keepNext/>
      <w:keepLines/>
      <w:autoSpaceDE w:val="0"/>
      <w:autoSpaceDN w:val="0"/>
      <w:adjustRightInd w:val="0"/>
      <w:jc w:val="center"/>
    </w:pPr>
    <w:rPr>
      <w:rFonts w:ascii="Courier New" w:hAnsi="Courier New" w:cs="Courier New"/>
    </w:rPr>
  </w:style>
  <w:style w:type="character" w:customStyle="1" w:styleId="FigurePlacementChar">
    <w:name w:val="Figure Placement Char"/>
    <w:basedOn w:val="DefaultParagraphFont"/>
    <w:link w:val="FigurePlacement"/>
    <w:rsid w:val="00AD3C72"/>
    <w:rPr>
      <w:rFonts w:ascii="Courier New" w:hAnsi="Courier New" w:cs="Courier New"/>
      <w:sz w:val="22"/>
    </w:rPr>
  </w:style>
  <w:style w:type="paragraph" w:styleId="PlainText">
    <w:name w:val="Plain Text"/>
    <w:basedOn w:val="Normal"/>
    <w:link w:val="PlainTextChar"/>
    <w:uiPriority w:val="99"/>
    <w:semiHidden/>
    <w:unhideWhenUsed/>
    <w:rsid w:val="004F346E"/>
    <w:rPr>
      <w:rFonts w:cs="Consolas"/>
      <w:szCs w:val="21"/>
      <w:lang w:eastAsia="zh-CN"/>
    </w:rPr>
  </w:style>
  <w:style w:type="character" w:customStyle="1" w:styleId="PlainTextChar">
    <w:name w:val="Plain Text Char"/>
    <w:basedOn w:val="DefaultParagraphFont"/>
    <w:link w:val="PlainText"/>
    <w:uiPriority w:val="99"/>
    <w:semiHidden/>
    <w:rsid w:val="004F346E"/>
    <w:rPr>
      <w:rFonts w:ascii="Calibri" w:hAnsi="Calibri" w:cs="Consolas"/>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8874">
      <w:bodyDiv w:val="1"/>
      <w:marLeft w:val="0"/>
      <w:marRight w:val="0"/>
      <w:marTop w:val="0"/>
      <w:marBottom w:val="0"/>
      <w:divBdr>
        <w:top w:val="none" w:sz="0" w:space="0" w:color="auto"/>
        <w:left w:val="none" w:sz="0" w:space="0" w:color="auto"/>
        <w:bottom w:val="none" w:sz="0" w:space="0" w:color="auto"/>
        <w:right w:val="none" w:sz="0" w:space="0" w:color="auto"/>
      </w:divBdr>
      <w:divsChild>
        <w:div w:id="646055880">
          <w:marLeft w:val="0"/>
          <w:marRight w:val="0"/>
          <w:marTop w:val="0"/>
          <w:marBottom w:val="0"/>
          <w:divBdr>
            <w:top w:val="none" w:sz="0" w:space="0" w:color="auto"/>
            <w:left w:val="none" w:sz="0" w:space="0" w:color="auto"/>
            <w:bottom w:val="none" w:sz="0" w:space="0" w:color="auto"/>
            <w:right w:val="none" w:sz="0" w:space="0" w:color="auto"/>
          </w:divBdr>
          <w:divsChild>
            <w:div w:id="1183201271">
              <w:marLeft w:val="0"/>
              <w:marRight w:val="0"/>
              <w:marTop w:val="0"/>
              <w:marBottom w:val="0"/>
              <w:divBdr>
                <w:top w:val="none" w:sz="0" w:space="0" w:color="auto"/>
                <w:left w:val="none" w:sz="0" w:space="0" w:color="auto"/>
                <w:bottom w:val="none" w:sz="0" w:space="0" w:color="auto"/>
                <w:right w:val="none" w:sz="0" w:space="0" w:color="auto"/>
              </w:divBdr>
              <w:divsChild>
                <w:div w:id="8911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0025">
      <w:bodyDiv w:val="1"/>
      <w:marLeft w:val="0"/>
      <w:marRight w:val="0"/>
      <w:marTop w:val="0"/>
      <w:marBottom w:val="0"/>
      <w:divBdr>
        <w:top w:val="none" w:sz="0" w:space="0" w:color="auto"/>
        <w:left w:val="none" w:sz="0" w:space="0" w:color="auto"/>
        <w:bottom w:val="none" w:sz="0" w:space="0" w:color="auto"/>
        <w:right w:val="none" w:sz="0" w:space="0" w:color="auto"/>
      </w:divBdr>
      <w:divsChild>
        <w:div w:id="1791166682">
          <w:marLeft w:val="0"/>
          <w:marRight w:val="0"/>
          <w:marTop w:val="0"/>
          <w:marBottom w:val="0"/>
          <w:divBdr>
            <w:top w:val="none" w:sz="0" w:space="0" w:color="auto"/>
            <w:left w:val="none" w:sz="0" w:space="0" w:color="auto"/>
            <w:bottom w:val="none" w:sz="0" w:space="0" w:color="auto"/>
            <w:right w:val="none" w:sz="0" w:space="0" w:color="auto"/>
          </w:divBdr>
          <w:divsChild>
            <w:div w:id="62871097">
              <w:marLeft w:val="0"/>
              <w:marRight w:val="0"/>
              <w:marTop w:val="0"/>
              <w:marBottom w:val="0"/>
              <w:divBdr>
                <w:top w:val="none" w:sz="0" w:space="0" w:color="auto"/>
                <w:left w:val="none" w:sz="0" w:space="0" w:color="auto"/>
                <w:bottom w:val="none" w:sz="0" w:space="0" w:color="auto"/>
                <w:right w:val="none" w:sz="0" w:space="0" w:color="auto"/>
              </w:divBdr>
              <w:divsChild>
                <w:div w:id="1996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4049">
      <w:bodyDiv w:val="1"/>
      <w:marLeft w:val="0"/>
      <w:marRight w:val="0"/>
      <w:marTop w:val="0"/>
      <w:marBottom w:val="0"/>
      <w:divBdr>
        <w:top w:val="none" w:sz="0" w:space="0" w:color="auto"/>
        <w:left w:val="none" w:sz="0" w:space="0" w:color="auto"/>
        <w:bottom w:val="none" w:sz="0" w:space="0" w:color="auto"/>
        <w:right w:val="none" w:sz="0" w:space="0" w:color="auto"/>
      </w:divBdr>
    </w:div>
    <w:div w:id="314143262">
      <w:bodyDiv w:val="1"/>
      <w:marLeft w:val="0"/>
      <w:marRight w:val="0"/>
      <w:marTop w:val="0"/>
      <w:marBottom w:val="0"/>
      <w:divBdr>
        <w:top w:val="none" w:sz="0" w:space="0" w:color="auto"/>
        <w:left w:val="none" w:sz="0" w:space="0" w:color="auto"/>
        <w:bottom w:val="none" w:sz="0" w:space="0" w:color="auto"/>
        <w:right w:val="none" w:sz="0" w:space="0" w:color="auto"/>
      </w:divBdr>
    </w:div>
    <w:div w:id="464004512">
      <w:bodyDiv w:val="1"/>
      <w:marLeft w:val="0"/>
      <w:marRight w:val="0"/>
      <w:marTop w:val="0"/>
      <w:marBottom w:val="0"/>
      <w:divBdr>
        <w:top w:val="none" w:sz="0" w:space="0" w:color="auto"/>
        <w:left w:val="none" w:sz="0" w:space="0" w:color="auto"/>
        <w:bottom w:val="none" w:sz="0" w:space="0" w:color="auto"/>
        <w:right w:val="none" w:sz="0" w:space="0" w:color="auto"/>
      </w:divBdr>
    </w:div>
    <w:div w:id="481117053">
      <w:bodyDiv w:val="1"/>
      <w:marLeft w:val="0"/>
      <w:marRight w:val="0"/>
      <w:marTop w:val="0"/>
      <w:marBottom w:val="0"/>
      <w:divBdr>
        <w:top w:val="none" w:sz="0" w:space="0" w:color="auto"/>
        <w:left w:val="none" w:sz="0" w:space="0" w:color="auto"/>
        <w:bottom w:val="none" w:sz="0" w:space="0" w:color="auto"/>
        <w:right w:val="none" w:sz="0" w:space="0" w:color="auto"/>
      </w:divBdr>
    </w:div>
    <w:div w:id="669990253">
      <w:bodyDiv w:val="1"/>
      <w:marLeft w:val="0"/>
      <w:marRight w:val="0"/>
      <w:marTop w:val="0"/>
      <w:marBottom w:val="0"/>
      <w:divBdr>
        <w:top w:val="none" w:sz="0" w:space="0" w:color="auto"/>
        <w:left w:val="none" w:sz="0" w:space="0" w:color="auto"/>
        <w:bottom w:val="none" w:sz="0" w:space="0" w:color="auto"/>
        <w:right w:val="none" w:sz="0" w:space="0" w:color="auto"/>
      </w:divBdr>
    </w:div>
    <w:div w:id="702678689">
      <w:bodyDiv w:val="1"/>
      <w:marLeft w:val="0"/>
      <w:marRight w:val="0"/>
      <w:marTop w:val="0"/>
      <w:marBottom w:val="0"/>
      <w:divBdr>
        <w:top w:val="none" w:sz="0" w:space="0" w:color="auto"/>
        <w:left w:val="none" w:sz="0" w:space="0" w:color="auto"/>
        <w:bottom w:val="none" w:sz="0" w:space="0" w:color="auto"/>
        <w:right w:val="none" w:sz="0" w:space="0" w:color="auto"/>
      </w:divBdr>
    </w:div>
    <w:div w:id="813446455">
      <w:bodyDiv w:val="1"/>
      <w:marLeft w:val="0"/>
      <w:marRight w:val="0"/>
      <w:marTop w:val="0"/>
      <w:marBottom w:val="0"/>
      <w:divBdr>
        <w:top w:val="none" w:sz="0" w:space="0" w:color="auto"/>
        <w:left w:val="none" w:sz="0" w:space="0" w:color="auto"/>
        <w:bottom w:val="none" w:sz="0" w:space="0" w:color="auto"/>
        <w:right w:val="none" w:sz="0" w:space="0" w:color="auto"/>
      </w:divBdr>
      <w:divsChild>
        <w:div w:id="560944742">
          <w:marLeft w:val="0"/>
          <w:marRight w:val="0"/>
          <w:marTop w:val="0"/>
          <w:marBottom w:val="0"/>
          <w:divBdr>
            <w:top w:val="none" w:sz="0" w:space="0" w:color="auto"/>
            <w:left w:val="none" w:sz="0" w:space="0" w:color="auto"/>
            <w:bottom w:val="none" w:sz="0" w:space="0" w:color="auto"/>
            <w:right w:val="none" w:sz="0" w:space="0" w:color="auto"/>
          </w:divBdr>
          <w:divsChild>
            <w:div w:id="2018193242">
              <w:marLeft w:val="0"/>
              <w:marRight w:val="0"/>
              <w:marTop w:val="0"/>
              <w:marBottom w:val="0"/>
              <w:divBdr>
                <w:top w:val="none" w:sz="0" w:space="0" w:color="auto"/>
                <w:left w:val="none" w:sz="0" w:space="0" w:color="auto"/>
                <w:bottom w:val="none" w:sz="0" w:space="0" w:color="auto"/>
                <w:right w:val="none" w:sz="0" w:space="0" w:color="auto"/>
              </w:divBdr>
              <w:divsChild>
                <w:div w:id="18423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3131">
      <w:bodyDiv w:val="1"/>
      <w:marLeft w:val="0"/>
      <w:marRight w:val="0"/>
      <w:marTop w:val="0"/>
      <w:marBottom w:val="0"/>
      <w:divBdr>
        <w:top w:val="none" w:sz="0" w:space="0" w:color="auto"/>
        <w:left w:val="none" w:sz="0" w:space="0" w:color="auto"/>
        <w:bottom w:val="none" w:sz="0" w:space="0" w:color="auto"/>
        <w:right w:val="none" w:sz="0" w:space="0" w:color="auto"/>
      </w:divBdr>
    </w:div>
    <w:div w:id="948050239">
      <w:bodyDiv w:val="1"/>
      <w:marLeft w:val="0"/>
      <w:marRight w:val="0"/>
      <w:marTop w:val="0"/>
      <w:marBottom w:val="0"/>
      <w:divBdr>
        <w:top w:val="none" w:sz="0" w:space="0" w:color="auto"/>
        <w:left w:val="none" w:sz="0" w:space="0" w:color="auto"/>
        <w:bottom w:val="none" w:sz="0" w:space="0" w:color="auto"/>
        <w:right w:val="none" w:sz="0" w:space="0" w:color="auto"/>
      </w:divBdr>
      <w:divsChild>
        <w:div w:id="188184699">
          <w:marLeft w:val="0"/>
          <w:marRight w:val="0"/>
          <w:marTop w:val="0"/>
          <w:marBottom w:val="0"/>
          <w:divBdr>
            <w:top w:val="none" w:sz="0" w:space="0" w:color="auto"/>
            <w:left w:val="none" w:sz="0" w:space="0" w:color="auto"/>
            <w:bottom w:val="none" w:sz="0" w:space="0" w:color="auto"/>
            <w:right w:val="none" w:sz="0" w:space="0" w:color="auto"/>
          </w:divBdr>
          <w:divsChild>
            <w:div w:id="742459296">
              <w:marLeft w:val="0"/>
              <w:marRight w:val="0"/>
              <w:marTop w:val="0"/>
              <w:marBottom w:val="0"/>
              <w:divBdr>
                <w:top w:val="none" w:sz="0" w:space="0" w:color="auto"/>
                <w:left w:val="none" w:sz="0" w:space="0" w:color="auto"/>
                <w:bottom w:val="none" w:sz="0" w:space="0" w:color="auto"/>
                <w:right w:val="none" w:sz="0" w:space="0" w:color="auto"/>
              </w:divBdr>
              <w:divsChild>
                <w:div w:id="1209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88170">
      <w:bodyDiv w:val="1"/>
      <w:marLeft w:val="0"/>
      <w:marRight w:val="0"/>
      <w:marTop w:val="0"/>
      <w:marBottom w:val="0"/>
      <w:divBdr>
        <w:top w:val="none" w:sz="0" w:space="0" w:color="auto"/>
        <w:left w:val="none" w:sz="0" w:space="0" w:color="auto"/>
        <w:bottom w:val="none" w:sz="0" w:space="0" w:color="auto"/>
        <w:right w:val="none" w:sz="0" w:space="0" w:color="auto"/>
      </w:divBdr>
    </w:div>
    <w:div w:id="1122766030">
      <w:bodyDiv w:val="1"/>
      <w:marLeft w:val="0"/>
      <w:marRight w:val="0"/>
      <w:marTop w:val="0"/>
      <w:marBottom w:val="0"/>
      <w:divBdr>
        <w:top w:val="none" w:sz="0" w:space="0" w:color="auto"/>
        <w:left w:val="none" w:sz="0" w:space="0" w:color="auto"/>
        <w:bottom w:val="none" w:sz="0" w:space="0" w:color="auto"/>
        <w:right w:val="none" w:sz="0" w:space="0" w:color="auto"/>
      </w:divBdr>
    </w:div>
    <w:div w:id="1237088269">
      <w:bodyDiv w:val="1"/>
      <w:marLeft w:val="0"/>
      <w:marRight w:val="0"/>
      <w:marTop w:val="0"/>
      <w:marBottom w:val="0"/>
      <w:divBdr>
        <w:top w:val="none" w:sz="0" w:space="0" w:color="auto"/>
        <w:left w:val="none" w:sz="0" w:space="0" w:color="auto"/>
        <w:bottom w:val="none" w:sz="0" w:space="0" w:color="auto"/>
        <w:right w:val="none" w:sz="0" w:space="0" w:color="auto"/>
      </w:divBdr>
      <w:divsChild>
        <w:div w:id="980236547">
          <w:marLeft w:val="0"/>
          <w:marRight w:val="0"/>
          <w:marTop w:val="0"/>
          <w:marBottom w:val="0"/>
          <w:divBdr>
            <w:top w:val="none" w:sz="0" w:space="0" w:color="auto"/>
            <w:left w:val="none" w:sz="0" w:space="0" w:color="auto"/>
            <w:bottom w:val="none" w:sz="0" w:space="0" w:color="auto"/>
            <w:right w:val="none" w:sz="0" w:space="0" w:color="auto"/>
          </w:divBdr>
          <w:divsChild>
            <w:div w:id="421729716">
              <w:marLeft w:val="0"/>
              <w:marRight w:val="0"/>
              <w:marTop w:val="0"/>
              <w:marBottom w:val="0"/>
              <w:divBdr>
                <w:top w:val="none" w:sz="0" w:space="0" w:color="auto"/>
                <w:left w:val="none" w:sz="0" w:space="0" w:color="auto"/>
                <w:bottom w:val="none" w:sz="0" w:space="0" w:color="auto"/>
                <w:right w:val="none" w:sz="0" w:space="0" w:color="auto"/>
              </w:divBdr>
              <w:divsChild>
                <w:div w:id="8878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7046">
      <w:bodyDiv w:val="1"/>
      <w:marLeft w:val="0"/>
      <w:marRight w:val="0"/>
      <w:marTop w:val="0"/>
      <w:marBottom w:val="0"/>
      <w:divBdr>
        <w:top w:val="none" w:sz="0" w:space="0" w:color="auto"/>
        <w:left w:val="none" w:sz="0" w:space="0" w:color="auto"/>
        <w:bottom w:val="none" w:sz="0" w:space="0" w:color="auto"/>
        <w:right w:val="none" w:sz="0" w:space="0" w:color="auto"/>
      </w:divBdr>
    </w:div>
    <w:div w:id="1292978433">
      <w:bodyDiv w:val="1"/>
      <w:marLeft w:val="0"/>
      <w:marRight w:val="0"/>
      <w:marTop w:val="0"/>
      <w:marBottom w:val="0"/>
      <w:divBdr>
        <w:top w:val="none" w:sz="0" w:space="0" w:color="auto"/>
        <w:left w:val="none" w:sz="0" w:space="0" w:color="auto"/>
        <w:bottom w:val="none" w:sz="0" w:space="0" w:color="auto"/>
        <w:right w:val="none" w:sz="0" w:space="0" w:color="auto"/>
      </w:divBdr>
    </w:div>
    <w:div w:id="1301955084">
      <w:bodyDiv w:val="1"/>
      <w:marLeft w:val="0"/>
      <w:marRight w:val="0"/>
      <w:marTop w:val="0"/>
      <w:marBottom w:val="0"/>
      <w:divBdr>
        <w:top w:val="none" w:sz="0" w:space="0" w:color="auto"/>
        <w:left w:val="none" w:sz="0" w:space="0" w:color="auto"/>
        <w:bottom w:val="none" w:sz="0" w:space="0" w:color="auto"/>
        <w:right w:val="none" w:sz="0" w:space="0" w:color="auto"/>
      </w:divBdr>
      <w:divsChild>
        <w:div w:id="994802432">
          <w:marLeft w:val="0"/>
          <w:marRight w:val="0"/>
          <w:marTop w:val="0"/>
          <w:marBottom w:val="0"/>
          <w:divBdr>
            <w:top w:val="none" w:sz="0" w:space="0" w:color="auto"/>
            <w:left w:val="none" w:sz="0" w:space="0" w:color="auto"/>
            <w:bottom w:val="none" w:sz="0" w:space="0" w:color="auto"/>
            <w:right w:val="none" w:sz="0" w:space="0" w:color="auto"/>
          </w:divBdr>
          <w:divsChild>
            <w:div w:id="1576279457">
              <w:marLeft w:val="0"/>
              <w:marRight w:val="0"/>
              <w:marTop w:val="0"/>
              <w:marBottom w:val="0"/>
              <w:divBdr>
                <w:top w:val="none" w:sz="0" w:space="0" w:color="auto"/>
                <w:left w:val="none" w:sz="0" w:space="0" w:color="auto"/>
                <w:bottom w:val="none" w:sz="0" w:space="0" w:color="auto"/>
                <w:right w:val="none" w:sz="0" w:space="0" w:color="auto"/>
              </w:divBdr>
              <w:divsChild>
                <w:div w:id="11014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27128">
      <w:bodyDiv w:val="1"/>
      <w:marLeft w:val="0"/>
      <w:marRight w:val="0"/>
      <w:marTop w:val="0"/>
      <w:marBottom w:val="0"/>
      <w:divBdr>
        <w:top w:val="none" w:sz="0" w:space="0" w:color="auto"/>
        <w:left w:val="none" w:sz="0" w:space="0" w:color="auto"/>
        <w:bottom w:val="none" w:sz="0" w:space="0" w:color="auto"/>
        <w:right w:val="none" w:sz="0" w:space="0" w:color="auto"/>
      </w:divBdr>
      <w:divsChild>
        <w:div w:id="1468859818">
          <w:marLeft w:val="0"/>
          <w:marRight w:val="0"/>
          <w:marTop w:val="0"/>
          <w:marBottom w:val="0"/>
          <w:divBdr>
            <w:top w:val="none" w:sz="0" w:space="0" w:color="auto"/>
            <w:left w:val="none" w:sz="0" w:space="0" w:color="auto"/>
            <w:bottom w:val="none" w:sz="0" w:space="0" w:color="auto"/>
            <w:right w:val="none" w:sz="0" w:space="0" w:color="auto"/>
          </w:divBdr>
          <w:divsChild>
            <w:div w:id="575407380">
              <w:marLeft w:val="0"/>
              <w:marRight w:val="0"/>
              <w:marTop w:val="0"/>
              <w:marBottom w:val="0"/>
              <w:divBdr>
                <w:top w:val="none" w:sz="0" w:space="0" w:color="auto"/>
                <w:left w:val="none" w:sz="0" w:space="0" w:color="auto"/>
                <w:bottom w:val="none" w:sz="0" w:space="0" w:color="auto"/>
                <w:right w:val="none" w:sz="0" w:space="0" w:color="auto"/>
              </w:divBdr>
              <w:divsChild>
                <w:div w:id="559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8650">
      <w:bodyDiv w:val="1"/>
      <w:marLeft w:val="0"/>
      <w:marRight w:val="0"/>
      <w:marTop w:val="0"/>
      <w:marBottom w:val="0"/>
      <w:divBdr>
        <w:top w:val="none" w:sz="0" w:space="0" w:color="auto"/>
        <w:left w:val="none" w:sz="0" w:space="0" w:color="auto"/>
        <w:bottom w:val="none" w:sz="0" w:space="0" w:color="auto"/>
        <w:right w:val="none" w:sz="0" w:space="0" w:color="auto"/>
      </w:divBdr>
      <w:divsChild>
        <w:div w:id="752971162">
          <w:marLeft w:val="0"/>
          <w:marRight w:val="0"/>
          <w:marTop w:val="0"/>
          <w:marBottom w:val="0"/>
          <w:divBdr>
            <w:top w:val="none" w:sz="0" w:space="0" w:color="auto"/>
            <w:left w:val="none" w:sz="0" w:space="0" w:color="auto"/>
            <w:bottom w:val="none" w:sz="0" w:space="0" w:color="auto"/>
            <w:right w:val="none" w:sz="0" w:space="0" w:color="auto"/>
          </w:divBdr>
          <w:divsChild>
            <w:div w:id="1307515617">
              <w:marLeft w:val="0"/>
              <w:marRight w:val="0"/>
              <w:marTop w:val="0"/>
              <w:marBottom w:val="0"/>
              <w:divBdr>
                <w:top w:val="none" w:sz="0" w:space="0" w:color="auto"/>
                <w:left w:val="none" w:sz="0" w:space="0" w:color="auto"/>
                <w:bottom w:val="none" w:sz="0" w:space="0" w:color="auto"/>
                <w:right w:val="none" w:sz="0" w:space="0" w:color="auto"/>
              </w:divBdr>
              <w:divsChild>
                <w:div w:id="777992441">
                  <w:marLeft w:val="0"/>
                  <w:marRight w:val="0"/>
                  <w:marTop w:val="0"/>
                  <w:marBottom w:val="0"/>
                  <w:divBdr>
                    <w:top w:val="none" w:sz="0" w:space="0" w:color="auto"/>
                    <w:left w:val="none" w:sz="0" w:space="0" w:color="auto"/>
                    <w:bottom w:val="none" w:sz="0" w:space="0" w:color="auto"/>
                    <w:right w:val="none" w:sz="0" w:space="0" w:color="auto"/>
                  </w:divBdr>
                  <w:divsChild>
                    <w:div w:id="15630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4873">
      <w:bodyDiv w:val="1"/>
      <w:marLeft w:val="0"/>
      <w:marRight w:val="0"/>
      <w:marTop w:val="0"/>
      <w:marBottom w:val="0"/>
      <w:divBdr>
        <w:top w:val="none" w:sz="0" w:space="0" w:color="auto"/>
        <w:left w:val="none" w:sz="0" w:space="0" w:color="auto"/>
        <w:bottom w:val="none" w:sz="0" w:space="0" w:color="auto"/>
        <w:right w:val="none" w:sz="0" w:space="0" w:color="auto"/>
      </w:divBdr>
      <w:divsChild>
        <w:div w:id="1218979895">
          <w:marLeft w:val="0"/>
          <w:marRight w:val="0"/>
          <w:marTop w:val="0"/>
          <w:marBottom w:val="0"/>
          <w:divBdr>
            <w:top w:val="none" w:sz="0" w:space="0" w:color="auto"/>
            <w:left w:val="none" w:sz="0" w:space="0" w:color="auto"/>
            <w:bottom w:val="none" w:sz="0" w:space="0" w:color="auto"/>
            <w:right w:val="none" w:sz="0" w:space="0" w:color="auto"/>
          </w:divBdr>
          <w:divsChild>
            <w:div w:id="227688598">
              <w:marLeft w:val="0"/>
              <w:marRight w:val="0"/>
              <w:marTop w:val="0"/>
              <w:marBottom w:val="0"/>
              <w:divBdr>
                <w:top w:val="none" w:sz="0" w:space="0" w:color="auto"/>
                <w:left w:val="none" w:sz="0" w:space="0" w:color="auto"/>
                <w:bottom w:val="none" w:sz="0" w:space="0" w:color="auto"/>
                <w:right w:val="none" w:sz="0" w:space="0" w:color="auto"/>
              </w:divBdr>
              <w:divsChild>
                <w:div w:id="4463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5450">
      <w:bodyDiv w:val="1"/>
      <w:marLeft w:val="0"/>
      <w:marRight w:val="0"/>
      <w:marTop w:val="0"/>
      <w:marBottom w:val="0"/>
      <w:divBdr>
        <w:top w:val="none" w:sz="0" w:space="0" w:color="auto"/>
        <w:left w:val="none" w:sz="0" w:space="0" w:color="auto"/>
        <w:bottom w:val="none" w:sz="0" w:space="0" w:color="auto"/>
        <w:right w:val="none" w:sz="0" w:space="0" w:color="auto"/>
      </w:divBdr>
    </w:div>
    <w:div w:id="1995638825">
      <w:bodyDiv w:val="1"/>
      <w:marLeft w:val="0"/>
      <w:marRight w:val="0"/>
      <w:marTop w:val="0"/>
      <w:marBottom w:val="0"/>
      <w:divBdr>
        <w:top w:val="none" w:sz="0" w:space="0" w:color="auto"/>
        <w:left w:val="none" w:sz="0" w:space="0" w:color="auto"/>
        <w:bottom w:val="none" w:sz="0" w:space="0" w:color="auto"/>
        <w:right w:val="none" w:sz="0" w:space="0" w:color="auto"/>
      </w:divBdr>
    </w:div>
    <w:div w:id="2097707414">
      <w:bodyDiv w:val="1"/>
      <w:marLeft w:val="0"/>
      <w:marRight w:val="0"/>
      <w:marTop w:val="0"/>
      <w:marBottom w:val="0"/>
      <w:divBdr>
        <w:top w:val="none" w:sz="0" w:space="0" w:color="auto"/>
        <w:left w:val="none" w:sz="0" w:space="0" w:color="auto"/>
        <w:bottom w:val="none" w:sz="0" w:space="0" w:color="auto"/>
        <w:right w:val="none" w:sz="0" w:space="0" w:color="auto"/>
      </w:divBdr>
      <w:divsChild>
        <w:div w:id="1677421742">
          <w:marLeft w:val="0"/>
          <w:marRight w:val="0"/>
          <w:marTop w:val="0"/>
          <w:marBottom w:val="0"/>
          <w:divBdr>
            <w:top w:val="none" w:sz="0" w:space="0" w:color="auto"/>
            <w:left w:val="none" w:sz="0" w:space="0" w:color="auto"/>
            <w:bottom w:val="none" w:sz="0" w:space="0" w:color="auto"/>
            <w:right w:val="none" w:sz="0" w:space="0" w:color="auto"/>
          </w:divBdr>
          <w:divsChild>
            <w:div w:id="943000833">
              <w:marLeft w:val="0"/>
              <w:marRight w:val="0"/>
              <w:marTop w:val="0"/>
              <w:marBottom w:val="0"/>
              <w:divBdr>
                <w:top w:val="none" w:sz="0" w:space="0" w:color="auto"/>
                <w:left w:val="none" w:sz="0" w:space="0" w:color="auto"/>
                <w:bottom w:val="none" w:sz="0" w:space="0" w:color="auto"/>
                <w:right w:val="none" w:sz="0" w:space="0" w:color="auto"/>
              </w:divBdr>
              <w:divsChild>
                <w:div w:id="784345152">
                  <w:marLeft w:val="0"/>
                  <w:marRight w:val="0"/>
                  <w:marTop w:val="0"/>
                  <w:marBottom w:val="0"/>
                  <w:divBdr>
                    <w:top w:val="none" w:sz="0" w:space="0" w:color="auto"/>
                    <w:left w:val="none" w:sz="0" w:space="0" w:color="auto"/>
                    <w:bottom w:val="none" w:sz="0" w:space="0" w:color="auto"/>
                    <w:right w:val="none" w:sz="0" w:space="0" w:color="auto"/>
                  </w:divBdr>
                  <w:divsChild>
                    <w:div w:id="18898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neep.org/regional-emv-methods-and-savings-assumptions-guidelines-2010" TargetMode="External"/><Relationship Id="rId26" Type="http://schemas.openxmlformats.org/officeDocument/2006/relationships/hyperlink" Target="https://www.google.com/url?sa=t&amp;rct=j&amp;q=&amp;esrc=s&amp;source=web&amp;cd=1&amp;ved=0CB8QFjAA&amp;url=https%3A%2F%2Fwww.pjm.com%2F~%2Fmedia%2Fdocuments%2Fmanuals%2Fm18b.ashx&amp;ei=m9xHVceiEMvJtQXviYDoDw&amp;usg=AFQjCNEQb0Z65Y_2ESjjdAP10sPjZb94Mw&amp;sig2=Ydqecugs2PPnuJTwxmtPIw&amp;bvm=bv.92291466,d.b2w" TargetMode="External"/><Relationship Id="rId39" Type="http://schemas.openxmlformats.org/officeDocument/2006/relationships/hyperlink" Target="http://www.env.state.ma.us/dpu/docs/electric/09-64/12409nstrd2ae.pdf" TargetMode="External"/><Relationship Id="rId21" Type="http://schemas.openxmlformats.org/officeDocument/2006/relationships/hyperlink" Target="http://www.evo-world.org" TargetMode="External"/><Relationship Id="rId34" Type="http://schemas.openxmlformats.org/officeDocument/2006/relationships/hyperlink" Target="http://www.energy.gov/sites/prod/files/2013/11/f5/53827-8.pdf" TargetMode="External"/><Relationship Id="rId42" Type="http://schemas.openxmlformats.org/officeDocument/2006/relationships/hyperlink" Target="http://www.masssave.com" TargetMode="Externa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pa.gov/eeactionplan" TargetMode="External"/><Relationship Id="rId29" Type="http://schemas.openxmlformats.org/officeDocument/2006/relationships/hyperlink" Target="http://www.energy.gov/sites/prod/files/2013/11/f5/53827-8.pdf" TargetMode="External"/><Relationship Id="rId11" Type="http://schemas.openxmlformats.org/officeDocument/2006/relationships/comments" Target="comments.xml"/><Relationship Id="rId24" Type="http://schemas.openxmlformats.org/officeDocument/2006/relationships/hyperlink" Target="http://www.rtf.nwcouncil.org" TargetMode="External"/><Relationship Id="rId32" Type="http://schemas.openxmlformats.org/officeDocument/2006/relationships/hyperlink" Target="http://www.energy.gov/sites/prod/files/2013/11/f5/53827-8.pdf" TargetMode="External"/><Relationship Id="rId37" Type="http://schemas.openxmlformats.org/officeDocument/2006/relationships/hyperlink" Target="http://www.calmac.org/publications/FinalUpstreamLightingEvaluationReport_Vol2_C%20ALMAC.pdf" TargetMode="External"/><Relationship Id="rId40" Type="http://schemas.openxmlformats.org/officeDocument/2006/relationships/hyperlink" Target="http://www.calmac.org/publications/Vol_1_HVAC_Spec_Comm_Report_02-10-10.pdf"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energy.gov/eere/about-us/ump-protocols" TargetMode="External"/><Relationship Id="rId23" Type="http://schemas.openxmlformats.org/officeDocument/2006/relationships/hyperlink" Target="http://www.ashrae.org" TargetMode="External"/><Relationship Id="rId28" Type="http://schemas.openxmlformats.org/officeDocument/2006/relationships/hyperlink" Target="http://www.energy.gov/sites/prod/files/2013/11/f5/53827-8.pdf" TargetMode="External"/><Relationship Id="rId36" Type="http://schemas.openxmlformats.org/officeDocument/2006/relationships/hyperlink" Target="http://www.energy.gov/sites/prod/files/2015/02/f19/UMPChapter21-residential-lighting-evaluation-protocol.pdf" TargetMode="External"/><Relationship Id="rId49"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hyperlink" Target="http://www.calmac.org/publications/EvaluatorsProtocols%5FFinal%5FAdoptedviaRuling%5F06%2D19%2D2006%2Epdf" TargetMode="External"/><Relationship Id="rId31" Type="http://schemas.openxmlformats.org/officeDocument/2006/relationships/hyperlink" Target="http://www.energy.gov/sites/prod/files/2013/11/f5/53827-8.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yperlink" Target="http://www.mnv.lbl.gov/keyMnVDocs" TargetMode="External"/><Relationship Id="rId27" Type="http://schemas.openxmlformats.org/officeDocument/2006/relationships/footer" Target="footer4.xml"/><Relationship Id="rId30" Type="http://schemas.openxmlformats.org/officeDocument/2006/relationships/hyperlink" Target="https://www4.eere.energy.gov/seeaction/evaluation-measurement-and-verification-resource-portal" TargetMode="External"/><Relationship Id="rId35" Type="http://schemas.openxmlformats.org/officeDocument/2006/relationships/hyperlink" Target="http://eetd.lbl.gov/sites/all/files/publications/behavior-based-emv.pdf" TargetMode="External"/><Relationship Id="rId43" Type="http://schemas.openxmlformats.org/officeDocument/2006/relationships/hyperlink" Target="http://www.energy.gov/sites/prod/files/2014/10/f18/Chapter%2014--Chiller%20Evaluation%20Protocol.pdf" TargetMode="External"/><Relationship Id="rId48"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yperlink" Target="http://www.epa.gov/airquality/eere/pdfs/EEREmanual.pdf" TargetMode="External"/><Relationship Id="rId25" Type="http://schemas.openxmlformats.org/officeDocument/2006/relationships/hyperlink" Target="http://www.iso-ne.com/participate/rules-procedures/manuals" TargetMode="External"/><Relationship Id="rId33" Type="http://schemas.openxmlformats.org/officeDocument/2006/relationships/hyperlink" Target="http://www.energy.gov/sites/prod/files/2013/11/f5/53827-8.pdf" TargetMode="External"/><Relationship Id="rId38" Type="http://schemas.openxmlformats.org/officeDocument/2006/relationships/hyperlink" Target="http://www.ilsag.info/comed_eval_reports.html" TargetMode="External"/><Relationship Id="rId46" Type="http://schemas.openxmlformats.org/officeDocument/2006/relationships/theme" Target="theme/theme1.xml"/><Relationship Id="rId20" Type="http://schemas.openxmlformats.org/officeDocument/2006/relationships/hyperlink" Target="http://www.calmac.org/publications/California%5FEvaluation%5FFramework%5FJune%5F2004%2Epdf" TargetMode="External"/><Relationship Id="rId41" Type="http://schemas.openxmlformats.org/officeDocument/2006/relationships/hyperlink" Target="http://www1.eere.energy.gov/femp/pdfs/mv_guideline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energycodes.gov/status-state-energy-code-adoption" TargetMode="External"/><Relationship Id="rId13" Type="http://schemas.openxmlformats.org/officeDocument/2006/relationships/hyperlink" Target="http://www.appliance-standards.org/standard-basics-DOE-state-legislature-product-requirements" TargetMode="External"/><Relationship Id="rId18" Type="http://schemas.openxmlformats.org/officeDocument/2006/relationships/hyperlink" Target="http://energy.gov/sites/prod/files/2014/10/f18/Chapter%2014--Chiller%20Evaluation%20Protocol.pdf" TargetMode="External"/><Relationship Id="rId3" Type="http://schemas.openxmlformats.org/officeDocument/2006/relationships/hyperlink" Target="http://www.energy.gov/eere/about-us/ump-protocols" TargetMode="External"/><Relationship Id="rId7" Type="http://schemas.openxmlformats.org/officeDocument/2006/relationships/hyperlink" Target="http://www.library.cee1.org/sites/default/files/library/12193/CEE_2014_Annual_Industry_Report.pdf" TargetMode="External"/><Relationship Id="rId12" Type="http://schemas.openxmlformats.org/officeDocument/2006/relationships/hyperlink" Target="http://www.energy.gov/eere/buildings/appliance-and-equipment-standards-program" TargetMode="External"/><Relationship Id="rId17" Type="http://schemas.openxmlformats.org/officeDocument/2006/relationships/hyperlink" Target="http://www.deeresources.com" TargetMode="External"/><Relationship Id="rId2" Type="http://schemas.openxmlformats.org/officeDocument/2006/relationships/hyperlink" Target="http://www2.epa.gov/cleanpowerplan" TargetMode="External"/><Relationship Id="rId16" Type="http://schemas.openxmlformats.org/officeDocument/2006/relationships/hyperlink" Target="http://www.dps.ny.gov/TechManualNYRevised10-15-10.pdf" TargetMode="External"/><Relationship Id="rId1" Type="http://schemas.openxmlformats.org/officeDocument/2006/relationships/hyperlink" Target="https://www4.eere.energy.gov/seeaction/evaluation-measurement-and-verification-resource-portal" TargetMode="External"/><Relationship Id="rId6" Type="http://schemas.openxmlformats.org/officeDocument/2006/relationships/hyperlink" Target="http://www.energy.gov/sites/prod/files/2013/11/f5/53827-11.pdf" TargetMode="External"/><Relationship Id="rId11" Type="http://schemas.openxmlformats.org/officeDocument/2006/relationships/hyperlink" Target="http://www.appliance-standards.org/federal" TargetMode="External"/><Relationship Id="rId5" Type="http://schemas.openxmlformats.org/officeDocument/2006/relationships/hyperlink" Target="http://www.energy.gov/sites/prod/files/2013/11/f5/53827-11.pdf" TargetMode="External"/><Relationship Id="rId15" Type="http://schemas.openxmlformats.org/officeDocument/2006/relationships/hyperlink" Target="http://www.ma-eeac.org/index.htm" TargetMode="External"/><Relationship Id="rId10" Type="http://schemas.openxmlformats.org/officeDocument/2006/relationships/hyperlink" Target="http://www.energycodes.gov/compliance/evaluation" TargetMode="External"/><Relationship Id="rId4" Type="http://schemas.openxmlformats.org/officeDocument/2006/relationships/hyperlink" Target="http://www.seeaction.energy.gov" TargetMode="External"/><Relationship Id="rId9" Type="http://schemas.openxmlformats.org/officeDocument/2006/relationships/hyperlink" Target="http://www.energycodes.gov/resource-center" TargetMode="External"/><Relationship Id="rId14" Type="http://schemas.openxmlformats.org/officeDocument/2006/relationships/hyperlink" Target="http://www.appliance-standards.org/stat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10F8BBD51855A4A99A6A45DD1F00FCD" ma:contentTypeVersion="11" ma:contentTypeDescription="Create a new document." ma:contentTypeScope="" ma:versionID="2af04eb9371e8af5ae284ac8ad2d29e3">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dfc7f89-361c-4da3-9eb1-c903ad39280a" xmlns:ns6="4ac6f653-1ec0-4368-b61c-4ecc36cd00bb" targetNamespace="http://schemas.microsoft.com/office/2006/metadata/properties" ma:root="true" ma:fieldsID="7364ebd1c60adb729c1df89b86ccf2c5" ns1:_="" ns2:_="" ns3:_="" ns4:_="" ns5:_="" ns6:_="">
    <xsd:import namespace="http://schemas.microsoft.com/sharepoint/v3"/>
    <xsd:import namespace="4ffa91fb-a0ff-4ac5-b2db-65c790d184a4"/>
    <xsd:import namespace="http://schemas.microsoft.com/sharepoint.v3"/>
    <xsd:import namespace="http://schemas.microsoft.com/sharepoint/v3/fields"/>
    <xsd:import namespace="fdfc7f89-361c-4da3-9eb1-c903ad39280a"/>
    <xsd:import namespace="4ac6f653-1ec0-4368-b61c-4ecc36cd00bb"/>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6:Status" minOccurs="0"/>
                <xsd:element ref="ns6:Uploaded"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fc7f89-361c-4da3-9eb1-c903ad39280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c6f653-1ec0-4368-b61c-4ecc36cd00bb" elementFormDefault="qualified">
    <xsd:import namespace="http://schemas.microsoft.com/office/2006/documentManagement/types"/>
    <xsd:import namespace="http://schemas.microsoft.com/office/infopath/2007/PartnerControls"/>
    <xsd:element name="Status" ma:index="30" nillable="true" ma:displayName="Status" ma:default="Final" ma:format="Dropdown" ma:internalName="Status">
      <xsd:simpleType>
        <xsd:restriction base="dms:Choice">
          <xsd:enumeration value="Final"/>
          <xsd:enumeration value="Draft"/>
        </xsd:restriction>
      </xsd:simpleType>
    </xsd:element>
    <xsd:element name="Uploaded" ma:index="31" nillable="true" ma:displayName="Uploaded" ma:default="0" ma:internalName="Upload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Status xmlns="4ac6f653-1ec0-4368-b61c-4ecc36cd00bb">Final</Status>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Uploaded xmlns="4ac6f653-1ec0-4368-b61c-4ecc36cd00bb">false</Uploaded>
    <Record xmlns="4ffa91fb-a0ff-4ac5-b2db-65c790d184a4">Shared</Record>
    <Rights xmlns="4ffa91fb-a0ff-4ac5-b2db-65c790d184a4" xsi:nil="true"/>
    <Document_x0020_Creation_x0020_Date xmlns="4ffa91fb-a0ff-4ac5-b2db-65c790d184a4">2015-08-03T01:12:58+00:00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5B717B07-2BE1-4295-9568-D0F66EF2DBB5}"/>
</file>

<file path=customXml/itemProps2.xml><?xml version="1.0" encoding="utf-8"?>
<ds:datastoreItem xmlns:ds="http://schemas.openxmlformats.org/officeDocument/2006/customXml" ds:itemID="{9576A76F-0CAF-4470-9C73-F9D9D7D24BF6}"/>
</file>

<file path=customXml/itemProps3.xml><?xml version="1.0" encoding="utf-8"?>
<ds:datastoreItem xmlns:ds="http://schemas.openxmlformats.org/officeDocument/2006/customXml" ds:itemID="{5C76073E-718C-41A4-A290-5BB22BD2E16A}"/>
</file>

<file path=customXml/itemProps4.xml><?xml version="1.0" encoding="utf-8"?>
<ds:datastoreItem xmlns:ds="http://schemas.openxmlformats.org/officeDocument/2006/customXml" ds:itemID="{6E3D3959-EB40-4885-9940-D0AC82237590}"/>
</file>

<file path=customXml/itemProps5.xml><?xml version="1.0" encoding="utf-8"?>
<ds:datastoreItem xmlns:ds="http://schemas.openxmlformats.org/officeDocument/2006/customXml" ds:itemID="{1E6D4121-E978-428C-B880-2756668778CE}"/>
</file>

<file path=docProps/app.xml><?xml version="1.0" encoding="utf-8"?>
<Properties xmlns="http://schemas.openxmlformats.org/officeDocument/2006/extended-properties" xmlns:vt="http://schemas.openxmlformats.org/officeDocument/2006/docPropsVTypes">
  <Template>Normal.dotm</Template>
  <TotalTime>1685</TotalTime>
  <Pages>72</Pages>
  <Words>23185</Words>
  <Characters>132159</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155034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Schiller</dc:creator>
  <cp:lastModifiedBy>Dietsch, Nikolaas</cp:lastModifiedBy>
  <cp:revision>24</cp:revision>
  <cp:lastPrinted>2015-07-16T17:06:00Z</cp:lastPrinted>
  <dcterms:created xsi:type="dcterms:W3CDTF">2015-08-01T15:20:00Z</dcterms:created>
  <dcterms:modified xsi:type="dcterms:W3CDTF">2015-08-02T19:29:00Z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0x010100510F8BBD51855A4A99A6A45DD1F00FCD</vt:lpwstr>
  </property>
</Properties>
</file>