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3BC863D" w14:textId="072636BF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5A6336" w:rsidRPr="0076699D">
        <w:rPr>
          <w:rFonts w:asciiTheme="minorHAnsi" w:hAnsiTheme="minorHAnsi" w:cstheme="minorHAnsi"/>
          <w:bCs/>
          <w:caps/>
          <w:sz w:val="22"/>
          <w:szCs w:val="22"/>
        </w:rPr>
        <w:t>0</w:t>
      </w:r>
      <w:r w:rsidR="009A209D">
        <w:rPr>
          <w:rFonts w:asciiTheme="minorHAnsi" w:hAnsiTheme="minorHAnsi" w:cstheme="minorHAnsi"/>
          <w:sz w:val="22"/>
          <w:szCs w:val="22"/>
        </w:rPr>
        <w:t>5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9A209D">
        <w:rPr>
          <w:rFonts w:asciiTheme="minorHAnsi" w:hAnsiTheme="minorHAnsi" w:cstheme="minorHAnsi"/>
          <w:sz w:val="22"/>
          <w:szCs w:val="22"/>
        </w:rPr>
        <w:t>28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48BAC6D5" w14:textId="63B5FCFE" w:rsidR="00566DD2" w:rsidRPr="001237D3" w:rsidRDefault="00566DD2" w:rsidP="004103CF">
      <w:pPr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2EC1B43E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9A209D">
        <w:rPr>
          <w:rFonts w:asciiTheme="minorHAnsi" w:hAnsiTheme="minorHAnsi" w:cstheme="minorHAnsi"/>
          <w:bCs/>
          <w:sz w:val="22"/>
          <w:szCs w:val="22"/>
        </w:rPr>
        <w:t>Western Electricity Coordinating Council</w:t>
      </w:r>
      <w:r w:rsidR="003B63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6336">
        <w:rPr>
          <w:rFonts w:asciiTheme="minorHAnsi" w:hAnsiTheme="minorHAnsi" w:cstheme="minorHAnsi"/>
          <w:sz w:val="22"/>
          <w:szCs w:val="22"/>
        </w:rPr>
        <w:t>on 0</w:t>
      </w:r>
      <w:r w:rsidR="009A209D">
        <w:rPr>
          <w:rFonts w:asciiTheme="minorHAnsi" w:hAnsiTheme="minorHAnsi" w:cstheme="minorHAnsi"/>
          <w:sz w:val="22"/>
          <w:szCs w:val="22"/>
        </w:rPr>
        <w:t>5</w:t>
      </w:r>
      <w:r w:rsidR="008C400D">
        <w:rPr>
          <w:rFonts w:asciiTheme="minorHAnsi" w:hAnsiTheme="minorHAnsi" w:cstheme="minorHAnsi"/>
          <w:sz w:val="22"/>
          <w:szCs w:val="22"/>
        </w:rPr>
        <w:t>/</w:t>
      </w:r>
      <w:r w:rsidR="009A209D">
        <w:rPr>
          <w:rFonts w:asciiTheme="minorHAnsi" w:hAnsiTheme="minorHAnsi" w:cstheme="minorHAnsi"/>
          <w:sz w:val="22"/>
          <w:szCs w:val="22"/>
        </w:rPr>
        <w:t>27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62F9AC5B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505C5135" w:rsidR="00566DD2" w:rsidRPr="00CE68AE" w:rsidRDefault="009A209D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Callie Videtich, Carl Daly, and </w:t>
      </w:r>
      <w:r w:rsidR="0057798A">
        <w:rPr>
          <w:rFonts w:asciiTheme="minorHAnsi" w:hAnsiTheme="minorHAnsi" w:cstheme="minorHAnsi"/>
          <w:sz w:val="22"/>
          <w:szCs w:val="22"/>
        </w:rPr>
        <w:t xml:space="preserve">Laura Farris </w:t>
      </w:r>
      <w:r>
        <w:rPr>
          <w:rFonts w:asciiTheme="minorHAnsi" w:hAnsiTheme="minorHAnsi" w:cstheme="minorHAnsi"/>
          <w:sz w:val="22"/>
          <w:szCs w:val="22"/>
        </w:rPr>
        <w:t xml:space="preserve">from EPA Region 8 </w:t>
      </w:r>
      <w:r w:rsidR="0057798A">
        <w:rPr>
          <w:rFonts w:asciiTheme="minorHAnsi" w:hAnsiTheme="minorHAnsi" w:cstheme="minorHAnsi"/>
          <w:sz w:val="22"/>
          <w:szCs w:val="22"/>
        </w:rPr>
        <w:t xml:space="preserve">participated </w:t>
      </w:r>
      <w:r w:rsidR="0053087E">
        <w:rPr>
          <w:rFonts w:asciiTheme="minorHAnsi" w:hAnsiTheme="minorHAnsi" w:cstheme="minorHAnsi"/>
          <w:sz w:val="22"/>
          <w:szCs w:val="22"/>
        </w:rPr>
        <w:t>in a meeting</w:t>
      </w:r>
      <w:r w:rsidR="0057798A">
        <w:rPr>
          <w:rFonts w:asciiTheme="minorHAnsi" w:hAnsiTheme="minorHAnsi" w:cstheme="minorHAnsi"/>
          <w:sz w:val="22"/>
          <w:szCs w:val="22"/>
        </w:rPr>
        <w:t xml:space="preserve"> on 0</w:t>
      </w:r>
      <w:r>
        <w:rPr>
          <w:rFonts w:asciiTheme="minorHAnsi" w:hAnsiTheme="minorHAnsi" w:cstheme="minorHAnsi"/>
          <w:sz w:val="22"/>
          <w:szCs w:val="22"/>
        </w:rPr>
        <w:t>5</w:t>
      </w:r>
      <w:r w:rsidR="002E5B59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27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  <w:r w:rsidR="002E5B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with the Western Electricity Coordinating Council </w:t>
      </w:r>
      <w:r w:rsidR="00F6476B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4B00BB">
        <w:rPr>
          <w:rFonts w:asciiTheme="minorHAnsi" w:hAnsiTheme="minorHAnsi" w:cstheme="minorHAnsi"/>
          <w:sz w:val="22"/>
          <w:szCs w:val="22"/>
        </w:rPr>
        <w:t xml:space="preserve">the </w:t>
      </w:r>
      <w:r w:rsidR="00884705" w:rsidRPr="00CE68AE">
        <w:rPr>
          <w:rFonts w:asciiTheme="minorHAnsi" w:hAnsiTheme="minorHAnsi" w:cstheme="minorHAnsi"/>
          <w:sz w:val="22"/>
          <w:szCs w:val="22"/>
        </w:rPr>
        <w:t>Clean Power Plan</w:t>
      </w:r>
      <w:r w:rsidR="002E5B59">
        <w:rPr>
          <w:rFonts w:asciiTheme="minorHAnsi" w:hAnsiTheme="minorHAnsi" w:cstheme="minorHAnsi"/>
          <w:sz w:val="22"/>
          <w:szCs w:val="22"/>
        </w:rPr>
        <w:t xml:space="preserve">. The meeting was held in </w:t>
      </w:r>
      <w:r>
        <w:rPr>
          <w:rFonts w:asciiTheme="minorHAnsi" w:hAnsiTheme="minorHAnsi" w:cstheme="minorHAnsi"/>
          <w:sz w:val="22"/>
          <w:szCs w:val="22"/>
        </w:rPr>
        <w:t>Salt Lake City</w:t>
      </w:r>
      <w:r w:rsidR="005505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Utah</w:t>
      </w:r>
      <w:r w:rsidR="005A6336">
        <w:rPr>
          <w:rFonts w:asciiTheme="minorHAnsi" w:hAnsiTheme="minorHAnsi" w:cstheme="minorHAnsi"/>
          <w:sz w:val="22"/>
          <w:szCs w:val="22"/>
        </w:rPr>
        <w:t>.</w:t>
      </w:r>
      <w:r w:rsidR="008C400D">
        <w:rPr>
          <w:rFonts w:asciiTheme="minorHAnsi" w:hAnsiTheme="minorHAnsi" w:cstheme="minorHAnsi"/>
          <w:sz w:val="22"/>
          <w:szCs w:val="22"/>
        </w:rPr>
        <w:t xml:space="preserve">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The 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Clean Power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Plan was proposed on </w:t>
      </w:r>
      <w:r w:rsidR="00BA717E" w:rsidRPr="00CE68AE">
        <w:rPr>
          <w:rFonts w:asciiTheme="minorHAnsi" w:hAnsiTheme="minorHAnsi" w:cstheme="minorHAnsi"/>
          <w:sz w:val="22"/>
          <w:szCs w:val="22"/>
        </w:rPr>
        <w:t xml:space="preserve">June 2, 2014. </w:t>
      </w:r>
    </w:p>
    <w:p w14:paraId="02B1468C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38236752" w:rsidR="00566DD2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</w:p>
    <w:p w14:paraId="798D2DCF" w14:textId="413F77DA" w:rsidR="009A209D" w:rsidRPr="009A209D" w:rsidRDefault="009A209D" w:rsidP="004103CF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Callie Videtich, EPA Region 8</w:t>
      </w:r>
    </w:p>
    <w:p w14:paraId="7EE08BA0" w14:textId="0BBBFDDB" w:rsidR="00FC3746" w:rsidRDefault="00FC3746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Kate Kelly, EPA Region 10</w:t>
      </w:r>
    </w:p>
    <w:p w14:paraId="07596673" w14:textId="46067740" w:rsidR="00FC3746" w:rsidRDefault="00FC3746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Deborah Jordan, EPA Region 9</w:t>
      </w:r>
    </w:p>
    <w:p w14:paraId="1889A786" w14:textId="73EC8F1A" w:rsidR="009A209D" w:rsidRDefault="009A209D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Carl Daly, EPA Region 8</w:t>
      </w:r>
    </w:p>
    <w:p w14:paraId="0119B10A" w14:textId="51A9777E" w:rsidR="00FC3746" w:rsidRDefault="00FC3746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Anita Lee, EPA Region 9</w:t>
      </w:r>
    </w:p>
    <w:p w14:paraId="3AE5AF7A" w14:textId="6BEE76E2" w:rsidR="009A209D" w:rsidRDefault="009A209D" w:rsidP="009A209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Farris, EPA Region 8</w:t>
      </w:r>
    </w:p>
    <w:p w14:paraId="6630F2D4" w14:textId="77777777" w:rsidR="00FC3746" w:rsidRDefault="00FC3746" w:rsidP="00FC3746">
      <w:pPr>
        <w:rPr>
          <w:rFonts w:asciiTheme="minorHAnsi" w:hAnsiTheme="minorHAnsi" w:cstheme="minorHAnsi"/>
          <w:b/>
          <w:sz w:val="22"/>
          <w:szCs w:val="22"/>
        </w:rPr>
      </w:pPr>
    </w:p>
    <w:p w14:paraId="7596381A" w14:textId="16005F72" w:rsidR="00226461" w:rsidRDefault="00226461" w:rsidP="009A209D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Western Electricity Coordinating Council</w:t>
      </w:r>
    </w:p>
    <w:p w14:paraId="5761B077" w14:textId="4816611E" w:rsidR="003B6388" w:rsidRDefault="00FC3746" w:rsidP="005308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James Robb, Chief Executive Officer</w:t>
      </w:r>
    </w:p>
    <w:p w14:paraId="2EC148E6" w14:textId="6B1E00E0" w:rsidR="00FC3746" w:rsidRDefault="00FC3746" w:rsidP="005308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Steven Goodwill, Vice President, General Counsel &amp; Secretary</w:t>
      </w:r>
    </w:p>
    <w:p w14:paraId="0156699B" w14:textId="419A4D18" w:rsidR="00FC3746" w:rsidRDefault="00FC3746" w:rsidP="005308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Melanie Frye, Vice President of Reliability Planning &amp; Performance Analysis</w:t>
      </w:r>
    </w:p>
    <w:p w14:paraId="2189E170" w14:textId="1DC27F5C" w:rsidR="00FC3746" w:rsidRDefault="00FC3746" w:rsidP="005308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Byron </w:t>
      </w:r>
      <w:proofErr w:type="spellStart"/>
      <w:r>
        <w:rPr>
          <w:rFonts w:asciiTheme="minorHAnsi" w:hAnsiTheme="minorHAnsi" w:cstheme="minorHAnsi"/>
          <w:sz w:val="22"/>
          <w:szCs w:val="22"/>
        </w:rPr>
        <w:t>Woertz</w:t>
      </w:r>
      <w:proofErr w:type="spellEnd"/>
      <w:r>
        <w:rPr>
          <w:rFonts w:asciiTheme="minorHAnsi" w:hAnsiTheme="minorHAnsi" w:cstheme="minorHAnsi"/>
          <w:sz w:val="22"/>
          <w:szCs w:val="22"/>
        </w:rPr>
        <w:t>, Senior Project Manager</w:t>
      </w:r>
    </w:p>
    <w:p w14:paraId="419F77C4" w14:textId="19EB3E01" w:rsidR="00FC3746" w:rsidRPr="003B6388" w:rsidRDefault="00FC3746" w:rsidP="0053087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Vijay </w:t>
      </w:r>
      <w:proofErr w:type="spellStart"/>
      <w:r>
        <w:rPr>
          <w:rFonts w:asciiTheme="minorHAnsi" w:hAnsiTheme="minorHAnsi" w:cstheme="minorHAnsi"/>
          <w:sz w:val="22"/>
          <w:szCs w:val="22"/>
        </w:rPr>
        <w:t>Satyal</w:t>
      </w:r>
      <w:proofErr w:type="spellEnd"/>
      <w:r>
        <w:rPr>
          <w:rFonts w:asciiTheme="minorHAnsi" w:hAnsiTheme="minorHAnsi" w:cstheme="minorHAnsi"/>
          <w:sz w:val="22"/>
          <w:szCs w:val="22"/>
        </w:rPr>
        <w:t>, Sr. Energy Policy Analyst</w:t>
      </w:r>
      <w:bookmarkStart w:id="0" w:name="_GoBack"/>
      <w:bookmarkEnd w:id="0"/>
    </w:p>
    <w:sectPr w:rsidR="00FC3746" w:rsidRPr="003B6388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0F789B"/>
    <w:rsid w:val="001237D3"/>
    <w:rsid w:val="001E0F71"/>
    <w:rsid w:val="00225A04"/>
    <w:rsid w:val="00226461"/>
    <w:rsid w:val="00243FFE"/>
    <w:rsid w:val="00272126"/>
    <w:rsid w:val="002E5B59"/>
    <w:rsid w:val="002F7185"/>
    <w:rsid w:val="00326181"/>
    <w:rsid w:val="0034141E"/>
    <w:rsid w:val="003A7375"/>
    <w:rsid w:val="003B6388"/>
    <w:rsid w:val="004103CF"/>
    <w:rsid w:val="00467692"/>
    <w:rsid w:val="00484362"/>
    <w:rsid w:val="004A5A59"/>
    <w:rsid w:val="004B00BB"/>
    <w:rsid w:val="004E4A8D"/>
    <w:rsid w:val="00502205"/>
    <w:rsid w:val="00510ED7"/>
    <w:rsid w:val="0053087E"/>
    <w:rsid w:val="00532A96"/>
    <w:rsid w:val="00550550"/>
    <w:rsid w:val="00560416"/>
    <w:rsid w:val="00566DD2"/>
    <w:rsid w:val="0057665A"/>
    <w:rsid w:val="0057798A"/>
    <w:rsid w:val="00583D9D"/>
    <w:rsid w:val="00590AD2"/>
    <w:rsid w:val="00591AC9"/>
    <w:rsid w:val="005A1CDA"/>
    <w:rsid w:val="005A231D"/>
    <w:rsid w:val="005A6336"/>
    <w:rsid w:val="005C66B0"/>
    <w:rsid w:val="005E5ECD"/>
    <w:rsid w:val="006228C3"/>
    <w:rsid w:val="00626E11"/>
    <w:rsid w:val="006A284D"/>
    <w:rsid w:val="006C52E6"/>
    <w:rsid w:val="006F1432"/>
    <w:rsid w:val="007359A5"/>
    <w:rsid w:val="00744654"/>
    <w:rsid w:val="00765ADC"/>
    <w:rsid w:val="0076699D"/>
    <w:rsid w:val="00797C92"/>
    <w:rsid w:val="007A56AE"/>
    <w:rsid w:val="007C2B77"/>
    <w:rsid w:val="00814273"/>
    <w:rsid w:val="008159E8"/>
    <w:rsid w:val="00822B0C"/>
    <w:rsid w:val="00831F2E"/>
    <w:rsid w:val="00884705"/>
    <w:rsid w:val="008C400D"/>
    <w:rsid w:val="008E3453"/>
    <w:rsid w:val="0090449F"/>
    <w:rsid w:val="009212C5"/>
    <w:rsid w:val="00922C78"/>
    <w:rsid w:val="009A209D"/>
    <w:rsid w:val="009B31B2"/>
    <w:rsid w:val="009C3FCF"/>
    <w:rsid w:val="009E1E36"/>
    <w:rsid w:val="00A06DC0"/>
    <w:rsid w:val="00A15BDA"/>
    <w:rsid w:val="00A40D0B"/>
    <w:rsid w:val="00A8712E"/>
    <w:rsid w:val="00AA032F"/>
    <w:rsid w:val="00AC5046"/>
    <w:rsid w:val="00AE3E92"/>
    <w:rsid w:val="00B14241"/>
    <w:rsid w:val="00BA717E"/>
    <w:rsid w:val="00BC55F9"/>
    <w:rsid w:val="00BE1071"/>
    <w:rsid w:val="00BE27E3"/>
    <w:rsid w:val="00C10C43"/>
    <w:rsid w:val="00C22E85"/>
    <w:rsid w:val="00C23950"/>
    <w:rsid w:val="00C305FE"/>
    <w:rsid w:val="00C4578D"/>
    <w:rsid w:val="00C6732D"/>
    <w:rsid w:val="00CB0ADE"/>
    <w:rsid w:val="00CE68AE"/>
    <w:rsid w:val="00D438BA"/>
    <w:rsid w:val="00DC06DE"/>
    <w:rsid w:val="00E23F76"/>
    <w:rsid w:val="00E3658C"/>
    <w:rsid w:val="00E657D0"/>
    <w:rsid w:val="00E764D4"/>
    <w:rsid w:val="00E77A35"/>
    <w:rsid w:val="00F00347"/>
    <w:rsid w:val="00F00BE9"/>
    <w:rsid w:val="00F04E4E"/>
    <w:rsid w:val="00F10629"/>
    <w:rsid w:val="00F6476B"/>
    <w:rsid w:val="00F87E7A"/>
    <w:rsid w:val="00FB796C"/>
    <w:rsid w:val="00FC10B2"/>
    <w:rsid w:val="00FC3746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61781A60-0D26-40AF-9092-5632179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5ADC"/>
    <w:rPr>
      <w:color w:val="00004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046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046"/>
    <w:rPr>
      <w:rFonts w:ascii="Calibri" w:hAnsi="Calibri" w:cstheme="minorBidi"/>
      <w:sz w:val="22"/>
      <w:szCs w:val="21"/>
    </w:rPr>
  </w:style>
  <w:style w:type="character" w:customStyle="1" w:styleId="st">
    <w:name w:val="st"/>
    <w:basedOn w:val="DefaultParagraphFont"/>
    <w:rsid w:val="003B6388"/>
  </w:style>
  <w:style w:type="table" w:styleId="TableGrid">
    <w:name w:val="Table Grid"/>
    <w:basedOn w:val="TableNormal"/>
    <w:uiPriority w:val="59"/>
    <w:rsid w:val="00F6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ECD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Aumann, Ethan</cp:lastModifiedBy>
  <cp:revision>7</cp:revision>
  <dcterms:created xsi:type="dcterms:W3CDTF">2015-07-30T17:38:00Z</dcterms:created>
  <dcterms:modified xsi:type="dcterms:W3CDTF">2015-07-30T18:52:00Z</dcterms:modified>
</cp:coreProperties>
</file>