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605A6" w14:textId="4BCCA20D" w:rsidR="00073F7C" w:rsidRPr="00111AFF" w:rsidRDefault="00073F7C" w:rsidP="00736936">
      <w:pPr>
        <w:pStyle w:val="ListParagraph"/>
        <w:ind w:left="1440"/>
        <w:rPr>
          <w:rFonts w:ascii="Times New Roman" w:eastAsia="Times New Roman" w:hAnsi="Times New Roman" w:cs="Times New Roman"/>
          <w:sz w:val="24"/>
          <w:szCs w:val="24"/>
        </w:rPr>
      </w:pPr>
    </w:p>
    <w:p w14:paraId="04719B7A" w14:textId="3C994E99" w:rsidR="00073F7C" w:rsidRPr="00111AFF" w:rsidRDefault="00073F7C" w:rsidP="00073F7C">
      <w:pPr>
        <w:jc w:val="center"/>
        <w:rPr>
          <w:rFonts w:ascii="Times New Roman" w:eastAsia="Times New Roman" w:hAnsi="Times New Roman" w:cs="Times New Roman"/>
          <w:sz w:val="24"/>
          <w:szCs w:val="24"/>
        </w:rPr>
      </w:pPr>
      <w:r w:rsidRPr="00111AFF">
        <w:rPr>
          <w:rFonts w:ascii="Times New Roman" w:eastAsia="Times New Roman" w:hAnsi="Times New Roman" w:cs="Times New Roman"/>
          <w:sz w:val="24"/>
          <w:szCs w:val="24"/>
        </w:rPr>
        <w:t>Technical Support Document (TSD)</w:t>
      </w:r>
    </w:p>
    <w:p w14:paraId="60692AE8" w14:textId="40CF97C7" w:rsidR="00073F7C" w:rsidRPr="00111AFF" w:rsidRDefault="00073F7C" w:rsidP="00073F7C">
      <w:pPr>
        <w:jc w:val="center"/>
        <w:rPr>
          <w:rFonts w:ascii="Times New Roman" w:eastAsia="Times New Roman" w:hAnsi="Times New Roman" w:cs="Times New Roman"/>
          <w:sz w:val="24"/>
          <w:szCs w:val="24"/>
        </w:rPr>
      </w:pPr>
      <w:r w:rsidRPr="00111AFF">
        <w:rPr>
          <w:rFonts w:ascii="Times New Roman" w:eastAsia="Times New Roman" w:hAnsi="Times New Roman" w:cs="Times New Roman"/>
          <w:sz w:val="24"/>
          <w:szCs w:val="24"/>
        </w:rPr>
        <w:t>Carbon Pollution Emission Gu</w:t>
      </w:r>
      <w:bookmarkStart w:id="0" w:name="_GoBack"/>
      <w:bookmarkEnd w:id="0"/>
      <w:r w:rsidRPr="00111AFF">
        <w:rPr>
          <w:rFonts w:ascii="Times New Roman" w:eastAsia="Times New Roman" w:hAnsi="Times New Roman" w:cs="Times New Roman"/>
          <w:sz w:val="24"/>
          <w:szCs w:val="24"/>
        </w:rPr>
        <w:t>idelines for Existing Stationary Sources: Electricity Utility</w:t>
      </w:r>
      <w:r w:rsidR="00111AFF" w:rsidRPr="00111AFF">
        <w:rPr>
          <w:rFonts w:ascii="Times New Roman" w:eastAsia="Times New Roman" w:hAnsi="Times New Roman" w:cs="Times New Roman"/>
          <w:sz w:val="24"/>
          <w:szCs w:val="24"/>
        </w:rPr>
        <w:t xml:space="preserve"> Generating Units</w:t>
      </w:r>
    </w:p>
    <w:p w14:paraId="334EB825" w14:textId="77777777" w:rsidR="00073F7C" w:rsidRPr="00111AFF" w:rsidRDefault="00073F7C" w:rsidP="00073F7C">
      <w:pPr>
        <w:jc w:val="center"/>
        <w:rPr>
          <w:rFonts w:ascii="Times New Roman" w:eastAsia="Times New Roman" w:hAnsi="Times New Roman" w:cs="Times New Roman"/>
          <w:sz w:val="24"/>
          <w:szCs w:val="24"/>
        </w:rPr>
      </w:pPr>
    </w:p>
    <w:p w14:paraId="4E0B7108" w14:textId="43447588" w:rsidR="00073F7C" w:rsidRPr="00111AFF" w:rsidRDefault="00111AFF" w:rsidP="00111AFF">
      <w:pPr>
        <w:jc w:val="center"/>
        <w:rPr>
          <w:rFonts w:ascii="Times New Roman" w:eastAsia="Times New Roman" w:hAnsi="Times New Roman" w:cs="Times New Roman"/>
          <w:sz w:val="24"/>
          <w:szCs w:val="24"/>
        </w:rPr>
      </w:pPr>
      <w:r w:rsidRPr="00111AFF">
        <w:rPr>
          <w:rFonts w:ascii="Times New Roman" w:eastAsia="Times New Roman" w:hAnsi="Times New Roman" w:cs="Times New Roman"/>
          <w:sz w:val="24"/>
          <w:szCs w:val="24"/>
        </w:rPr>
        <w:t>Docket ID No. EPA-HQ</w:t>
      </w:r>
      <w:r w:rsidR="0061507D">
        <w:rPr>
          <w:rFonts w:ascii="Times New Roman" w:eastAsia="Times New Roman" w:hAnsi="Times New Roman" w:cs="Times New Roman"/>
          <w:sz w:val="24"/>
          <w:szCs w:val="24"/>
        </w:rPr>
        <w:t>-</w:t>
      </w:r>
      <w:r w:rsidRPr="00111AFF">
        <w:rPr>
          <w:rFonts w:ascii="Times New Roman" w:eastAsia="Times New Roman" w:hAnsi="Times New Roman" w:cs="Times New Roman"/>
          <w:sz w:val="24"/>
          <w:szCs w:val="24"/>
        </w:rPr>
        <w:t>OAR-2013-0602</w:t>
      </w:r>
    </w:p>
    <w:p w14:paraId="27FC18B3" w14:textId="77777777" w:rsidR="00073F7C" w:rsidRDefault="00073F7C">
      <w:pPr>
        <w:rPr>
          <w:rFonts w:ascii="Times New Roman" w:eastAsia="Times New Roman" w:hAnsi="Times New Roman" w:cs="Times New Roman"/>
          <w:b/>
          <w:sz w:val="24"/>
          <w:szCs w:val="24"/>
        </w:rPr>
      </w:pPr>
    </w:p>
    <w:p w14:paraId="0D4C47DF" w14:textId="77777777" w:rsidR="00073F7C" w:rsidRDefault="00073F7C">
      <w:pPr>
        <w:rPr>
          <w:rFonts w:ascii="Times New Roman" w:eastAsia="Times New Roman" w:hAnsi="Times New Roman" w:cs="Times New Roman"/>
          <w:b/>
          <w:sz w:val="24"/>
          <w:szCs w:val="24"/>
        </w:rPr>
      </w:pPr>
    </w:p>
    <w:p w14:paraId="426DFC5F" w14:textId="77777777" w:rsidR="00073F7C" w:rsidRDefault="00073F7C">
      <w:pPr>
        <w:rPr>
          <w:rFonts w:ascii="Times New Roman" w:eastAsia="Times New Roman" w:hAnsi="Times New Roman" w:cs="Times New Roman"/>
          <w:b/>
          <w:sz w:val="24"/>
          <w:szCs w:val="24"/>
        </w:rPr>
      </w:pPr>
    </w:p>
    <w:p w14:paraId="5EF02048" w14:textId="77777777" w:rsidR="00073F7C" w:rsidRDefault="00073F7C">
      <w:pPr>
        <w:rPr>
          <w:rFonts w:ascii="Times New Roman" w:eastAsia="Times New Roman" w:hAnsi="Times New Roman" w:cs="Times New Roman"/>
          <w:b/>
          <w:sz w:val="24"/>
          <w:szCs w:val="24"/>
        </w:rPr>
      </w:pPr>
    </w:p>
    <w:p w14:paraId="3D134917" w14:textId="77777777" w:rsidR="00073F7C" w:rsidRDefault="00073F7C">
      <w:pPr>
        <w:rPr>
          <w:rFonts w:ascii="Times New Roman" w:eastAsia="Times New Roman" w:hAnsi="Times New Roman" w:cs="Times New Roman"/>
          <w:b/>
          <w:sz w:val="24"/>
          <w:szCs w:val="24"/>
        </w:rPr>
      </w:pPr>
    </w:p>
    <w:p w14:paraId="238764DC" w14:textId="77777777" w:rsidR="00CC677B" w:rsidRDefault="00CC677B">
      <w:pPr>
        <w:rPr>
          <w:rFonts w:ascii="Times New Roman" w:eastAsia="Times New Roman" w:hAnsi="Times New Roman" w:cs="Times New Roman"/>
          <w:b/>
          <w:sz w:val="24"/>
          <w:szCs w:val="24"/>
        </w:rPr>
      </w:pPr>
    </w:p>
    <w:p w14:paraId="5C7CF4FE" w14:textId="77777777" w:rsidR="00111AFF" w:rsidRDefault="00111AFF">
      <w:pPr>
        <w:rPr>
          <w:rFonts w:ascii="Times New Roman" w:eastAsia="Times New Roman" w:hAnsi="Times New Roman" w:cs="Times New Roman"/>
          <w:b/>
          <w:sz w:val="24"/>
          <w:szCs w:val="24"/>
        </w:rPr>
      </w:pPr>
    </w:p>
    <w:p w14:paraId="0AEA9498" w14:textId="53585D71" w:rsidR="00E25802" w:rsidRDefault="00073F7C" w:rsidP="00073F7C">
      <w:pPr>
        <w:jc w:val="center"/>
        <w:rPr>
          <w:rFonts w:ascii="Times New Roman" w:eastAsia="Times New Roman" w:hAnsi="Times New Roman" w:cs="Times New Roman"/>
          <w:b/>
          <w:sz w:val="36"/>
          <w:szCs w:val="24"/>
        </w:rPr>
      </w:pPr>
      <w:r w:rsidRPr="00111AFF">
        <w:rPr>
          <w:rFonts w:ascii="Times New Roman" w:eastAsia="Times New Roman" w:hAnsi="Times New Roman" w:cs="Times New Roman"/>
          <w:b/>
          <w:sz w:val="36"/>
          <w:szCs w:val="24"/>
        </w:rPr>
        <w:t>Incorporating RE</w:t>
      </w:r>
      <w:r w:rsidR="00E25802">
        <w:rPr>
          <w:rFonts w:ascii="Times New Roman" w:eastAsia="Times New Roman" w:hAnsi="Times New Roman" w:cs="Times New Roman"/>
          <w:b/>
          <w:sz w:val="36"/>
          <w:szCs w:val="24"/>
        </w:rPr>
        <w:t xml:space="preserve"> and Demand-S</w:t>
      </w:r>
      <w:r w:rsidRPr="00111AFF">
        <w:rPr>
          <w:rFonts w:ascii="Times New Roman" w:eastAsia="Times New Roman" w:hAnsi="Times New Roman" w:cs="Times New Roman"/>
          <w:b/>
          <w:sz w:val="36"/>
          <w:szCs w:val="24"/>
        </w:rPr>
        <w:t xml:space="preserve">ide EE </w:t>
      </w:r>
      <w:r w:rsidR="00CC677B" w:rsidRPr="00111AFF">
        <w:rPr>
          <w:rFonts w:ascii="Times New Roman" w:eastAsia="Times New Roman" w:hAnsi="Times New Roman" w:cs="Times New Roman"/>
          <w:b/>
          <w:sz w:val="36"/>
          <w:szCs w:val="24"/>
        </w:rPr>
        <w:t xml:space="preserve">Impacts </w:t>
      </w:r>
      <w:r w:rsidRPr="00111AFF">
        <w:rPr>
          <w:rFonts w:ascii="Times New Roman" w:eastAsia="Times New Roman" w:hAnsi="Times New Roman" w:cs="Times New Roman"/>
          <w:b/>
          <w:sz w:val="36"/>
          <w:szCs w:val="24"/>
        </w:rPr>
        <w:t>in</w:t>
      </w:r>
      <w:r w:rsidR="00C17A4A">
        <w:rPr>
          <w:rFonts w:ascii="Times New Roman" w:eastAsia="Times New Roman" w:hAnsi="Times New Roman" w:cs="Times New Roman"/>
          <w:b/>
          <w:sz w:val="36"/>
          <w:szCs w:val="24"/>
        </w:rPr>
        <w:t>to</w:t>
      </w:r>
      <w:r w:rsidRPr="00111AFF">
        <w:rPr>
          <w:rFonts w:ascii="Times New Roman" w:eastAsia="Times New Roman" w:hAnsi="Times New Roman" w:cs="Times New Roman"/>
          <w:b/>
          <w:sz w:val="36"/>
          <w:szCs w:val="24"/>
        </w:rPr>
        <w:t xml:space="preserve"> </w:t>
      </w:r>
    </w:p>
    <w:p w14:paraId="1942047D" w14:textId="645331E1" w:rsidR="00073F7C" w:rsidRPr="00111AFF" w:rsidRDefault="00073F7C" w:rsidP="00073F7C">
      <w:pPr>
        <w:jc w:val="center"/>
        <w:rPr>
          <w:rFonts w:ascii="Times New Roman" w:eastAsia="Times New Roman" w:hAnsi="Times New Roman" w:cs="Times New Roman"/>
          <w:b/>
          <w:sz w:val="36"/>
          <w:szCs w:val="24"/>
        </w:rPr>
      </w:pPr>
      <w:r w:rsidRPr="00111AFF">
        <w:rPr>
          <w:rFonts w:ascii="Times New Roman" w:eastAsia="Times New Roman" w:hAnsi="Times New Roman" w:cs="Times New Roman"/>
          <w:b/>
          <w:sz w:val="36"/>
          <w:szCs w:val="24"/>
        </w:rPr>
        <w:t>State Plan Demonstrations</w:t>
      </w:r>
    </w:p>
    <w:p w14:paraId="5040924D" w14:textId="77777777" w:rsidR="00073F7C" w:rsidRDefault="00073F7C">
      <w:pPr>
        <w:rPr>
          <w:rFonts w:ascii="Times New Roman" w:eastAsia="Times New Roman" w:hAnsi="Times New Roman" w:cs="Times New Roman"/>
          <w:b/>
          <w:sz w:val="24"/>
          <w:szCs w:val="24"/>
        </w:rPr>
      </w:pPr>
    </w:p>
    <w:p w14:paraId="2BAF94A0" w14:textId="77777777" w:rsidR="00E25802" w:rsidRDefault="00E25802" w:rsidP="00E25802">
      <w:pPr>
        <w:jc w:val="center"/>
        <w:rPr>
          <w:rFonts w:ascii="Times New Roman" w:eastAsia="Times New Roman" w:hAnsi="Times New Roman" w:cs="Times New Roman"/>
          <w:sz w:val="24"/>
          <w:szCs w:val="24"/>
        </w:rPr>
      </w:pPr>
    </w:p>
    <w:p w14:paraId="09E58097" w14:textId="77777777" w:rsidR="00E25802" w:rsidRDefault="00E25802" w:rsidP="00E25802">
      <w:pPr>
        <w:jc w:val="center"/>
        <w:rPr>
          <w:rFonts w:ascii="Times New Roman" w:eastAsia="Times New Roman" w:hAnsi="Times New Roman" w:cs="Times New Roman"/>
          <w:sz w:val="24"/>
          <w:szCs w:val="24"/>
        </w:rPr>
      </w:pPr>
    </w:p>
    <w:p w14:paraId="4482D8C1" w14:textId="77777777" w:rsidR="00E25802" w:rsidRDefault="00E25802" w:rsidP="00E25802">
      <w:pPr>
        <w:jc w:val="center"/>
        <w:rPr>
          <w:rFonts w:ascii="Times New Roman" w:eastAsia="Times New Roman" w:hAnsi="Times New Roman" w:cs="Times New Roman"/>
          <w:sz w:val="24"/>
          <w:szCs w:val="24"/>
        </w:rPr>
      </w:pPr>
    </w:p>
    <w:p w14:paraId="6AC22AEB" w14:textId="77777777" w:rsidR="00E25802" w:rsidRDefault="00E25802" w:rsidP="00E25802">
      <w:pPr>
        <w:jc w:val="center"/>
        <w:rPr>
          <w:rFonts w:ascii="Times New Roman" w:eastAsia="Times New Roman" w:hAnsi="Times New Roman" w:cs="Times New Roman"/>
          <w:sz w:val="24"/>
          <w:szCs w:val="24"/>
        </w:rPr>
      </w:pPr>
    </w:p>
    <w:p w14:paraId="35F56C2A" w14:textId="77777777" w:rsidR="00E25802" w:rsidRDefault="00E25802" w:rsidP="00E25802">
      <w:pPr>
        <w:jc w:val="center"/>
        <w:rPr>
          <w:rFonts w:ascii="Times New Roman" w:eastAsia="Times New Roman" w:hAnsi="Times New Roman" w:cs="Times New Roman"/>
          <w:sz w:val="24"/>
          <w:szCs w:val="24"/>
        </w:rPr>
      </w:pPr>
    </w:p>
    <w:p w14:paraId="276CD033" w14:textId="4E826D4A" w:rsidR="00CC677B" w:rsidRPr="00E25802" w:rsidRDefault="00E25802" w:rsidP="00E25802">
      <w:pPr>
        <w:spacing w:line="240" w:lineRule="auto"/>
        <w:jc w:val="center"/>
        <w:rPr>
          <w:rFonts w:ascii="Times New Roman" w:eastAsia="Times New Roman" w:hAnsi="Times New Roman" w:cs="Times New Roman"/>
          <w:sz w:val="24"/>
          <w:szCs w:val="24"/>
        </w:rPr>
      </w:pPr>
      <w:r w:rsidRPr="00E25802">
        <w:rPr>
          <w:rFonts w:ascii="Times New Roman" w:eastAsia="Times New Roman" w:hAnsi="Times New Roman" w:cs="Times New Roman"/>
          <w:sz w:val="24"/>
          <w:szCs w:val="24"/>
        </w:rPr>
        <w:t>U.S. Environmental Protection Agency</w:t>
      </w:r>
    </w:p>
    <w:p w14:paraId="2584F268" w14:textId="45664CD5" w:rsidR="00E25802" w:rsidRPr="00E25802" w:rsidRDefault="00E25802" w:rsidP="00E25802">
      <w:pPr>
        <w:jc w:val="center"/>
        <w:rPr>
          <w:rFonts w:ascii="Times New Roman" w:eastAsia="Times New Roman" w:hAnsi="Times New Roman" w:cs="Times New Roman"/>
          <w:sz w:val="24"/>
          <w:szCs w:val="24"/>
        </w:rPr>
      </w:pPr>
      <w:r w:rsidRPr="00E25802">
        <w:rPr>
          <w:rFonts w:ascii="Times New Roman" w:eastAsia="Times New Roman" w:hAnsi="Times New Roman" w:cs="Times New Roman"/>
          <w:sz w:val="24"/>
          <w:szCs w:val="24"/>
        </w:rPr>
        <w:t>Office of Air and Radiation</w:t>
      </w:r>
    </w:p>
    <w:p w14:paraId="7CA79E06" w14:textId="77777777" w:rsidR="00E25802" w:rsidRPr="00E25802" w:rsidRDefault="00E25802" w:rsidP="00E25802">
      <w:pPr>
        <w:jc w:val="center"/>
        <w:rPr>
          <w:rFonts w:ascii="Times New Roman" w:eastAsia="Times New Roman" w:hAnsi="Times New Roman" w:cs="Times New Roman"/>
          <w:sz w:val="24"/>
          <w:szCs w:val="24"/>
        </w:rPr>
      </w:pPr>
    </w:p>
    <w:p w14:paraId="009E5C94" w14:textId="65A7C788" w:rsidR="00E25802" w:rsidRPr="00E25802" w:rsidRDefault="0023718C" w:rsidP="00E258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 31,</w:t>
      </w:r>
      <w:r w:rsidR="00E25802" w:rsidRPr="00E25802">
        <w:rPr>
          <w:rFonts w:ascii="Times New Roman" w:eastAsia="Times New Roman" w:hAnsi="Times New Roman" w:cs="Times New Roman"/>
          <w:sz w:val="24"/>
          <w:szCs w:val="24"/>
        </w:rPr>
        <w:t xml:space="preserve"> 2015</w:t>
      </w:r>
    </w:p>
    <w:p w14:paraId="03E6E381" w14:textId="77777777" w:rsidR="00073F7C" w:rsidRDefault="00073F7C" w:rsidP="00073F7C">
      <w:pPr>
        <w:jc w:val="center"/>
        <w:rPr>
          <w:rFonts w:ascii="Times New Roman" w:eastAsia="Times New Roman" w:hAnsi="Times New Roman" w:cs="Times New Roman"/>
          <w:b/>
          <w:sz w:val="24"/>
          <w:szCs w:val="24"/>
        </w:rPr>
      </w:pPr>
    </w:p>
    <w:p w14:paraId="2AB3E373" w14:textId="11A34160" w:rsidR="00736936" w:rsidRPr="00736936" w:rsidRDefault="00073F7C" w:rsidP="008B27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FEF41FB" w14:textId="558A155B" w:rsidR="00C50825" w:rsidRPr="004E5FBA" w:rsidRDefault="00D2306A" w:rsidP="004E5FBA">
      <w:pPr>
        <w:pStyle w:val="Heading1"/>
        <w:spacing w:after="240"/>
        <w:rPr>
          <w:rFonts w:ascii="Times New Roman" w:hAnsi="Times New Roman" w:cs="Times New Roman"/>
          <w:b/>
          <w:sz w:val="28"/>
          <w:szCs w:val="28"/>
        </w:rPr>
      </w:pPr>
      <w:r w:rsidRPr="004E5FBA">
        <w:rPr>
          <w:rFonts w:ascii="Times New Roman" w:hAnsi="Times New Roman" w:cs="Times New Roman"/>
          <w:b/>
          <w:color w:val="auto"/>
          <w:sz w:val="28"/>
          <w:szCs w:val="28"/>
        </w:rPr>
        <w:lastRenderedPageBreak/>
        <w:t xml:space="preserve">I. </w:t>
      </w:r>
      <w:r w:rsidRPr="004E5FBA">
        <w:rPr>
          <w:rFonts w:ascii="Times New Roman" w:hAnsi="Times New Roman" w:cs="Times New Roman"/>
          <w:b/>
          <w:color w:val="auto"/>
          <w:sz w:val="28"/>
          <w:szCs w:val="28"/>
        </w:rPr>
        <w:tab/>
        <w:t>Introduction</w:t>
      </w:r>
      <w:r w:rsidR="007058E4" w:rsidRPr="004E5FBA">
        <w:rPr>
          <w:rFonts w:ascii="Times New Roman" w:hAnsi="Times New Roman" w:cs="Times New Roman"/>
          <w:b/>
          <w:color w:val="auto"/>
          <w:sz w:val="28"/>
          <w:szCs w:val="28"/>
        </w:rPr>
        <w:t xml:space="preserve"> </w:t>
      </w:r>
    </w:p>
    <w:p w14:paraId="0FA0C8C4" w14:textId="126206E3" w:rsidR="00421B90" w:rsidRPr="00D65A3B" w:rsidRDefault="003A4E75" w:rsidP="00376E24">
      <w:pPr>
        <w:spacing w:line="360" w:lineRule="auto"/>
        <w:ind w:firstLine="360"/>
        <w:rPr>
          <w:rFonts w:ascii="Times New Roman" w:hAnsi="Times New Roman" w:cs="Times New Roman"/>
          <w:sz w:val="24"/>
          <w:szCs w:val="24"/>
        </w:rPr>
      </w:pPr>
      <w:r w:rsidRPr="00D65A3B">
        <w:rPr>
          <w:rFonts w:ascii="Times New Roman" w:eastAsia="Times New Roman" w:hAnsi="Times New Roman" w:cs="Times New Roman"/>
          <w:sz w:val="24"/>
          <w:szCs w:val="24"/>
        </w:rPr>
        <w:t>This technical support document details</w:t>
      </w:r>
      <w:r w:rsidR="00500CB4">
        <w:rPr>
          <w:rFonts w:ascii="Times New Roman" w:eastAsia="Times New Roman" w:hAnsi="Times New Roman" w:cs="Times New Roman"/>
          <w:sz w:val="24"/>
          <w:szCs w:val="24"/>
        </w:rPr>
        <w:t xml:space="preserve"> certain</w:t>
      </w:r>
      <w:r w:rsidRPr="00D65A3B">
        <w:rPr>
          <w:rFonts w:ascii="Times New Roman" w:eastAsia="Times New Roman" w:hAnsi="Times New Roman" w:cs="Times New Roman"/>
          <w:sz w:val="24"/>
          <w:szCs w:val="24"/>
        </w:rPr>
        <w:t xml:space="preserve"> demonstration requirements for Clean Power Plan (CPP) state plan submittals that must include</w:t>
      </w:r>
      <w:r w:rsidR="00EE7482">
        <w:rPr>
          <w:rFonts w:ascii="Times New Roman" w:eastAsia="Times New Roman" w:hAnsi="Times New Roman" w:cs="Times New Roman"/>
          <w:sz w:val="24"/>
          <w:szCs w:val="24"/>
        </w:rPr>
        <w:t xml:space="preserve"> a projection of</w:t>
      </w:r>
      <w:r w:rsidRPr="00D65A3B">
        <w:rPr>
          <w:rFonts w:ascii="Times New Roman" w:eastAsia="Times New Roman" w:hAnsi="Times New Roman" w:cs="Times New Roman"/>
          <w:sz w:val="24"/>
          <w:szCs w:val="24"/>
        </w:rPr>
        <w:t xml:space="preserve"> carbon dioxide (CO</w:t>
      </w:r>
      <w:r w:rsidRPr="00D65A3B">
        <w:rPr>
          <w:rFonts w:ascii="Times New Roman" w:eastAsia="Times New Roman" w:hAnsi="Times New Roman" w:cs="Times New Roman"/>
          <w:sz w:val="24"/>
          <w:szCs w:val="24"/>
          <w:vertAlign w:val="subscript"/>
        </w:rPr>
        <w:t>2</w:t>
      </w:r>
      <w:r w:rsidRPr="00D65A3B">
        <w:rPr>
          <w:rFonts w:ascii="Times New Roman" w:eastAsia="Times New Roman" w:hAnsi="Times New Roman" w:cs="Times New Roman"/>
          <w:sz w:val="24"/>
          <w:szCs w:val="24"/>
        </w:rPr>
        <w:t>) emission</w:t>
      </w:r>
      <w:r w:rsidR="00376E24">
        <w:rPr>
          <w:rFonts w:ascii="Times New Roman" w:eastAsia="Times New Roman" w:hAnsi="Times New Roman" w:cs="Times New Roman"/>
          <w:sz w:val="24"/>
          <w:szCs w:val="24"/>
        </w:rPr>
        <w:t xml:space="preserve"> performance </w:t>
      </w:r>
      <w:r w:rsidR="00EE7482">
        <w:rPr>
          <w:rFonts w:ascii="Times New Roman" w:eastAsia="Times New Roman" w:hAnsi="Times New Roman" w:cs="Times New Roman"/>
          <w:sz w:val="24"/>
          <w:szCs w:val="24"/>
        </w:rPr>
        <w:t>by affected electric generating units (EGUs)</w:t>
      </w:r>
      <w:r w:rsidRPr="00D65A3B">
        <w:rPr>
          <w:rFonts w:ascii="Times New Roman" w:eastAsia="Times New Roman" w:hAnsi="Times New Roman" w:cs="Times New Roman"/>
          <w:sz w:val="24"/>
          <w:szCs w:val="24"/>
        </w:rPr>
        <w:t>, as identified in section VIII.D.2.a(3) of the prea</w:t>
      </w:r>
      <w:r w:rsidRPr="005117FB">
        <w:rPr>
          <w:rFonts w:ascii="Times New Roman" w:eastAsia="Times New Roman" w:hAnsi="Times New Roman" w:cs="Times New Roman"/>
          <w:sz w:val="24"/>
          <w:szCs w:val="24"/>
        </w:rPr>
        <w:t>mble.</w:t>
      </w:r>
      <w:r w:rsidR="002F7863">
        <w:rPr>
          <w:rStyle w:val="FootnoteReference"/>
          <w:rFonts w:ascii="Times New Roman" w:eastAsia="Times New Roman" w:hAnsi="Times New Roman" w:cs="Times New Roman"/>
          <w:sz w:val="24"/>
          <w:szCs w:val="24"/>
        </w:rPr>
        <w:footnoteReference w:id="2"/>
      </w:r>
      <w:r w:rsidR="005117FB" w:rsidRPr="005117FB">
        <w:rPr>
          <w:rFonts w:ascii="Times New Roman" w:eastAsia="Times New Roman" w:hAnsi="Times New Roman" w:cs="Times New Roman"/>
          <w:sz w:val="24"/>
          <w:szCs w:val="24"/>
        </w:rPr>
        <w:t xml:space="preserve"> </w:t>
      </w:r>
      <w:r w:rsidR="005E3CC5" w:rsidRPr="005117FB">
        <w:rPr>
          <w:rFonts w:ascii="Times New Roman" w:eastAsia="Times New Roman" w:hAnsi="Times New Roman" w:cs="Times New Roman"/>
          <w:sz w:val="24"/>
          <w:szCs w:val="24"/>
        </w:rPr>
        <w:t>Development</w:t>
      </w:r>
      <w:r w:rsidR="005E3CC5">
        <w:rPr>
          <w:rFonts w:ascii="Times New Roman" w:eastAsia="Times New Roman" w:hAnsi="Times New Roman" w:cs="Times New Roman"/>
          <w:sz w:val="24"/>
          <w:szCs w:val="24"/>
        </w:rPr>
        <w:t xml:space="preserve"> of a</w:t>
      </w:r>
      <w:r w:rsidRPr="00D65A3B">
        <w:rPr>
          <w:rFonts w:ascii="Times New Roman" w:eastAsia="Times New Roman" w:hAnsi="Times New Roman" w:cs="Times New Roman"/>
          <w:sz w:val="24"/>
          <w:szCs w:val="24"/>
        </w:rPr>
        <w:t xml:space="preserve"> state’s CO</w:t>
      </w:r>
      <w:r w:rsidRPr="00D65A3B">
        <w:rPr>
          <w:rFonts w:ascii="Times New Roman" w:eastAsia="Times New Roman" w:hAnsi="Times New Roman" w:cs="Times New Roman"/>
          <w:sz w:val="24"/>
          <w:szCs w:val="24"/>
          <w:vertAlign w:val="subscript"/>
        </w:rPr>
        <w:t>2</w:t>
      </w:r>
      <w:r w:rsidRPr="00D65A3B">
        <w:rPr>
          <w:rFonts w:ascii="Times New Roman" w:eastAsia="Times New Roman" w:hAnsi="Times New Roman" w:cs="Times New Roman"/>
          <w:sz w:val="24"/>
          <w:szCs w:val="24"/>
        </w:rPr>
        <w:t xml:space="preserve"> emission</w:t>
      </w:r>
      <w:r w:rsidR="00EE7482">
        <w:rPr>
          <w:rFonts w:ascii="Times New Roman" w:eastAsia="Times New Roman" w:hAnsi="Times New Roman" w:cs="Times New Roman"/>
          <w:sz w:val="24"/>
          <w:szCs w:val="24"/>
        </w:rPr>
        <w:t xml:space="preserve"> performance</w:t>
      </w:r>
      <w:r w:rsidRPr="00D65A3B">
        <w:rPr>
          <w:rFonts w:ascii="Times New Roman" w:eastAsia="Times New Roman" w:hAnsi="Times New Roman" w:cs="Times New Roman"/>
          <w:sz w:val="24"/>
          <w:szCs w:val="24"/>
        </w:rPr>
        <w:t xml:space="preserve"> projection</w:t>
      </w:r>
      <w:r w:rsidR="005E3CC5">
        <w:rPr>
          <w:rFonts w:ascii="Times New Roman" w:eastAsia="Times New Roman" w:hAnsi="Times New Roman" w:cs="Times New Roman"/>
          <w:sz w:val="24"/>
          <w:szCs w:val="24"/>
        </w:rPr>
        <w:t xml:space="preserve"> begins with </w:t>
      </w:r>
      <w:r w:rsidRPr="00D65A3B">
        <w:rPr>
          <w:rFonts w:ascii="Times New Roman" w:eastAsia="Times New Roman" w:hAnsi="Times New Roman" w:cs="Times New Roman"/>
          <w:sz w:val="24"/>
          <w:szCs w:val="24"/>
        </w:rPr>
        <w:t>a</w:t>
      </w:r>
      <w:r w:rsidR="00E55321">
        <w:rPr>
          <w:rFonts w:ascii="Times New Roman" w:eastAsia="Times New Roman" w:hAnsi="Times New Roman" w:cs="Times New Roman"/>
          <w:sz w:val="24"/>
          <w:szCs w:val="24"/>
        </w:rPr>
        <w:t>n electricity demand forecast</w:t>
      </w:r>
      <w:r w:rsidR="005E3CC5">
        <w:rPr>
          <w:rFonts w:ascii="Times New Roman" w:eastAsia="Times New Roman" w:hAnsi="Times New Roman" w:cs="Times New Roman"/>
          <w:sz w:val="24"/>
          <w:szCs w:val="24"/>
        </w:rPr>
        <w:t>, which, depending upon the type o</w:t>
      </w:r>
      <w:r w:rsidR="009D4937">
        <w:rPr>
          <w:rFonts w:ascii="Times New Roman" w:eastAsia="Times New Roman" w:hAnsi="Times New Roman" w:cs="Times New Roman"/>
          <w:sz w:val="24"/>
          <w:szCs w:val="24"/>
        </w:rPr>
        <w:t>f</w:t>
      </w:r>
      <w:r w:rsidR="005E3CC5">
        <w:rPr>
          <w:rFonts w:ascii="Times New Roman" w:eastAsia="Times New Roman" w:hAnsi="Times New Roman" w:cs="Times New Roman"/>
          <w:sz w:val="24"/>
          <w:szCs w:val="24"/>
        </w:rPr>
        <w:t xml:space="preserve"> analytical method or model used, the state may want to reflect the impacts of</w:t>
      </w:r>
      <w:r w:rsidR="00D46B73">
        <w:rPr>
          <w:rFonts w:ascii="Times New Roman" w:eastAsia="Times New Roman" w:hAnsi="Times New Roman" w:cs="Times New Roman"/>
          <w:sz w:val="24"/>
          <w:szCs w:val="24"/>
        </w:rPr>
        <w:t xml:space="preserve"> renewable energy</w:t>
      </w:r>
      <w:r w:rsidR="005E3CC5">
        <w:rPr>
          <w:rFonts w:ascii="Times New Roman" w:eastAsia="Times New Roman" w:hAnsi="Times New Roman" w:cs="Times New Roman"/>
          <w:sz w:val="24"/>
          <w:szCs w:val="24"/>
        </w:rPr>
        <w:t xml:space="preserve"> </w:t>
      </w:r>
      <w:r w:rsidR="00D46B73">
        <w:rPr>
          <w:rFonts w:ascii="Times New Roman" w:eastAsia="Times New Roman" w:hAnsi="Times New Roman" w:cs="Times New Roman"/>
          <w:sz w:val="24"/>
          <w:szCs w:val="24"/>
        </w:rPr>
        <w:t>(</w:t>
      </w:r>
      <w:r w:rsidR="005E3CC5">
        <w:rPr>
          <w:rFonts w:ascii="Times New Roman" w:eastAsia="Times New Roman" w:hAnsi="Times New Roman" w:cs="Times New Roman"/>
          <w:sz w:val="24"/>
          <w:szCs w:val="24"/>
        </w:rPr>
        <w:t>RE</w:t>
      </w:r>
      <w:r w:rsidR="00D46B73">
        <w:rPr>
          <w:rFonts w:ascii="Times New Roman" w:eastAsia="Times New Roman" w:hAnsi="Times New Roman" w:cs="Times New Roman"/>
          <w:sz w:val="24"/>
          <w:szCs w:val="24"/>
        </w:rPr>
        <w:t>)</w:t>
      </w:r>
      <w:r w:rsidR="005E3CC5">
        <w:rPr>
          <w:rFonts w:ascii="Times New Roman" w:eastAsia="Times New Roman" w:hAnsi="Times New Roman" w:cs="Times New Roman"/>
          <w:sz w:val="24"/>
          <w:szCs w:val="24"/>
        </w:rPr>
        <w:t xml:space="preserve"> and demand-side </w:t>
      </w:r>
      <w:r w:rsidR="00D46B73">
        <w:rPr>
          <w:rFonts w:ascii="Times New Roman" w:eastAsia="Times New Roman" w:hAnsi="Times New Roman" w:cs="Times New Roman"/>
          <w:sz w:val="24"/>
          <w:szCs w:val="24"/>
        </w:rPr>
        <w:t>energy efficiency (</w:t>
      </w:r>
      <w:r w:rsidR="005E3CC5">
        <w:rPr>
          <w:rFonts w:ascii="Times New Roman" w:eastAsia="Times New Roman" w:hAnsi="Times New Roman" w:cs="Times New Roman"/>
          <w:sz w:val="24"/>
          <w:szCs w:val="24"/>
        </w:rPr>
        <w:t>EE</w:t>
      </w:r>
      <w:r w:rsidR="00D46B73">
        <w:rPr>
          <w:rFonts w:ascii="Times New Roman" w:eastAsia="Times New Roman" w:hAnsi="Times New Roman" w:cs="Times New Roman"/>
          <w:sz w:val="24"/>
          <w:szCs w:val="24"/>
        </w:rPr>
        <w:t>)</w:t>
      </w:r>
      <w:r w:rsidR="005E3CC5">
        <w:rPr>
          <w:rFonts w:ascii="Times New Roman" w:eastAsia="Times New Roman" w:hAnsi="Times New Roman" w:cs="Times New Roman"/>
          <w:sz w:val="24"/>
          <w:szCs w:val="24"/>
        </w:rPr>
        <w:t xml:space="preserve"> </w:t>
      </w:r>
      <w:r w:rsidR="00E55321">
        <w:rPr>
          <w:rFonts w:ascii="Times New Roman" w:eastAsia="Times New Roman" w:hAnsi="Times New Roman" w:cs="Times New Roman"/>
          <w:sz w:val="24"/>
          <w:szCs w:val="24"/>
        </w:rPr>
        <w:t>policies and programs</w:t>
      </w:r>
      <w:r w:rsidR="005E3CC5">
        <w:rPr>
          <w:rFonts w:ascii="Times New Roman" w:eastAsia="Times New Roman" w:hAnsi="Times New Roman" w:cs="Times New Roman"/>
          <w:sz w:val="24"/>
          <w:szCs w:val="24"/>
        </w:rPr>
        <w:t xml:space="preserve">. In order to develop this electricity demand forecast, first, </w:t>
      </w:r>
      <w:r w:rsidR="00A61151">
        <w:rPr>
          <w:rFonts w:ascii="Times New Roman" w:eastAsia="Times New Roman" w:hAnsi="Times New Roman" w:cs="Times New Roman"/>
          <w:sz w:val="24"/>
          <w:szCs w:val="24"/>
        </w:rPr>
        <w:t xml:space="preserve">the state would </w:t>
      </w:r>
      <w:r w:rsidR="005E3CC5">
        <w:rPr>
          <w:rFonts w:ascii="Times New Roman" w:eastAsia="Times New Roman" w:hAnsi="Times New Roman" w:cs="Times New Roman"/>
          <w:sz w:val="24"/>
          <w:szCs w:val="24"/>
        </w:rPr>
        <w:t xml:space="preserve">either </w:t>
      </w:r>
      <w:r w:rsidR="00A61151">
        <w:rPr>
          <w:rFonts w:ascii="Times New Roman" w:eastAsia="Times New Roman" w:hAnsi="Times New Roman" w:cs="Times New Roman"/>
          <w:sz w:val="24"/>
          <w:szCs w:val="24"/>
        </w:rPr>
        <w:t xml:space="preserve">select an existing base case </w:t>
      </w:r>
      <w:r w:rsidRPr="00D65A3B">
        <w:rPr>
          <w:rFonts w:ascii="Times New Roman" w:eastAsia="Times New Roman" w:hAnsi="Times New Roman" w:cs="Times New Roman"/>
          <w:sz w:val="24"/>
          <w:szCs w:val="24"/>
        </w:rPr>
        <w:t xml:space="preserve">electricity demand </w:t>
      </w:r>
      <w:r w:rsidR="00F373F2">
        <w:rPr>
          <w:rFonts w:ascii="Times New Roman" w:eastAsia="Times New Roman" w:hAnsi="Times New Roman" w:cs="Times New Roman"/>
          <w:sz w:val="24"/>
          <w:szCs w:val="24"/>
        </w:rPr>
        <w:t xml:space="preserve">and supply </w:t>
      </w:r>
      <w:r w:rsidRPr="00D65A3B">
        <w:rPr>
          <w:rFonts w:ascii="Times New Roman" w:eastAsia="Times New Roman" w:hAnsi="Times New Roman" w:cs="Times New Roman"/>
          <w:sz w:val="24"/>
          <w:szCs w:val="24"/>
        </w:rPr>
        <w:t>forecast</w:t>
      </w:r>
      <w:r w:rsidR="00A61151">
        <w:rPr>
          <w:rFonts w:ascii="Times New Roman" w:eastAsia="Times New Roman" w:hAnsi="Times New Roman" w:cs="Times New Roman"/>
          <w:sz w:val="24"/>
          <w:szCs w:val="24"/>
        </w:rPr>
        <w:t xml:space="preserve"> or develop its own</w:t>
      </w:r>
      <w:r>
        <w:rPr>
          <w:rFonts w:ascii="Times New Roman" w:eastAsia="Times New Roman" w:hAnsi="Times New Roman" w:cs="Times New Roman"/>
          <w:sz w:val="24"/>
          <w:szCs w:val="24"/>
        </w:rPr>
        <w:t>.</w:t>
      </w:r>
      <w:r w:rsidRPr="00D65A3B">
        <w:rPr>
          <w:rFonts w:ascii="Times New Roman" w:eastAsia="Times New Roman" w:hAnsi="Times New Roman" w:cs="Times New Roman"/>
          <w:sz w:val="24"/>
          <w:szCs w:val="24"/>
        </w:rPr>
        <w:t xml:space="preserve"> Section II below addresses</w:t>
      </w:r>
      <w:r w:rsidR="005E3CC5">
        <w:rPr>
          <w:rFonts w:ascii="Times New Roman" w:eastAsia="Times New Roman" w:hAnsi="Times New Roman" w:cs="Times New Roman"/>
          <w:sz w:val="24"/>
          <w:szCs w:val="24"/>
        </w:rPr>
        <w:t xml:space="preserve"> how to choose or develop a base case demand and supply forecast </w:t>
      </w:r>
      <w:r w:rsidR="009D4937">
        <w:rPr>
          <w:rFonts w:ascii="Times New Roman" w:eastAsia="Times New Roman" w:hAnsi="Times New Roman" w:cs="Times New Roman"/>
          <w:sz w:val="24"/>
          <w:szCs w:val="24"/>
        </w:rPr>
        <w:t>as well as how to</w:t>
      </w:r>
      <w:r w:rsidR="005E3CC5">
        <w:rPr>
          <w:rFonts w:ascii="Times New Roman" w:eastAsia="Times New Roman" w:hAnsi="Times New Roman" w:cs="Times New Roman"/>
          <w:sz w:val="24"/>
          <w:szCs w:val="24"/>
        </w:rPr>
        <w:t xml:space="preserve"> document any included RE or demand-side EE measures.</w:t>
      </w:r>
      <w:r w:rsidRPr="00D65A3B">
        <w:rPr>
          <w:rFonts w:ascii="Times New Roman" w:eastAsia="Times New Roman" w:hAnsi="Times New Roman" w:cs="Times New Roman"/>
          <w:sz w:val="24"/>
          <w:szCs w:val="24"/>
        </w:rPr>
        <w:t xml:space="preserve"> </w:t>
      </w:r>
      <w:r w:rsidR="005E3CC5">
        <w:rPr>
          <w:rFonts w:ascii="Times New Roman" w:eastAsia="Times New Roman" w:hAnsi="Times New Roman" w:cs="Times New Roman"/>
          <w:sz w:val="24"/>
          <w:szCs w:val="24"/>
        </w:rPr>
        <w:t xml:space="preserve">Second, the </w:t>
      </w:r>
      <w:r w:rsidR="00A61151">
        <w:rPr>
          <w:rFonts w:ascii="Times New Roman" w:eastAsia="Times New Roman" w:hAnsi="Times New Roman" w:cs="Times New Roman"/>
          <w:sz w:val="24"/>
          <w:szCs w:val="24"/>
        </w:rPr>
        <w:t xml:space="preserve">state may adjust this base case demand forecast to reflect the impacts of RE and demand-side EE measures included in the state plan. Section III describes how to quantify the impacts of RE and demand-side EE policies and programs </w:t>
      </w:r>
      <w:r w:rsidR="005E3CC5">
        <w:rPr>
          <w:rFonts w:ascii="Times New Roman" w:eastAsia="Times New Roman" w:hAnsi="Times New Roman" w:cs="Times New Roman"/>
          <w:sz w:val="24"/>
          <w:szCs w:val="24"/>
        </w:rPr>
        <w:t xml:space="preserve">and </w:t>
      </w:r>
      <w:r w:rsidR="009D4937">
        <w:rPr>
          <w:rFonts w:ascii="Times New Roman" w:eastAsia="Times New Roman" w:hAnsi="Times New Roman" w:cs="Times New Roman"/>
          <w:sz w:val="24"/>
          <w:szCs w:val="24"/>
        </w:rPr>
        <w:t xml:space="preserve">then </w:t>
      </w:r>
      <w:r w:rsidR="00A61151">
        <w:rPr>
          <w:rFonts w:ascii="Times New Roman" w:eastAsia="Times New Roman" w:hAnsi="Times New Roman" w:cs="Times New Roman"/>
          <w:sz w:val="24"/>
          <w:szCs w:val="24"/>
        </w:rPr>
        <w:t>adjust the base case demand forecast to reflect these impacts.</w:t>
      </w:r>
    </w:p>
    <w:p w14:paraId="5592B409" w14:textId="5FA15104" w:rsidR="003A4E75" w:rsidRPr="004E5FBA" w:rsidRDefault="00357C76" w:rsidP="003A4E75">
      <w:pPr>
        <w:pStyle w:val="Heading1"/>
        <w:spacing w:after="240"/>
        <w:rPr>
          <w:rFonts w:ascii="Times New Roman" w:hAnsi="Times New Roman" w:cs="Times New Roman"/>
          <w:b/>
          <w:color w:val="auto"/>
          <w:sz w:val="28"/>
          <w:szCs w:val="28"/>
        </w:rPr>
      </w:pPr>
      <w:r w:rsidRPr="004E5FBA">
        <w:rPr>
          <w:rFonts w:ascii="Times New Roman" w:hAnsi="Times New Roman" w:cs="Times New Roman"/>
          <w:b/>
          <w:color w:val="auto"/>
          <w:sz w:val="28"/>
          <w:szCs w:val="28"/>
        </w:rPr>
        <w:t>I</w:t>
      </w:r>
      <w:r w:rsidR="00E3350D" w:rsidRPr="004E5FBA">
        <w:rPr>
          <w:rFonts w:ascii="Times New Roman" w:hAnsi="Times New Roman" w:cs="Times New Roman"/>
          <w:b/>
          <w:color w:val="auto"/>
          <w:sz w:val="28"/>
          <w:szCs w:val="28"/>
        </w:rPr>
        <w:t>I</w:t>
      </w:r>
      <w:r w:rsidR="000414D6" w:rsidRPr="004E5FBA">
        <w:rPr>
          <w:rFonts w:ascii="Times New Roman" w:hAnsi="Times New Roman" w:cs="Times New Roman"/>
          <w:b/>
          <w:color w:val="auto"/>
          <w:sz w:val="28"/>
          <w:szCs w:val="28"/>
        </w:rPr>
        <w:t xml:space="preserve">. </w:t>
      </w:r>
      <w:r w:rsidRPr="004E5FBA">
        <w:rPr>
          <w:rFonts w:ascii="Times New Roman" w:hAnsi="Times New Roman" w:cs="Times New Roman"/>
          <w:b/>
          <w:color w:val="auto"/>
          <w:sz w:val="28"/>
          <w:szCs w:val="28"/>
        </w:rPr>
        <w:tab/>
      </w:r>
      <w:r w:rsidR="00565744">
        <w:rPr>
          <w:rFonts w:ascii="Times New Roman" w:hAnsi="Times New Roman" w:cs="Times New Roman"/>
          <w:b/>
          <w:color w:val="auto"/>
          <w:sz w:val="28"/>
          <w:szCs w:val="28"/>
        </w:rPr>
        <w:t>Base C</w:t>
      </w:r>
      <w:r w:rsidR="003A4E75">
        <w:rPr>
          <w:rFonts w:ascii="Times New Roman" w:hAnsi="Times New Roman" w:cs="Times New Roman"/>
          <w:b/>
          <w:color w:val="auto"/>
          <w:sz w:val="28"/>
          <w:szCs w:val="28"/>
        </w:rPr>
        <w:t>ase</w:t>
      </w:r>
      <w:r w:rsidR="003A4E75" w:rsidRPr="004E5FBA">
        <w:rPr>
          <w:rFonts w:ascii="Times New Roman" w:hAnsi="Times New Roman" w:cs="Times New Roman"/>
          <w:b/>
          <w:color w:val="auto"/>
          <w:sz w:val="28"/>
          <w:szCs w:val="28"/>
        </w:rPr>
        <w:t xml:space="preserve"> Electricity Demand </w:t>
      </w:r>
      <w:r w:rsidR="0052342B">
        <w:rPr>
          <w:rFonts w:ascii="Times New Roman" w:hAnsi="Times New Roman" w:cs="Times New Roman"/>
          <w:b/>
          <w:color w:val="auto"/>
          <w:sz w:val="28"/>
          <w:szCs w:val="28"/>
        </w:rPr>
        <w:t xml:space="preserve">and Supply </w:t>
      </w:r>
      <w:r w:rsidR="003A4E75" w:rsidRPr="004E5FBA">
        <w:rPr>
          <w:rFonts w:ascii="Times New Roman" w:hAnsi="Times New Roman" w:cs="Times New Roman"/>
          <w:b/>
          <w:color w:val="auto"/>
          <w:sz w:val="28"/>
          <w:szCs w:val="28"/>
        </w:rPr>
        <w:t xml:space="preserve">Forecasts </w:t>
      </w:r>
    </w:p>
    <w:p w14:paraId="78119635" w14:textId="216501AC" w:rsidR="003A4E75" w:rsidRPr="00D65A3B" w:rsidRDefault="003A4E75" w:rsidP="003A4E75">
      <w:pPr>
        <w:spacing w:after="120" w:line="360" w:lineRule="auto"/>
        <w:ind w:firstLine="360"/>
        <w:rPr>
          <w:rFonts w:ascii="Times New Roman" w:hAnsi="Times New Roman" w:cs="Times New Roman"/>
          <w:sz w:val="24"/>
          <w:szCs w:val="24"/>
        </w:rPr>
      </w:pPr>
      <w:r w:rsidRPr="00D65A3B">
        <w:rPr>
          <w:rFonts w:ascii="Times New Roman" w:hAnsi="Times New Roman" w:cs="Times New Roman"/>
          <w:sz w:val="24"/>
          <w:szCs w:val="24"/>
        </w:rPr>
        <w:t>The CO</w:t>
      </w:r>
      <w:r w:rsidRPr="00D65A3B">
        <w:rPr>
          <w:rFonts w:ascii="Times New Roman" w:hAnsi="Times New Roman" w:cs="Times New Roman"/>
          <w:sz w:val="24"/>
          <w:szCs w:val="24"/>
          <w:vertAlign w:val="subscript"/>
        </w:rPr>
        <w:t>2</w:t>
      </w:r>
      <w:r w:rsidRPr="00D65A3B">
        <w:rPr>
          <w:rFonts w:ascii="Times New Roman" w:hAnsi="Times New Roman" w:cs="Times New Roman"/>
          <w:sz w:val="24"/>
          <w:szCs w:val="24"/>
        </w:rPr>
        <w:t xml:space="preserve"> emission performance projection of affe</w:t>
      </w:r>
      <w:r w:rsidR="00445044">
        <w:rPr>
          <w:rFonts w:ascii="Times New Roman" w:hAnsi="Times New Roman" w:cs="Times New Roman"/>
          <w:sz w:val="24"/>
          <w:szCs w:val="24"/>
        </w:rPr>
        <w:t>cted EGUs</w:t>
      </w:r>
      <w:r w:rsidRPr="00D65A3B">
        <w:rPr>
          <w:rFonts w:ascii="Times New Roman" w:hAnsi="Times New Roman" w:cs="Times New Roman"/>
          <w:sz w:val="24"/>
          <w:szCs w:val="24"/>
        </w:rPr>
        <w:t xml:space="preserve"> requires information from an electricity demand </w:t>
      </w:r>
      <w:r w:rsidR="0052342B">
        <w:rPr>
          <w:rFonts w:ascii="Times New Roman" w:hAnsi="Times New Roman" w:cs="Times New Roman"/>
          <w:sz w:val="24"/>
          <w:szCs w:val="24"/>
        </w:rPr>
        <w:t xml:space="preserve">and supply </w:t>
      </w:r>
      <w:r w:rsidRPr="00D65A3B">
        <w:rPr>
          <w:rFonts w:ascii="Times New Roman" w:hAnsi="Times New Roman" w:cs="Times New Roman"/>
          <w:sz w:val="24"/>
          <w:szCs w:val="24"/>
        </w:rPr>
        <w:t xml:space="preserve">forecast as a basis for predicting generation </w:t>
      </w:r>
      <w:r w:rsidR="0052342B">
        <w:rPr>
          <w:rFonts w:ascii="Times New Roman" w:hAnsi="Times New Roman" w:cs="Times New Roman"/>
          <w:sz w:val="24"/>
          <w:szCs w:val="24"/>
        </w:rPr>
        <w:t xml:space="preserve">and emissions </w:t>
      </w:r>
      <w:r w:rsidRPr="00D65A3B">
        <w:rPr>
          <w:rFonts w:ascii="Times New Roman" w:hAnsi="Times New Roman" w:cs="Times New Roman"/>
          <w:sz w:val="24"/>
          <w:szCs w:val="24"/>
        </w:rPr>
        <w:t xml:space="preserve">during the interim and final plan performance periods. This section describes the steps a state </w:t>
      </w:r>
      <w:r>
        <w:rPr>
          <w:rFonts w:ascii="Times New Roman" w:hAnsi="Times New Roman" w:cs="Times New Roman"/>
          <w:sz w:val="24"/>
          <w:szCs w:val="24"/>
        </w:rPr>
        <w:t>should</w:t>
      </w:r>
      <w:r w:rsidRPr="00D65A3B">
        <w:rPr>
          <w:rFonts w:ascii="Times New Roman" w:hAnsi="Times New Roman" w:cs="Times New Roman"/>
          <w:sz w:val="24"/>
          <w:szCs w:val="24"/>
        </w:rPr>
        <w:t xml:space="preserve"> take to demonstrate that the </w:t>
      </w:r>
      <w:r>
        <w:rPr>
          <w:rFonts w:ascii="Times New Roman" w:hAnsi="Times New Roman" w:cs="Times New Roman"/>
          <w:sz w:val="24"/>
          <w:szCs w:val="24"/>
        </w:rPr>
        <w:t>base case</w:t>
      </w:r>
      <w:r w:rsidRPr="00D65A3B">
        <w:rPr>
          <w:rFonts w:ascii="Times New Roman" w:hAnsi="Times New Roman" w:cs="Times New Roman"/>
          <w:sz w:val="24"/>
          <w:szCs w:val="24"/>
        </w:rPr>
        <w:t xml:space="preserve"> demand forecast transparently represents future demand</w:t>
      </w:r>
      <w:r w:rsidR="0052342B">
        <w:rPr>
          <w:rFonts w:ascii="Times New Roman" w:hAnsi="Times New Roman" w:cs="Times New Roman"/>
          <w:sz w:val="24"/>
          <w:szCs w:val="24"/>
        </w:rPr>
        <w:t xml:space="preserve"> and supply</w:t>
      </w:r>
      <w:r w:rsidRPr="00D65A3B">
        <w:rPr>
          <w:rFonts w:ascii="Times New Roman" w:hAnsi="Times New Roman" w:cs="Times New Roman"/>
          <w:sz w:val="24"/>
          <w:szCs w:val="24"/>
        </w:rPr>
        <w:t>:</w:t>
      </w:r>
    </w:p>
    <w:p w14:paraId="55BC6065" w14:textId="406ED329" w:rsidR="003A4E75" w:rsidRPr="00D65A3B" w:rsidRDefault="003A4E75" w:rsidP="003E2A35">
      <w:pPr>
        <w:spacing w:after="120"/>
        <w:ind w:left="360"/>
        <w:rPr>
          <w:rFonts w:ascii="Times New Roman" w:hAnsi="Times New Roman" w:cs="Times New Roman"/>
          <w:sz w:val="24"/>
          <w:szCs w:val="24"/>
        </w:rPr>
      </w:pPr>
      <w:r w:rsidRPr="00D65A3B">
        <w:rPr>
          <w:rFonts w:ascii="Times New Roman" w:hAnsi="Times New Roman" w:cs="Times New Roman"/>
          <w:sz w:val="24"/>
          <w:szCs w:val="24"/>
          <w:u w:val="single"/>
        </w:rPr>
        <w:t>Step 1</w:t>
      </w:r>
      <w:r w:rsidRPr="00D65A3B">
        <w:rPr>
          <w:rFonts w:ascii="Times New Roman" w:hAnsi="Times New Roman" w:cs="Times New Roman"/>
          <w:sz w:val="24"/>
          <w:szCs w:val="24"/>
        </w:rPr>
        <w:t xml:space="preserve">: Choose or develop a </w:t>
      </w:r>
      <w:r>
        <w:rPr>
          <w:rFonts w:ascii="Times New Roman" w:hAnsi="Times New Roman" w:cs="Times New Roman"/>
          <w:sz w:val="24"/>
          <w:szCs w:val="24"/>
        </w:rPr>
        <w:t>base case</w:t>
      </w:r>
      <w:r w:rsidRPr="00D65A3B">
        <w:rPr>
          <w:rFonts w:ascii="Times New Roman" w:hAnsi="Times New Roman" w:cs="Times New Roman"/>
          <w:sz w:val="24"/>
          <w:szCs w:val="24"/>
        </w:rPr>
        <w:t xml:space="preserve"> electricity demand</w:t>
      </w:r>
      <w:r w:rsidR="009551FB">
        <w:rPr>
          <w:rFonts w:ascii="Times New Roman" w:hAnsi="Times New Roman" w:cs="Times New Roman"/>
          <w:sz w:val="24"/>
          <w:szCs w:val="24"/>
        </w:rPr>
        <w:t xml:space="preserve"> </w:t>
      </w:r>
      <w:r w:rsidR="0052342B">
        <w:rPr>
          <w:rFonts w:ascii="Times New Roman" w:hAnsi="Times New Roman" w:cs="Times New Roman"/>
          <w:sz w:val="24"/>
          <w:szCs w:val="24"/>
        </w:rPr>
        <w:t xml:space="preserve">and supply </w:t>
      </w:r>
      <w:r w:rsidR="009551FB">
        <w:rPr>
          <w:rFonts w:ascii="Times New Roman" w:hAnsi="Times New Roman" w:cs="Times New Roman"/>
          <w:sz w:val="24"/>
          <w:szCs w:val="24"/>
        </w:rPr>
        <w:t>forecast</w:t>
      </w:r>
      <w:r w:rsidRPr="00D65A3B">
        <w:rPr>
          <w:rFonts w:ascii="Times New Roman" w:hAnsi="Times New Roman" w:cs="Times New Roman"/>
          <w:sz w:val="24"/>
          <w:szCs w:val="24"/>
        </w:rPr>
        <w:t xml:space="preserve">. </w:t>
      </w:r>
    </w:p>
    <w:p w14:paraId="5094D6E3" w14:textId="6A11EDC1" w:rsidR="00D727EF" w:rsidRDefault="003A4E75" w:rsidP="003E2A35">
      <w:pPr>
        <w:spacing w:after="120" w:line="240" w:lineRule="auto"/>
        <w:ind w:left="360"/>
        <w:rPr>
          <w:rFonts w:ascii="Times New Roman" w:hAnsi="Times New Roman" w:cs="Times New Roman"/>
          <w:sz w:val="24"/>
          <w:szCs w:val="24"/>
        </w:rPr>
      </w:pPr>
      <w:r w:rsidRPr="00D65A3B">
        <w:rPr>
          <w:rFonts w:ascii="Times New Roman" w:hAnsi="Times New Roman" w:cs="Times New Roman"/>
          <w:sz w:val="24"/>
          <w:szCs w:val="24"/>
          <w:u w:val="single"/>
        </w:rPr>
        <w:t>Step 2</w:t>
      </w:r>
      <w:r w:rsidRPr="00D65A3B">
        <w:rPr>
          <w:rFonts w:ascii="Times New Roman" w:hAnsi="Times New Roman" w:cs="Times New Roman"/>
          <w:sz w:val="24"/>
          <w:szCs w:val="24"/>
        </w:rPr>
        <w:t xml:space="preserve">: Document </w:t>
      </w:r>
      <w:r w:rsidR="00445044">
        <w:rPr>
          <w:rFonts w:ascii="Times New Roman" w:hAnsi="Times New Roman" w:cs="Times New Roman"/>
          <w:sz w:val="24"/>
          <w:szCs w:val="24"/>
        </w:rPr>
        <w:t>RE</w:t>
      </w:r>
      <w:r w:rsidR="00A815C0">
        <w:rPr>
          <w:rFonts w:ascii="Times New Roman" w:hAnsi="Times New Roman" w:cs="Times New Roman"/>
          <w:sz w:val="24"/>
          <w:szCs w:val="24"/>
        </w:rPr>
        <w:t xml:space="preserve"> and</w:t>
      </w:r>
      <w:r w:rsidRPr="00D65A3B">
        <w:rPr>
          <w:rFonts w:ascii="Times New Roman" w:hAnsi="Times New Roman" w:cs="Times New Roman"/>
          <w:sz w:val="24"/>
          <w:szCs w:val="24"/>
        </w:rPr>
        <w:t xml:space="preserve"> </w:t>
      </w:r>
      <w:r w:rsidR="0052342B">
        <w:rPr>
          <w:rFonts w:ascii="Times New Roman" w:hAnsi="Times New Roman" w:cs="Times New Roman"/>
          <w:sz w:val="24"/>
          <w:szCs w:val="24"/>
        </w:rPr>
        <w:t xml:space="preserve">demand-side </w:t>
      </w:r>
      <w:r w:rsidR="00445044">
        <w:rPr>
          <w:rFonts w:ascii="Times New Roman" w:hAnsi="Times New Roman" w:cs="Times New Roman"/>
          <w:sz w:val="24"/>
          <w:szCs w:val="24"/>
        </w:rPr>
        <w:t>EE</w:t>
      </w:r>
      <w:r w:rsidRPr="00D65A3B">
        <w:rPr>
          <w:rFonts w:ascii="Times New Roman" w:hAnsi="Times New Roman" w:cs="Times New Roman"/>
          <w:sz w:val="24"/>
          <w:szCs w:val="24"/>
        </w:rPr>
        <w:t xml:space="preserve"> already included in</w:t>
      </w:r>
      <w:r w:rsidR="009551FB">
        <w:rPr>
          <w:rFonts w:ascii="Times New Roman" w:hAnsi="Times New Roman" w:cs="Times New Roman"/>
          <w:sz w:val="24"/>
          <w:szCs w:val="24"/>
        </w:rPr>
        <w:t xml:space="preserve"> the</w:t>
      </w:r>
      <w:r w:rsidRPr="00D65A3B">
        <w:rPr>
          <w:rFonts w:ascii="Times New Roman" w:hAnsi="Times New Roman" w:cs="Times New Roman"/>
          <w:sz w:val="24"/>
          <w:szCs w:val="24"/>
        </w:rPr>
        <w:t xml:space="preserve"> </w:t>
      </w:r>
      <w:r>
        <w:rPr>
          <w:rFonts w:ascii="Times New Roman" w:hAnsi="Times New Roman" w:cs="Times New Roman"/>
          <w:sz w:val="24"/>
          <w:szCs w:val="24"/>
        </w:rPr>
        <w:t>base case</w:t>
      </w:r>
      <w:r w:rsidRPr="00D65A3B">
        <w:rPr>
          <w:rFonts w:ascii="Times New Roman" w:hAnsi="Times New Roman" w:cs="Times New Roman"/>
          <w:sz w:val="24"/>
          <w:szCs w:val="24"/>
        </w:rPr>
        <w:t xml:space="preserve"> electricity demand </w:t>
      </w:r>
      <w:r w:rsidR="0052342B">
        <w:rPr>
          <w:rFonts w:ascii="Times New Roman" w:hAnsi="Times New Roman" w:cs="Times New Roman"/>
          <w:sz w:val="24"/>
          <w:szCs w:val="24"/>
        </w:rPr>
        <w:t xml:space="preserve">and supply </w:t>
      </w:r>
      <w:r w:rsidRPr="00D65A3B">
        <w:rPr>
          <w:rFonts w:ascii="Times New Roman" w:hAnsi="Times New Roman" w:cs="Times New Roman"/>
          <w:sz w:val="24"/>
          <w:szCs w:val="24"/>
        </w:rPr>
        <w:t>forecast.</w:t>
      </w:r>
    </w:p>
    <w:p w14:paraId="072527C6" w14:textId="77777777" w:rsidR="003A4E75" w:rsidRPr="00D65A3B" w:rsidRDefault="003A4E75" w:rsidP="003A4E75">
      <w:pPr>
        <w:spacing w:after="120" w:line="240" w:lineRule="auto"/>
        <w:ind w:left="720"/>
        <w:rPr>
          <w:rFonts w:ascii="Times New Roman" w:hAnsi="Times New Roman" w:cs="Times New Roman"/>
          <w:sz w:val="24"/>
          <w:szCs w:val="24"/>
        </w:rPr>
      </w:pPr>
    </w:p>
    <w:p w14:paraId="70DA0414" w14:textId="4CDAFF9F" w:rsidR="00F56FCD" w:rsidRPr="00D65A3B" w:rsidRDefault="00F56FCD" w:rsidP="00F56FCD">
      <w:pPr>
        <w:rPr>
          <w:rFonts w:ascii="Times New Roman" w:hAnsi="Times New Roman" w:cs="Times New Roman"/>
          <w:b/>
          <w:sz w:val="24"/>
          <w:szCs w:val="24"/>
        </w:rPr>
      </w:pPr>
      <w:r w:rsidRPr="00D65A3B">
        <w:rPr>
          <w:rFonts w:ascii="Times New Roman" w:hAnsi="Times New Roman" w:cs="Times New Roman"/>
          <w:b/>
          <w:sz w:val="24"/>
          <w:szCs w:val="24"/>
          <w:u w:val="single"/>
        </w:rPr>
        <w:lastRenderedPageBreak/>
        <w:t>Step 1</w:t>
      </w:r>
      <w:r w:rsidRPr="00D65A3B">
        <w:rPr>
          <w:rFonts w:ascii="Times New Roman" w:hAnsi="Times New Roman" w:cs="Times New Roman"/>
          <w:b/>
          <w:sz w:val="24"/>
          <w:szCs w:val="24"/>
        </w:rPr>
        <w:t xml:space="preserve">: Choose or develop a </w:t>
      </w:r>
      <w:r w:rsidR="003A4E75" w:rsidRPr="003A4E75">
        <w:rPr>
          <w:rFonts w:ascii="Times New Roman" w:hAnsi="Times New Roman" w:cs="Times New Roman"/>
          <w:b/>
          <w:sz w:val="24"/>
          <w:szCs w:val="24"/>
        </w:rPr>
        <w:t xml:space="preserve">base case </w:t>
      </w:r>
      <w:r w:rsidRPr="00D65A3B">
        <w:rPr>
          <w:rFonts w:ascii="Times New Roman" w:hAnsi="Times New Roman" w:cs="Times New Roman"/>
          <w:b/>
          <w:sz w:val="24"/>
          <w:szCs w:val="24"/>
        </w:rPr>
        <w:t xml:space="preserve">electricity demand </w:t>
      </w:r>
      <w:r w:rsidR="0052342B">
        <w:rPr>
          <w:rFonts w:ascii="Times New Roman" w:hAnsi="Times New Roman" w:cs="Times New Roman"/>
          <w:b/>
          <w:sz w:val="24"/>
          <w:szCs w:val="24"/>
        </w:rPr>
        <w:t xml:space="preserve">and supply </w:t>
      </w:r>
      <w:r w:rsidR="009551FB">
        <w:rPr>
          <w:rFonts w:ascii="Times New Roman" w:hAnsi="Times New Roman" w:cs="Times New Roman"/>
          <w:b/>
          <w:sz w:val="24"/>
          <w:szCs w:val="24"/>
        </w:rPr>
        <w:t>forecast</w:t>
      </w:r>
      <w:r w:rsidR="00445044">
        <w:rPr>
          <w:rFonts w:ascii="Times New Roman" w:hAnsi="Times New Roman" w:cs="Times New Roman"/>
          <w:b/>
          <w:sz w:val="24"/>
          <w:szCs w:val="24"/>
        </w:rPr>
        <w:t>.</w:t>
      </w:r>
    </w:p>
    <w:p w14:paraId="0029D14E" w14:textId="66745191" w:rsidR="009F59C3" w:rsidRPr="00D65A3B" w:rsidRDefault="00AE0E3D" w:rsidP="00F428E0">
      <w:pPr>
        <w:spacing w:line="36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A state can </w:t>
      </w:r>
      <w:r w:rsidR="006624ED" w:rsidRPr="00D65A3B">
        <w:rPr>
          <w:rFonts w:ascii="Times New Roman" w:hAnsi="Times New Roman" w:cs="Times New Roman"/>
          <w:sz w:val="24"/>
          <w:szCs w:val="24"/>
        </w:rPr>
        <w:t>develop its own</w:t>
      </w:r>
      <w:r w:rsidR="00E641D1" w:rsidRPr="00D65A3B">
        <w:rPr>
          <w:rFonts w:ascii="Times New Roman" w:hAnsi="Times New Roman" w:cs="Times New Roman"/>
          <w:sz w:val="24"/>
          <w:szCs w:val="24"/>
        </w:rPr>
        <w:t xml:space="preserve"> </w:t>
      </w:r>
      <w:r w:rsidR="003A4E75">
        <w:rPr>
          <w:rFonts w:ascii="Times New Roman" w:hAnsi="Times New Roman" w:cs="Times New Roman"/>
          <w:sz w:val="24"/>
          <w:szCs w:val="24"/>
        </w:rPr>
        <w:t>base case</w:t>
      </w:r>
      <w:r w:rsidR="003A4E75" w:rsidRPr="00D65A3B">
        <w:rPr>
          <w:rFonts w:ascii="Times New Roman" w:hAnsi="Times New Roman" w:cs="Times New Roman"/>
          <w:sz w:val="24"/>
          <w:szCs w:val="24"/>
        </w:rPr>
        <w:t xml:space="preserve"> </w:t>
      </w:r>
      <w:r w:rsidR="006624ED" w:rsidRPr="00D65A3B">
        <w:rPr>
          <w:rFonts w:ascii="Times New Roman" w:hAnsi="Times New Roman" w:cs="Times New Roman"/>
          <w:sz w:val="24"/>
          <w:szCs w:val="24"/>
        </w:rPr>
        <w:t>electricity demand</w:t>
      </w:r>
      <w:r w:rsidR="0052342B">
        <w:rPr>
          <w:rFonts w:ascii="Times New Roman" w:hAnsi="Times New Roman" w:cs="Times New Roman"/>
          <w:sz w:val="24"/>
          <w:szCs w:val="24"/>
        </w:rPr>
        <w:t xml:space="preserve"> and supply </w:t>
      </w:r>
      <w:r w:rsidR="006624ED" w:rsidRPr="00D65A3B">
        <w:rPr>
          <w:rFonts w:ascii="Times New Roman" w:hAnsi="Times New Roman" w:cs="Times New Roman"/>
          <w:sz w:val="24"/>
          <w:szCs w:val="24"/>
        </w:rPr>
        <w:t xml:space="preserve">forecast or use a forecast </w:t>
      </w:r>
      <w:r w:rsidRPr="00D65A3B">
        <w:rPr>
          <w:rFonts w:ascii="Times New Roman" w:hAnsi="Times New Roman" w:cs="Times New Roman"/>
          <w:sz w:val="24"/>
          <w:szCs w:val="24"/>
        </w:rPr>
        <w:t xml:space="preserve">from the </w:t>
      </w:r>
      <w:r w:rsidR="00BE5FC5" w:rsidRPr="00D65A3B">
        <w:rPr>
          <w:rFonts w:ascii="Times New Roman" w:hAnsi="Times New Roman" w:cs="Times New Roman"/>
          <w:sz w:val="24"/>
          <w:szCs w:val="24"/>
        </w:rPr>
        <w:t xml:space="preserve">following </w:t>
      </w:r>
      <w:r w:rsidRPr="00D65A3B">
        <w:rPr>
          <w:rFonts w:ascii="Times New Roman" w:hAnsi="Times New Roman" w:cs="Times New Roman"/>
          <w:sz w:val="24"/>
          <w:szCs w:val="24"/>
        </w:rPr>
        <w:t>information sources</w:t>
      </w:r>
      <w:r w:rsidR="00445044">
        <w:rPr>
          <w:rFonts w:ascii="Times New Roman" w:hAnsi="Times New Roman" w:cs="Times New Roman"/>
          <w:sz w:val="24"/>
          <w:szCs w:val="24"/>
        </w:rPr>
        <w:t>:</w:t>
      </w:r>
      <w:r w:rsidR="003647A8" w:rsidRPr="003647A8">
        <w:rPr>
          <w:rStyle w:val="FootnoteReference"/>
          <w:rFonts w:ascii="Times New Roman" w:eastAsia="Times New Roman" w:hAnsi="Times New Roman" w:cs="Times New Roman"/>
          <w:sz w:val="24"/>
          <w:szCs w:val="24"/>
        </w:rPr>
        <w:t xml:space="preserve"> </w:t>
      </w:r>
      <w:r w:rsidR="003647A8">
        <w:rPr>
          <w:rStyle w:val="FootnoteReference"/>
          <w:rFonts w:ascii="Times New Roman" w:eastAsia="Times New Roman" w:hAnsi="Times New Roman" w:cs="Times New Roman"/>
          <w:sz w:val="24"/>
          <w:szCs w:val="24"/>
        </w:rPr>
        <w:footnoteReference w:id="3"/>
      </w:r>
    </w:p>
    <w:p w14:paraId="5705E344" w14:textId="1591EE80" w:rsidR="009F59C3" w:rsidRPr="00D65A3B" w:rsidRDefault="00DB4097" w:rsidP="003E2A35">
      <w:pPr>
        <w:pStyle w:val="ListParagraph"/>
        <w:numPr>
          <w:ilvl w:val="0"/>
          <w:numId w:val="6"/>
        </w:numPr>
        <w:spacing w:after="0" w:line="240" w:lineRule="auto"/>
        <w:rPr>
          <w:rFonts w:ascii="Times New Roman" w:hAnsi="Times New Roman" w:cs="Times New Roman"/>
          <w:sz w:val="24"/>
          <w:szCs w:val="24"/>
        </w:rPr>
      </w:pPr>
      <w:r w:rsidRPr="00D65A3B">
        <w:rPr>
          <w:rFonts w:ascii="Times New Roman" w:hAnsi="Times New Roman" w:cs="Times New Roman"/>
          <w:sz w:val="24"/>
          <w:szCs w:val="24"/>
        </w:rPr>
        <w:t>U.S. Department of Energy, Energy Information Administration, Annual Energy Outlook (AEO)</w:t>
      </w:r>
      <w:r w:rsidR="00BB0A96" w:rsidRPr="00D65A3B">
        <w:rPr>
          <w:rFonts w:ascii="Times New Roman" w:hAnsi="Times New Roman" w:cs="Times New Roman"/>
          <w:sz w:val="24"/>
          <w:szCs w:val="24"/>
        </w:rPr>
        <w:t>,</w:t>
      </w:r>
    </w:p>
    <w:p w14:paraId="5C3AB66A" w14:textId="60AD976C" w:rsidR="00DB4097" w:rsidRPr="00D65A3B" w:rsidRDefault="00DB4097" w:rsidP="003E2A35">
      <w:pPr>
        <w:pStyle w:val="ListParagraph"/>
        <w:numPr>
          <w:ilvl w:val="0"/>
          <w:numId w:val="6"/>
        </w:numPr>
        <w:spacing w:after="0" w:line="240" w:lineRule="auto"/>
        <w:rPr>
          <w:rFonts w:ascii="Times New Roman" w:hAnsi="Times New Roman" w:cs="Times New Roman"/>
          <w:sz w:val="24"/>
          <w:szCs w:val="24"/>
        </w:rPr>
      </w:pPr>
      <w:r w:rsidRPr="00D65A3B">
        <w:rPr>
          <w:rFonts w:ascii="Times New Roman" w:hAnsi="Times New Roman" w:cs="Times New Roman"/>
          <w:bCs/>
          <w:sz w:val="24"/>
          <w:szCs w:val="24"/>
        </w:rPr>
        <w:t>North American Electric Reliability Corporation (NERC)</w:t>
      </w:r>
      <w:r w:rsidR="00BB0A96" w:rsidRPr="00D65A3B">
        <w:rPr>
          <w:rFonts w:ascii="Times New Roman" w:hAnsi="Times New Roman" w:cs="Times New Roman"/>
          <w:bCs/>
          <w:sz w:val="24"/>
          <w:szCs w:val="24"/>
        </w:rPr>
        <w:t>,</w:t>
      </w:r>
    </w:p>
    <w:p w14:paraId="5374DA0C" w14:textId="03C7E806" w:rsidR="00DB4097" w:rsidRPr="00D65A3B" w:rsidRDefault="00DB4097" w:rsidP="003E2A35">
      <w:pPr>
        <w:numPr>
          <w:ilvl w:val="0"/>
          <w:numId w:val="6"/>
        </w:numPr>
        <w:spacing w:after="0" w:line="240" w:lineRule="auto"/>
        <w:contextualSpacing/>
        <w:rPr>
          <w:rFonts w:ascii="Times New Roman" w:hAnsi="Times New Roman" w:cs="Times New Roman"/>
          <w:sz w:val="24"/>
          <w:szCs w:val="24"/>
        </w:rPr>
      </w:pPr>
      <w:r w:rsidRPr="00D65A3B">
        <w:rPr>
          <w:rFonts w:ascii="Times New Roman" w:hAnsi="Times New Roman" w:cs="Times New Roman"/>
          <w:sz w:val="24"/>
          <w:szCs w:val="24"/>
        </w:rPr>
        <w:t>Regional transmission organizations (RTOs)/independent system operators (ISOs) (e.g., PJM Interconnection, ISO-New England, NYISO)</w:t>
      </w:r>
      <w:r w:rsidR="00BB0A96" w:rsidRPr="00D65A3B">
        <w:rPr>
          <w:rFonts w:ascii="Times New Roman" w:hAnsi="Times New Roman" w:cs="Times New Roman"/>
          <w:sz w:val="24"/>
          <w:szCs w:val="24"/>
        </w:rPr>
        <w:t>,</w:t>
      </w:r>
    </w:p>
    <w:p w14:paraId="44DDDA85" w14:textId="1A8BCC62" w:rsidR="00DB4097" w:rsidRPr="00D65A3B" w:rsidRDefault="00DB4097" w:rsidP="003E2A35">
      <w:pPr>
        <w:numPr>
          <w:ilvl w:val="0"/>
          <w:numId w:val="6"/>
        </w:numPr>
        <w:spacing w:after="0" w:line="240" w:lineRule="auto"/>
        <w:contextualSpacing/>
        <w:rPr>
          <w:rFonts w:ascii="Times New Roman" w:hAnsi="Times New Roman" w:cs="Times New Roman"/>
          <w:sz w:val="24"/>
          <w:szCs w:val="24"/>
        </w:rPr>
      </w:pPr>
      <w:r w:rsidRPr="00D65A3B">
        <w:rPr>
          <w:rFonts w:ascii="Times New Roman" w:hAnsi="Times New Roman" w:cs="Times New Roman"/>
          <w:sz w:val="24"/>
          <w:szCs w:val="24"/>
        </w:rPr>
        <w:t>Vertically integrated utilities (e.g., a large power company that operates the electricity system for a specific region)</w:t>
      </w:r>
      <w:r w:rsidR="00BB0A96" w:rsidRPr="00D65A3B">
        <w:rPr>
          <w:rFonts w:ascii="Times New Roman" w:hAnsi="Times New Roman" w:cs="Times New Roman"/>
          <w:sz w:val="24"/>
          <w:szCs w:val="24"/>
        </w:rPr>
        <w:t>,</w:t>
      </w:r>
      <w:r w:rsidR="00DC05D7">
        <w:rPr>
          <w:rFonts w:ascii="Times New Roman" w:hAnsi="Times New Roman" w:cs="Times New Roman"/>
          <w:sz w:val="24"/>
          <w:szCs w:val="24"/>
        </w:rPr>
        <w:t xml:space="preserve"> in combinations with another publically available source</w:t>
      </w:r>
      <w:r w:rsidR="005D7144">
        <w:rPr>
          <w:rFonts w:ascii="Times New Roman" w:hAnsi="Times New Roman" w:cs="Times New Roman"/>
          <w:sz w:val="24"/>
          <w:szCs w:val="24"/>
        </w:rPr>
        <w:t>,</w:t>
      </w:r>
    </w:p>
    <w:p w14:paraId="0E150A32" w14:textId="06BFF5D9" w:rsidR="00DB4097" w:rsidRPr="00D65A3B" w:rsidRDefault="00DB4097" w:rsidP="003E2A35">
      <w:pPr>
        <w:numPr>
          <w:ilvl w:val="0"/>
          <w:numId w:val="6"/>
        </w:numPr>
        <w:spacing w:after="0" w:line="240" w:lineRule="auto"/>
        <w:contextualSpacing/>
        <w:rPr>
          <w:rFonts w:ascii="Times New Roman" w:hAnsi="Times New Roman" w:cs="Times New Roman"/>
          <w:sz w:val="24"/>
          <w:szCs w:val="24"/>
        </w:rPr>
      </w:pPr>
      <w:r w:rsidRPr="00D65A3B">
        <w:rPr>
          <w:rFonts w:ascii="Times New Roman" w:hAnsi="Times New Roman" w:cs="Times New Roman"/>
          <w:sz w:val="24"/>
          <w:szCs w:val="24"/>
        </w:rPr>
        <w:t>State energy agencies (e.g., State Energy Office or Public Utility Commission (PUC))</w:t>
      </w:r>
      <w:r w:rsidR="00BB0A96" w:rsidRPr="00D65A3B">
        <w:rPr>
          <w:rFonts w:ascii="Times New Roman" w:hAnsi="Times New Roman" w:cs="Times New Roman"/>
          <w:sz w:val="24"/>
          <w:szCs w:val="24"/>
        </w:rPr>
        <w:t>, and</w:t>
      </w:r>
    </w:p>
    <w:p w14:paraId="5834C687" w14:textId="77777777" w:rsidR="00DB4097" w:rsidRPr="00D65A3B" w:rsidRDefault="00DB4097" w:rsidP="003E2A35">
      <w:pPr>
        <w:numPr>
          <w:ilvl w:val="0"/>
          <w:numId w:val="6"/>
        </w:numPr>
        <w:spacing w:after="0" w:line="240" w:lineRule="auto"/>
        <w:contextualSpacing/>
        <w:rPr>
          <w:rFonts w:ascii="Times New Roman" w:hAnsi="Times New Roman" w:cs="Times New Roman"/>
          <w:sz w:val="24"/>
          <w:szCs w:val="24"/>
        </w:rPr>
      </w:pPr>
      <w:r w:rsidRPr="00D65A3B">
        <w:rPr>
          <w:rFonts w:ascii="Times New Roman" w:hAnsi="Times New Roman" w:cs="Times New Roman"/>
          <w:sz w:val="24"/>
          <w:szCs w:val="24"/>
        </w:rPr>
        <w:t>Regional councils that coordinate energy planning (e.g., Northwest Power and Conservation Council)</w:t>
      </w:r>
    </w:p>
    <w:p w14:paraId="769136E1" w14:textId="77777777" w:rsidR="008B27FD" w:rsidRDefault="008B27FD" w:rsidP="003811E7">
      <w:pPr>
        <w:spacing w:line="360" w:lineRule="auto"/>
        <w:rPr>
          <w:rFonts w:ascii="Times New Roman" w:eastAsia="Times New Roman" w:hAnsi="Times New Roman" w:cs="Times New Roman"/>
          <w:sz w:val="24"/>
          <w:szCs w:val="24"/>
        </w:rPr>
      </w:pPr>
    </w:p>
    <w:p w14:paraId="7ADDE954" w14:textId="176A05A3" w:rsidR="003811E7" w:rsidRDefault="00BE5FC5" w:rsidP="00E7415B">
      <w:pPr>
        <w:spacing w:line="360" w:lineRule="auto"/>
        <w:rPr>
          <w:rFonts w:ascii="Times New Roman" w:eastAsia="Times New Roman" w:hAnsi="Times New Roman" w:cs="Times New Roman"/>
          <w:sz w:val="24"/>
          <w:szCs w:val="24"/>
        </w:rPr>
      </w:pPr>
      <w:r w:rsidRPr="00D65A3B">
        <w:rPr>
          <w:rFonts w:ascii="Times New Roman" w:eastAsia="Times New Roman" w:hAnsi="Times New Roman" w:cs="Times New Roman"/>
          <w:sz w:val="24"/>
          <w:szCs w:val="24"/>
        </w:rPr>
        <w:t>To develop its own</w:t>
      </w:r>
      <w:r w:rsidR="00BB0A96" w:rsidRPr="00D65A3B">
        <w:rPr>
          <w:rFonts w:ascii="Times New Roman" w:eastAsia="Times New Roman" w:hAnsi="Times New Roman" w:cs="Times New Roman"/>
          <w:sz w:val="24"/>
          <w:szCs w:val="24"/>
        </w:rPr>
        <w:t xml:space="preserve"> state-specific</w:t>
      </w:r>
      <w:r w:rsidRPr="00D65A3B">
        <w:rPr>
          <w:rFonts w:ascii="Times New Roman" w:eastAsia="Times New Roman" w:hAnsi="Times New Roman" w:cs="Times New Roman"/>
          <w:sz w:val="24"/>
          <w:szCs w:val="24"/>
        </w:rPr>
        <w:t xml:space="preserve"> </w:t>
      </w:r>
      <w:r w:rsidR="003A4E75">
        <w:rPr>
          <w:rFonts w:ascii="Times New Roman" w:hAnsi="Times New Roman" w:cs="Times New Roman"/>
          <w:sz w:val="24"/>
          <w:szCs w:val="24"/>
        </w:rPr>
        <w:t>base case</w:t>
      </w:r>
      <w:r w:rsidR="003A4E75" w:rsidRPr="00D65A3B">
        <w:rPr>
          <w:rFonts w:ascii="Times New Roman" w:hAnsi="Times New Roman" w:cs="Times New Roman"/>
          <w:sz w:val="24"/>
          <w:szCs w:val="24"/>
        </w:rPr>
        <w:t xml:space="preserve"> </w:t>
      </w:r>
      <w:r w:rsidRPr="00D65A3B">
        <w:rPr>
          <w:rFonts w:ascii="Times New Roman" w:eastAsia="Times New Roman" w:hAnsi="Times New Roman" w:cs="Times New Roman"/>
          <w:sz w:val="24"/>
          <w:szCs w:val="24"/>
        </w:rPr>
        <w:t xml:space="preserve">electricity demand </w:t>
      </w:r>
      <w:r w:rsidR="0052342B">
        <w:rPr>
          <w:rFonts w:ascii="Times New Roman" w:eastAsia="Times New Roman" w:hAnsi="Times New Roman" w:cs="Times New Roman"/>
          <w:sz w:val="24"/>
          <w:szCs w:val="24"/>
        </w:rPr>
        <w:t xml:space="preserve">and supply </w:t>
      </w:r>
      <w:r w:rsidRPr="00D65A3B">
        <w:rPr>
          <w:rFonts w:ascii="Times New Roman" w:eastAsia="Times New Roman" w:hAnsi="Times New Roman" w:cs="Times New Roman"/>
          <w:sz w:val="24"/>
          <w:szCs w:val="24"/>
        </w:rPr>
        <w:t xml:space="preserve">forecast, a state would apply an annual average </w:t>
      </w:r>
      <w:r w:rsidR="00BB0A96" w:rsidRPr="00D65A3B">
        <w:rPr>
          <w:rFonts w:ascii="Times New Roman" w:eastAsia="Times New Roman" w:hAnsi="Times New Roman" w:cs="Times New Roman"/>
          <w:sz w:val="24"/>
          <w:szCs w:val="24"/>
        </w:rPr>
        <w:t xml:space="preserve">electricity demand </w:t>
      </w:r>
      <w:r w:rsidRPr="00D65A3B">
        <w:rPr>
          <w:rFonts w:ascii="Times New Roman" w:eastAsia="Times New Roman" w:hAnsi="Times New Roman" w:cs="Times New Roman"/>
          <w:sz w:val="24"/>
          <w:szCs w:val="24"/>
        </w:rPr>
        <w:t xml:space="preserve">growth rate derived from one of the above data sources to </w:t>
      </w:r>
      <w:r w:rsidR="00BB0A96" w:rsidRPr="00D65A3B">
        <w:rPr>
          <w:rFonts w:ascii="Times New Roman" w:eastAsia="Times New Roman" w:hAnsi="Times New Roman" w:cs="Times New Roman"/>
          <w:sz w:val="24"/>
          <w:szCs w:val="24"/>
        </w:rPr>
        <w:t>state</w:t>
      </w:r>
      <w:r w:rsidR="1E011A46" w:rsidRPr="00D65A3B">
        <w:rPr>
          <w:rFonts w:ascii="Times New Roman" w:eastAsia="Times New Roman" w:hAnsi="Times New Roman" w:cs="Times New Roman"/>
          <w:sz w:val="24"/>
          <w:szCs w:val="24"/>
        </w:rPr>
        <w:t xml:space="preserve"> or regiona</w:t>
      </w:r>
      <w:r w:rsidR="4AEAECA0" w:rsidRPr="00D65A3B">
        <w:rPr>
          <w:rFonts w:ascii="Times New Roman" w:eastAsia="Times New Roman" w:hAnsi="Times New Roman" w:cs="Times New Roman"/>
          <w:sz w:val="24"/>
          <w:szCs w:val="24"/>
        </w:rPr>
        <w:t>l</w:t>
      </w:r>
      <w:r w:rsidR="1E011A46" w:rsidRPr="00D65A3B">
        <w:rPr>
          <w:rFonts w:ascii="Times New Roman" w:eastAsia="Times New Roman" w:hAnsi="Times New Roman" w:cs="Times New Roman"/>
          <w:sz w:val="24"/>
          <w:szCs w:val="24"/>
        </w:rPr>
        <w:t xml:space="preserve"> </w:t>
      </w:r>
      <w:r w:rsidR="00BB0A96" w:rsidRPr="00D65A3B">
        <w:rPr>
          <w:rFonts w:ascii="Times New Roman" w:eastAsia="Times New Roman" w:hAnsi="Times New Roman" w:cs="Times New Roman"/>
          <w:sz w:val="24"/>
          <w:szCs w:val="24"/>
        </w:rPr>
        <w:t xml:space="preserve">specific </w:t>
      </w:r>
      <w:r w:rsidRPr="00D65A3B">
        <w:rPr>
          <w:rFonts w:ascii="Times New Roman" w:eastAsia="Times New Roman" w:hAnsi="Times New Roman" w:cs="Times New Roman"/>
          <w:sz w:val="24"/>
          <w:szCs w:val="24"/>
        </w:rPr>
        <w:t>historical electricity sales data</w:t>
      </w:r>
      <w:r w:rsidR="031529ED" w:rsidRPr="00D65A3B">
        <w:rPr>
          <w:rFonts w:ascii="Times New Roman" w:eastAsia="Times New Roman" w:hAnsi="Times New Roman" w:cs="Times New Roman"/>
          <w:sz w:val="24"/>
          <w:szCs w:val="24"/>
        </w:rPr>
        <w:t>.</w:t>
      </w:r>
      <w:r w:rsidR="00726F92">
        <w:rPr>
          <w:rFonts w:ascii="Times New Roman" w:eastAsia="Times New Roman" w:hAnsi="Times New Roman" w:cs="Times New Roman"/>
          <w:sz w:val="24"/>
          <w:szCs w:val="24"/>
        </w:rPr>
        <w:t xml:space="preserve"> </w:t>
      </w:r>
      <w:r w:rsidR="00D54C5B">
        <w:rPr>
          <w:rFonts w:ascii="Times New Roman" w:eastAsia="Times New Roman" w:hAnsi="Times New Roman" w:cs="Times New Roman"/>
          <w:sz w:val="24"/>
          <w:szCs w:val="24"/>
        </w:rPr>
        <w:t xml:space="preserve">States may also consider more comprehensive modeling approaches that calculate expected demand based on assumptions including: electricity prices, technology development, population, and economic forecasts. </w:t>
      </w:r>
      <w:r w:rsidR="0021672B" w:rsidRPr="0021672B">
        <w:rPr>
          <w:rFonts w:ascii="Times New Roman" w:eastAsia="Times New Roman" w:hAnsi="Times New Roman" w:cs="Times New Roman"/>
          <w:sz w:val="24"/>
          <w:szCs w:val="24"/>
        </w:rPr>
        <w:t xml:space="preserve">For the base case supply forecast, a state should </w:t>
      </w:r>
      <w:r w:rsidR="0021672B" w:rsidRPr="0021672B">
        <w:rPr>
          <w:rFonts w:ascii="Times New Roman" w:hAnsi="Times New Roman" w:cs="Times New Roman"/>
          <w:sz w:val="24"/>
          <w:szCs w:val="24"/>
        </w:rPr>
        <w:t xml:space="preserve">inventory all </w:t>
      </w:r>
      <w:r w:rsidR="00425078">
        <w:rPr>
          <w:rFonts w:ascii="Times New Roman" w:hAnsi="Times New Roman" w:cs="Times New Roman"/>
          <w:sz w:val="24"/>
          <w:szCs w:val="24"/>
        </w:rPr>
        <w:t>generation resources available to meet state demand</w:t>
      </w:r>
      <w:r w:rsidR="003811E7">
        <w:rPr>
          <w:rFonts w:ascii="Times New Roman" w:hAnsi="Times New Roman" w:cs="Times New Roman"/>
          <w:sz w:val="24"/>
          <w:szCs w:val="24"/>
        </w:rPr>
        <w:t xml:space="preserve"> through the final plan performance periods, including </w:t>
      </w:r>
      <w:r w:rsidR="00425078">
        <w:rPr>
          <w:rFonts w:ascii="Times New Roman" w:hAnsi="Times New Roman" w:cs="Times New Roman"/>
          <w:sz w:val="24"/>
          <w:szCs w:val="24"/>
        </w:rPr>
        <w:t xml:space="preserve">in-state </w:t>
      </w:r>
      <w:r w:rsidR="003811E7">
        <w:rPr>
          <w:rFonts w:ascii="Times New Roman" w:hAnsi="Times New Roman" w:cs="Times New Roman"/>
          <w:sz w:val="24"/>
          <w:szCs w:val="24"/>
        </w:rPr>
        <w:t xml:space="preserve">existing and anticipated </w:t>
      </w:r>
      <w:r w:rsidR="00425078">
        <w:rPr>
          <w:rFonts w:ascii="Times New Roman" w:hAnsi="Times New Roman" w:cs="Times New Roman"/>
          <w:sz w:val="24"/>
          <w:szCs w:val="24"/>
        </w:rPr>
        <w:t>capacity</w:t>
      </w:r>
      <w:r w:rsidR="003811E7">
        <w:rPr>
          <w:rFonts w:ascii="Times New Roman" w:hAnsi="Times New Roman" w:cs="Times New Roman"/>
          <w:sz w:val="24"/>
          <w:szCs w:val="24"/>
        </w:rPr>
        <w:t xml:space="preserve">, and </w:t>
      </w:r>
      <w:r w:rsidR="00425078">
        <w:rPr>
          <w:rFonts w:ascii="Times New Roman" w:hAnsi="Times New Roman" w:cs="Times New Roman"/>
          <w:sz w:val="24"/>
          <w:szCs w:val="24"/>
        </w:rPr>
        <w:t xml:space="preserve">any </w:t>
      </w:r>
      <w:r w:rsidR="003811E7">
        <w:rPr>
          <w:rFonts w:ascii="Times New Roman" w:hAnsi="Times New Roman" w:cs="Times New Roman"/>
          <w:sz w:val="24"/>
          <w:szCs w:val="24"/>
        </w:rPr>
        <w:t>expected imports.</w:t>
      </w:r>
      <w:r w:rsidR="0021672B" w:rsidRPr="0021672B">
        <w:rPr>
          <w:rFonts w:ascii="Times New Roman" w:hAnsi="Times New Roman" w:cs="Times New Roman"/>
          <w:sz w:val="24"/>
          <w:szCs w:val="24"/>
        </w:rPr>
        <w:t xml:space="preserve"> </w:t>
      </w:r>
      <w:r w:rsidR="001B2ED9">
        <w:rPr>
          <w:rFonts w:ascii="Times New Roman" w:hAnsi="Times New Roman" w:cs="Times New Roman"/>
          <w:sz w:val="24"/>
          <w:szCs w:val="24"/>
        </w:rPr>
        <w:t xml:space="preserve"> </w:t>
      </w:r>
    </w:p>
    <w:p w14:paraId="1099C265" w14:textId="46AF7A7F" w:rsidR="003A4E75" w:rsidRPr="00D65A3B" w:rsidRDefault="003A4E75" w:rsidP="003A4E75">
      <w:pPr>
        <w:spacing w:line="360" w:lineRule="auto"/>
        <w:rPr>
          <w:rFonts w:ascii="Times New Roman" w:hAnsi="Times New Roman" w:cs="Times New Roman"/>
          <w:b/>
          <w:sz w:val="24"/>
          <w:szCs w:val="24"/>
        </w:rPr>
      </w:pPr>
      <w:r w:rsidRPr="00D65A3B">
        <w:rPr>
          <w:rFonts w:ascii="Times New Roman" w:hAnsi="Times New Roman" w:cs="Times New Roman"/>
          <w:b/>
          <w:sz w:val="24"/>
          <w:szCs w:val="24"/>
          <w:u w:val="single"/>
        </w:rPr>
        <w:t>Step 2</w:t>
      </w:r>
      <w:r>
        <w:rPr>
          <w:rFonts w:ascii="Times New Roman" w:hAnsi="Times New Roman" w:cs="Times New Roman"/>
          <w:b/>
          <w:sz w:val="24"/>
          <w:szCs w:val="24"/>
        </w:rPr>
        <w:t>: Document</w:t>
      </w:r>
      <w:r w:rsidR="009551FB">
        <w:rPr>
          <w:rFonts w:ascii="Times New Roman" w:hAnsi="Times New Roman" w:cs="Times New Roman"/>
          <w:b/>
          <w:sz w:val="24"/>
          <w:szCs w:val="24"/>
        </w:rPr>
        <w:t xml:space="preserve"> </w:t>
      </w:r>
      <w:r w:rsidR="00445044">
        <w:rPr>
          <w:rFonts w:ascii="Times New Roman" w:hAnsi="Times New Roman" w:cs="Times New Roman"/>
          <w:b/>
          <w:sz w:val="24"/>
          <w:szCs w:val="24"/>
        </w:rPr>
        <w:t>RE</w:t>
      </w:r>
      <w:r w:rsidR="009551FB">
        <w:rPr>
          <w:rFonts w:ascii="Times New Roman" w:hAnsi="Times New Roman" w:cs="Times New Roman"/>
          <w:b/>
          <w:sz w:val="24"/>
          <w:szCs w:val="24"/>
        </w:rPr>
        <w:t xml:space="preserve"> and </w:t>
      </w:r>
      <w:r>
        <w:rPr>
          <w:rFonts w:ascii="Times New Roman" w:hAnsi="Times New Roman" w:cs="Times New Roman"/>
          <w:b/>
          <w:sz w:val="24"/>
          <w:szCs w:val="24"/>
        </w:rPr>
        <w:t>demand</w:t>
      </w:r>
      <w:r w:rsidR="009551FB">
        <w:rPr>
          <w:rFonts w:ascii="Times New Roman" w:hAnsi="Times New Roman" w:cs="Times New Roman"/>
          <w:b/>
          <w:sz w:val="24"/>
          <w:szCs w:val="24"/>
        </w:rPr>
        <w:t>-</w:t>
      </w:r>
      <w:r>
        <w:rPr>
          <w:rFonts w:ascii="Times New Roman" w:hAnsi="Times New Roman" w:cs="Times New Roman"/>
          <w:b/>
          <w:sz w:val="24"/>
          <w:szCs w:val="24"/>
        </w:rPr>
        <w:t xml:space="preserve">side </w:t>
      </w:r>
      <w:r w:rsidR="00445044">
        <w:rPr>
          <w:rFonts w:ascii="Times New Roman" w:hAnsi="Times New Roman" w:cs="Times New Roman"/>
          <w:b/>
          <w:sz w:val="24"/>
          <w:szCs w:val="24"/>
        </w:rPr>
        <w:t>EE</w:t>
      </w:r>
      <w:r w:rsidRPr="00D65A3B">
        <w:rPr>
          <w:rFonts w:ascii="Times New Roman" w:hAnsi="Times New Roman" w:cs="Times New Roman"/>
          <w:b/>
          <w:sz w:val="24"/>
          <w:szCs w:val="24"/>
        </w:rPr>
        <w:t xml:space="preserve"> </w:t>
      </w:r>
      <w:r>
        <w:rPr>
          <w:rFonts w:ascii="Times New Roman" w:hAnsi="Times New Roman" w:cs="Times New Roman"/>
          <w:b/>
          <w:sz w:val="24"/>
          <w:szCs w:val="24"/>
        </w:rPr>
        <w:t>measures</w:t>
      </w:r>
      <w:r w:rsidRPr="00D65A3B">
        <w:rPr>
          <w:rFonts w:ascii="Times New Roman" w:hAnsi="Times New Roman" w:cs="Times New Roman"/>
          <w:b/>
          <w:sz w:val="24"/>
          <w:szCs w:val="24"/>
        </w:rPr>
        <w:t xml:space="preserve"> included in </w:t>
      </w:r>
      <w:r w:rsidR="002A3EE6">
        <w:rPr>
          <w:rFonts w:ascii="Times New Roman" w:hAnsi="Times New Roman" w:cs="Times New Roman"/>
          <w:b/>
          <w:sz w:val="24"/>
          <w:szCs w:val="24"/>
        </w:rPr>
        <w:t xml:space="preserve">the </w:t>
      </w:r>
      <w:r>
        <w:rPr>
          <w:rFonts w:ascii="Times New Roman" w:hAnsi="Times New Roman" w:cs="Times New Roman"/>
          <w:b/>
          <w:sz w:val="24"/>
          <w:szCs w:val="24"/>
        </w:rPr>
        <w:t>base case</w:t>
      </w:r>
      <w:r w:rsidRPr="00D65A3B">
        <w:rPr>
          <w:rFonts w:ascii="Times New Roman" w:hAnsi="Times New Roman" w:cs="Times New Roman"/>
          <w:b/>
          <w:sz w:val="24"/>
          <w:szCs w:val="24"/>
        </w:rPr>
        <w:t xml:space="preserve"> electricity </w:t>
      </w:r>
      <w:r w:rsidR="00903440">
        <w:rPr>
          <w:rFonts w:ascii="Times New Roman" w:hAnsi="Times New Roman" w:cs="Times New Roman"/>
          <w:b/>
          <w:sz w:val="24"/>
          <w:szCs w:val="24"/>
        </w:rPr>
        <w:t xml:space="preserve">demand and </w:t>
      </w:r>
      <w:r w:rsidR="004D773B">
        <w:rPr>
          <w:rFonts w:ascii="Times New Roman" w:hAnsi="Times New Roman" w:cs="Times New Roman"/>
          <w:b/>
          <w:sz w:val="24"/>
          <w:szCs w:val="24"/>
        </w:rPr>
        <w:t xml:space="preserve">supply </w:t>
      </w:r>
      <w:r w:rsidRPr="00D65A3B">
        <w:rPr>
          <w:rFonts w:ascii="Times New Roman" w:hAnsi="Times New Roman" w:cs="Times New Roman"/>
          <w:b/>
          <w:sz w:val="24"/>
          <w:szCs w:val="24"/>
        </w:rPr>
        <w:t>forecast.</w:t>
      </w:r>
    </w:p>
    <w:p w14:paraId="023A2F9C" w14:textId="53B0E5C2" w:rsidR="00F60C1A" w:rsidRPr="00D65A3B" w:rsidRDefault="003811E7" w:rsidP="003A4E75">
      <w:pPr>
        <w:spacing w:line="360" w:lineRule="auto"/>
        <w:ind w:firstLine="360"/>
        <w:rPr>
          <w:rFonts w:ascii="Times New Roman" w:hAnsi="Times New Roman" w:cs="Times New Roman"/>
          <w:b/>
          <w:sz w:val="24"/>
          <w:szCs w:val="24"/>
        </w:rPr>
      </w:pPr>
      <w:r>
        <w:rPr>
          <w:rFonts w:ascii="Times New Roman" w:hAnsi="Times New Roman" w:cs="Times New Roman"/>
          <w:sz w:val="24"/>
          <w:szCs w:val="24"/>
        </w:rPr>
        <w:t xml:space="preserve">Demand forecasts from different information </w:t>
      </w:r>
      <w:r w:rsidR="003A4E75" w:rsidRPr="00D65A3B">
        <w:rPr>
          <w:rFonts w:ascii="Times New Roman" w:hAnsi="Times New Roman" w:cs="Times New Roman"/>
          <w:sz w:val="24"/>
          <w:szCs w:val="24"/>
        </w:rPr>
        <w:t xml:space="preserve">sources reflect on-the-books </w:t>
      </w:r>
      <w:r w:rsidR="00D54D41">
        <w:rPr>
          <w:rFonts w:ascii="Times New Roman" w:hAnsi="Times New Roman" w:cs="Times New Roman"/>
          <w:sz w:val="24"/>
          <w:szCs w:val="24"/>
        </w:rPr>
        <w:t xml:space="preserve">RE and </w:t>
      </w:r>
      <w:r w:rsidR="009551FB">
        <w:rPr>
          <w:rFonts w:ascii="Times New Roman" w:hAnsi="Times New Roman" w:cs="Times New Roman"/>
          <w:sz w:val="24"/>
          <w:szCs w:val="24"/>
        </w:rPr>
        <w:t>demand-</w:t>
      </w:r>
      <w:r w:rsidR="003A4E75">
        <w:rPr>
          <w:rFonts w:ascii="Times New Roman" w:hAnsi="Times New Roman" w:cs="Times New Roman"/>
          <w:sz w:val="24"/>
          <w:szCs w:val="24"/>
        </w:rPr>
        <w:t>side</w:t>
      </w:r>
      <w:r w:rsidR="003A4E75" w:rsidRPr="00D65A3B">
        <w:rPr>
          <w:rFonts w:ascii="Times New Roman" w:hAnsi="Times New Roman" w:cs="Times New Roman"/>
          <w:sz w:val="24"/>
          <w:szCs w:val="24"/>
        </w:rPr>
        <w:t xml:space="preserve"> EE policies to varying degrees in demand </w:t>
      </w:r>
      <w:r w:rsidR="004D773B">
        <w:rPr>
          <w:rFonts w:ascii="Times New Roman" w:hAnsi="Times New Roman" w:cs="Times New Roman"/>
          <w:sz w:val="24"/>
          <w:szCs w:val="24"/>
        </w:rPr>
        <w:t xml:space="preserve">and supply </w:t>
      </w:r>
      <w:r w:rsidR="003A4E75" w:rsidRPr="00D65A3B">
        <w:rPr>
          <w:rFonts w:ascii="Times New Roman" w:hAnsi="Times New Roman" w:cs="Times New Roman"/>
          <w:sz w:val="24"/>
          <w:szCs w:val="24"/>
        </w:rPr>
        <w:t>forecasts</w:t>
      </w:r>
      <w:r>
        <w:rPr>
          <w:rFonts w:ascii="Times New Roman" w:hAnsi="Times New Roman" w:cs="Times New Roman"/>
          <w:sz w:val="24"/>
          <w:szCs w:val="24"/>
        </w:rPr>
        <w:t>. The</w:t>
      </w:r>
      <w:r w:rsidR="003A4E75" w:rsidRPr="00D65A3B">
        <w:rPr>
          <w:rFonts w:ascii="Times New Roman" w:hAnsi="Times New Roman" w:cs="Times New Roman"/>
          <w:sz w:val="24"/>
          <w:szCs w:val="24"/>
        </w:rPr>
        <w:t xml:space="preserve"> state must </w:t>
      </w:r>
      <w:r>
        <w:rPr>
          <w:rFonts w:ascii="Times New Roman" w:hAnsi="Times New Roman" w:cs="Times New Roman"/>
          <w:sz w:val="24"/>
          <w:szCs w:val="24"/>
        </w:rPr>
        <w:t>therefore</w:t>
      </w:r>
      <w:r w:rsidR="003A4E75" w:rsidRPr="00D65A3B">
        <w:rPr>
          <w:rFonts w:ascii="Times New Roman" w:hAnsi="Times New Roman" w:cs="Times New Roman"/>
          <w:sz w:val="24"/>
          <w:szCs w:val="24"/>
        </w:rPr>
        <w:t xml:space="preserve"> research and document how </w:t>
      </w:r>
      <w:r>
        <w:rPr>
          <w:rFonts w:ascii="Times New Roman" w:hAnsi="Times New Roman" w:cs="Times New Roman"/>
          <w:sz w:val="24"/>
          <w:szCs w:val="24"/>
        </w:rPr>
        <w:t>on-the</w:t>
      </w:r>
      <w:r w:rsidR="008D6400">
        <w:rPr>
          <w:rFonts w:ascii="Times New Roman" w:hAnsi="Times New Roman" w:cs="Times New Roman"/>
          <w:sz w:val="24"/>
          <w:szCs w:val="24"/>
        </w:rPr>
        <w:t>-</w:t>
      </w:r>
      <w:r>
        <w:rPr>
          <w:rFonts w:ascii="Times New Roman" w:hAnsi="Times New Roman" w:cs="Times New Roman"/>
          <w:sz w:val="24"/>
          <w:szCs w:val="24"/>
        </w:rPr>
        <w:t>books</w:t>
      </w:r>
      <w:r w:rsidR="003A4E75" w:rsidRPr="00D65A3B">
        <w:rPr>
          <w:rFonts w:ascii="Times New Roman" w:hAnsi="Times New Roman" w:cs="Times New Roman"/>
          <w:sz w:val="24"/>
          <w:szCs w:val="24"/>
        </w:rPr>
        <w:t xml:space="preserve"> </w:t>
      </w:r>
      <w:r w:rsidR="00903440">
        <w:rPr>
          <w:rFonts w:ascii="Times New Roman" w:hAnsi="Times New Roman" w:cs="Times New Roman"/>
          <w:sz w:val="24"/>
          <w:szCs w:val="24"/>
        </w:rPr>
        <w:t>RE</w:t>
      </w:r>
      <w:r w:rsidR="003A4E75" w:rsidRPr="00D65A3B">
        <w:rPr>
          <w:rFonts w:ascii="Times New Roman" w:hAnsi="Times New Roman" w:cs="Times New Roman"/>
          <w:sz w:val="24"/>
          <w:szCs w:val="24"/>
        </w:rPr>
        <w:t xml:space="preserve"> </w:t>
      </w:r>
      <w:r w:rsidR="004D773B">
        <w:rPr>
          <w:rFonts w:ascii="Times New Roman" w:hAnsi="Times New Roman" w:cs="Times New Roman"/>
          <w:sz w:val="24"/>
          <w:szCs w:val="24"/>
        </w:rPr>
        <w:t>and</w:t>
      </w:r>
      <w:r w:rsidR="003A4E75" w:rsidRPr="00D65A3B">
        <w:rPr>
          <w:rFonts w:ascii="Times New Roman" w:hAnsi="Times New Roman" w:cs="Times New Roman"/>
          <w:sz w:val="24"/>
          <w:szCs w:val="24"/>
        </w:rPr>
        <w:t xml:space="preserve"> </w:t>
      </w:r>
      <w:r w:rsidR="004D773B">
        <w:rPr>
          <w:rFonts w:ascii="Times New Roman" w:hAnsi="Times New Roman" w:cs="Times New Roman"/>
          <w:sz w:val="24"/>
          <w:szCs w:val="24"/>
        </w:rPr>
        <w:t xml:space="preserve">demand-side </w:t>
      </w:r>
      <w:r w:rsidR="00903440">
        <w:rPr>
          <w:rFonts w:ascii="Times New Roman" w:hAnsi="Times New Roman" w:cs="Times New Roman"/>
          <w:sz w:val="24"/>
          <w:szCs w:val="24"/>
        </w:rPr>
        <w:t>EE</w:t>
      </w:r>
      <w:r w:rsidR="004D773B">
        <w:rPr>
          <w:rFonts w:ascii="Times New Roman" w:hAnsi="Times New Roman" w:cs="Times New Roman"/>
          <w:sz w:val="24"/>
          <w:szCs w:val="24"/>
        </w:rPr>
        <w:t xml:space="preserve"> </w:t>
      </w:r>
      <w:r w:rsidR="003A4E75" w:rsidRPr="00D65A3B">
        <w:rPr>
          <w:rFonts w:ascii="Times New Roman" w:hAnsi="Times New Roman" w:cs="Times New Roman"/>
          <w:sz w:val="24"/>
          <w:szCs w:val="24"/>
        </w:rPr>
        <w:t>program</w:t>
      </w:r>
      <w:r w:rsidR="00445044">
        <w:rPr>
          <w:rFonts w:ascii="Times New Roman" w:hAnsi="Times New Roman" w:cs="Times New Roman"/>
          <w:sz w:val="24"/>
          <w:szCs w:val="24"/>
        </w:rPr>
        <w:t>s</w:t>
      </w:r>
      <w:r w:rsidR="003A4E75" w:rsidRPr="00D65A3B">
        <w:rPr>
          <w:rFonts w:ascii="Times New Roman" w:hAnsi="Times New Roman" w:cs="Times New Roman"/>
          <w:sz w:val="24"/>
          <w:szCs w:val="24"/>
        </w:rPr>
        <w:t xml:space="preserve"> included in the </w:t>
      </w:r>
      <w:r w:rsidR="003A4E75" w:rsidRPr="00D65A3B">
        <w:rPr>
          <w:rFonts w:ascii="Times New Roman" w:hAnsi="Times New Roman" w:cs="Times New Roman"/>
          <w:sz w:val="24"/>
          <w:szCs w:val="24"/>
        </w:rPr>
        <w:lastRenderedPageBreak/>
        <w:t xml:space="preserve">demand </w:t>
      </w:r>
      <w:r w:rsidR="004D773B">
        <w:rPr>
          <w:rFonts w:ascii="Times New Roman" w:hAnsi="Times New Roman" w:cs="Times New Roman"/>
          <w:sz w:val="24"/>
          <w:szCs w:val="24"/>
        </w:rPr>
        <w:t xml:space="preserve">or supply </w:t>
      </w:r>
      <w:r w:rsidR="003A4E75" w:rsidRPr="00D65A3B">
        <w:rPr>
          <w:rFonts w:ascii="Times New Roman" w:hAnsi="Times New Roman" w:cs="Times New Roman"/>
          <w:sz w:val="24"/>
          <w:szCs w:val="24"/>
        </w:rPr>
        <w:t xml:space="preserve">forecast used by the state </w:t>
      </w:r>
      <w:r w:rsidR="00445044">
        <w:rPr>
          <w:rFonts w:ascii="Times New Roman" w:hAnsi="Times New Roman" w:cs="Times New Roman"/>
          <w:sz w:val="24"/>
          <w:szCs w:val="24"/>
        </w:rPr>
        <w:t>are</w:t>
      </w:r>
      <w:r w:rsidR="003A4E75" w:rsidRPr="00D65A3B">
        <w:rPr>
          <w:rFonts w:ascii="Times New Roman" w:hAnsi="Times New Roman" w:cs="Times New Roman"/>
          <w:sz w:val="24"/>
          <w:szCs w:val="24"/>
        </w:rPr>
        <w:t xml:space="preserve"> incorporated into that.</w:t>
      </w:r>
      <w:r w:rsidR="003A4E75" w:rsidRPr="00D65A3B">
        <w:rPr>
          <w:rFonts w:ascii="Times New Roman" w:hAnsi="Times New Roman" w:cs="Times New Roman"/>
          <w:b/>
          <w:sz w:val="24"/>
          <w:szCs w:val="24"/>
        </w:rPr>
        <w:t xml:space="preserve"> </w:t>
      </w:r>
      <w:r w:rsidR="003A4E75" w:rsidRPr="00D65A3B">
        <w:rPr>
          <w:rFonts w:ascii="Times New Roman" w:eastAsia="Times New Roman" w:hAnsi="Times New Roman" w:cs="Times New Roman"/>
          <w:sz w:val="24"/>
          <w:szCs w:val="24"/>
        </w:rPr>
        <w:t>This will clarify which</w:t>
      </w:r>
      <w:r w:rsidR="003A4E75" w:rsidRPr="00D65A3B" w:rsidDel="0052342B">
        <w:rPr>
          <w:rFonts w:ascii="Times New Roman" w:eastAsia="Times New Roman" w:hAnsi="Times New Roman" w:cs="Times New Roman"/>
          <w:sz w:val="24"/>
          <w:szCs w:val="24"/>
        </w:rPr>
        <w:t xml:space="preserve"> </w:t>
      </w:r>
      <w:r w:rsidR="003A4E75" w:rsidRPr="00D65A3B">
        <w:rPr>
          <w:rFonts w:ascii="Times New Roman" w:eastAsia="Times New Roman" w:hAnsi="Times New Roman" w:cs="Times New Roman"/>
          <w:sz w:val="24"/>
          <w:szCs w:val="24"/>
        </w:rPr>
        <w:t>program</w:t>
      </w:r>
      <w:r w:rsidR="003A4E75">
        <w:rPr>
          <w:rFonts w:ascii="Times New Roman" w:eastAsia="Times New Roman" w:hAnsi="Times New Roman" w:cs="Times New Roman"/>
          <w:sz w:val="24"/>
          <w:szCs w:val="24"/>
        </w:rPr>
        <w:t>s</w:t>
      </w:r>
      <w:r w:rsidR="003A4E75" w:rsidRPr="00D65A3B">
        <w:rPr>
          <w:rFonts w:ascii="Times New Roman" w:eastAsia="Times New Roman" w:hAnsi="Times New Roman" w:cs="Times New Roman"/>
          <w:sz w:val="24"/>
          <w:szCs w:val="24"/>
        </w:rPr>
        <w:t xml:space="preserve"> are influencing the growth rate assumptions, and</w:t>
      </w:r>
      <w:r w:rsidR="00445044">
        <w:rPr>
          <w:rFonts w:ascii="Times New Roman" w:eastAsia="Times New Roman" w:hAnsi="Times New Roman" w:cs="Times New Roman"/>
          <w:sz w:val="24"/>
          <w:szCs w:val="24"/>
        </w:rPr>
        <w:t xml:space="preserve"> the</w:t>
      </w:r>
      <w:r w:rsidR="003A4E75" w:rsidRPr="00D65A3B">
        <w:rPr>
          <w:rFonts w:ascii="Times New Roman" w:eastAsia="Times New Roman" w:hAnsi="Times New Roman" w:cs="Times New Roman"/>
          <w:sz w:val="24"/>
          <w:szCs w:val="24"/>
        </w:rPr>
        <w:t xml:space="preserve"> EPA will use this information to assess whether the demand </w:t>
      </w:r>
      <w:r w:rsidR="0052342B">
        <w:rPr>
          <w:rFonts w:ascii="Times New Roman" w:eastAsia="Times New Roman" w:hAnsi="Times New Roman" w:cs="Times New Roman"/>
          <w:sz w:val="24"/>
          <w:szCs w:val="24"/>
        </w:rPr>
        <w:t xml:space="preserve">and supply </w:t>
      </w:r>
      <w:r w:rsidR="003A4E75" w:rsidRPr="00D65A3B">
        <w:rPr>
          <w:rFonts w:ascii="Times New Roman" w:eastAsia="Times New Roman" w:hAnsi="Times New Roman" w:cs="Times New Roman"/>
          <w:sz w:val="24"/>
          <w:szCs w:val="24"/>
        </w:rPr>
        <w:t>forecast is reasonable</w:t>
      </w:r>
      <w:r w:rsidR="003A4E75">
        <w:rPr>
          <w:rFonts w:ascii="Times New Roman" w:eastAsia="Times New Roman" w:hAnsi="Times New Roman" w:cs="Times New Roman"/>
          <w:sz w:val="24"/>
          <w:szCs w:val="24"/>
        </w:rPr>
        <w:t>.</w:t>
      </w:r>
      <w:r w:rsidR="003A4E75" w:rsidRPr="00D65A3B">
        <w:rPr>
          <w:rFonts w:ascii="Times New Roman" w:hAnsi="Times New Roman" w:cs="Times New Roman"/>
          <w:sz w:val="24"/>
          <w:szCs w:val="24"/>
        </w:rPr>
        <w:t xml:space="preserve"> </w:t>
      </w:r>
      <w:r w:rsidR="009551FB">
        <w:rPr>
          <w:rFonts w:ascii="Times New Roman" w:hAnsi="Times New Roman" w:cs="Times New Roman"/>
          <w:sz w:val="24"/>
          <w:szCs w:val="24"/>
        </w:rPr>
        <w:t xml:space="preserve">This also helps ensure that impacts captured in the base case forecast are not double-counted in the base case forecast or duplicated in the state plan performance projection. </w:t>
      </w:r>
      <w:r w:rsidR="003A4E75" w:rsidRPr="00D65A3B">
        <w:rPr>
          <w:rFonts w:ascii="Times New Roman" w:hAnsi="Times New Roman" w:cs="Times New Roman"/>
          <w:sz w:val="24"/>
          <w:szCs w:val="24"/>
        </w:rPr>
        <w:t>A</w:t>
      </w:r>
      <w:r w:rsidR="003A4E75" w:rsidRPr="00D65A3B">
        <w:rPr>
          <w:rFonts w:ascii="Times New Roman" w:hAnsi="Times New Roman" w:cs="Times New Roman"/>
          <w:bCs/>
          <w:sz w:val="24"/>
          <w:szCs w:val="24"/>
        </w:rPr>
        <w:t xml:space="preserve"> state should work with the source of the forecast to understand whether and how </w:t>
      </w:r>
      <w:r w:rsidR="009800E5">
        <w:rPr>
          <w:rFonts w:ascii="Times New Roman" w:hAnsi="Times New Roman" w:cs="Times New Roman"/>
          <w:bCs/>
          <w:sz w:val="24"/>
          <w:szCs w:val="24"/>
        </w:rPr>
        <w:t xml:space="preserve">RE and demand-side </w:t>
      </w:r>
      <w:r w:rsidR="00445044">
        <w:rPr>
          <w:rFonts w:ascii="Times New Roman" w:hAnsi="Times New Roman" w:cs="Times New Roman"/>
          <w:bCs/>
          <w:sz w:val="24"/>
          <w:szCs w:val="24"/>
        </w:rPr>
        <w:t xml:space="preserve">EE </w:t>
      </w:r>
      <w:r w:rsidR="003A4E75" w:rsidRPr="00D65A3B">
        <w:rPr>
          <w:rFonts w:ascii="Times New Roman" w:hAnsi="Times New Roman" w:cs="Times New Roman"/>
          <w:bCs/>
          <w:sz w:val="24"/>
          <w:szCs w:val="24"/>
        </w:rPr>
        <w:t>policies</w:t>
      </w:r>
      <w:r w:rsidR="00445044">
        <w:rPr>
          <w:rFonts w:ascii="Times New Roman" w:hAnsi="Times New Roman" w:cs="Times New Roman"/>
          <w:bCs/>
          <w:sz w:val="24"/>
          <w:szCs w:val="24"/>
        </w:rPr>
        <w:t xml:space="preserve"> and programs</w:t>
      </w:r>
      <w:r w:rsidR="009800E5">
        <w:rPr>
          <w:rFonts w:ascii="Times New Roman" w:hAnsi="Times New Roman" w:cs="Times New Roman"/>
          <w:bCs/>
          <w:sz w:val="24"/>
          <w:szCs w:val="24"/>
        </w:rPr>
        <w:t>, including but not limited to</w:t>
      </w:r>
      <w:r w:rsidR="00DA5DCA">
        <w:rPr>
          <w:rFonts w:ascii="Times New Roman" w:hAnsi="Times New Roman" w:cs="Times New Roman"/>
          <w:bCs/>
          <w:sz w:val="24"/>
          <w:szCs w:val="24"/>
        </w:rPr>
        <w:t xml:space="preserve"> </w:t>
      </w:r>
      <w:r w:rsidR="009800E5">
        <w:rPr>
          <w:rFonts w:ascii="Times New Roman" w:hAnsi="Times New Roman" w:cs="Times New Roman"/>
          <w:bCs/>
          <w:sz w:val="24"/>
          <w:szCs w:val="24"/>
        </w:rPr>
        <w:t>the list below,</w:t>
      </w:r>
      <w:r w:rsidR="003A4E75" w:rsidRPr="00D65A3B">
        <w:rPr>
          <w:rFonts w:ascii="Times New Roman" w:hAnsi="Times New Roman" w:cs="Times New Roman"/>
          <w:bCs/>
          <w:sz w:val="24"/>
          <w:szCs w:val="24"/>
        </w:rPr>
        <w:t xml:space="preserve"> are included in the </w:t>
      </w:r>
      <w:r w:rsidR="003A4E75">
        <w:rPr>
          <w:rFonts w:ascii="Times New Roman" w:hAnsi="Times New Roman" w:cs="Times New Roman"/>
          <w:bCs/>
          <w:sz w:val="24"/>
          <w:szCs w:val="24"/>
        </w:rPr>
        <w:t>base case</w:t>
      </w:r>
      <w:r w:rsidR="003A4E75" w:rsidRPr="00D65A3B">
        <w:rPr>
          <w:rFonts w:ascii="Times New Roman" w:hAnsi="Times New Roman" w:cs="Times New Roman"/>
          <w:bCs/>
          <w:sz w:val="24"/>
          <w:szCs w:val="24"/>
        </w:rPr>
        <w:t xml:space="preserve"> electricity demand </w:t>
      </w:r>
      <w:r w:rsidR="0052342B">
        <w:rPr>
          <w:rFonts w:ascii="Times New Roman" w:hAnsi="Times New Roman" w:cs="Times New Roman"/>
          <w:bCs/>
          <w:sz w:val="24"/>
          <w:szCs w:val="24"/>
        </w:rPr>
        <w:t xml:space="preserve">and supply </w:t>
      </w:r>
      <w:r w:rsidR="003A4E75" w:rsidRPr="00D65A3B">
        <w:rPr>
          <w:rFonts w:ascii="Times New Roman" w:hAnsi="Times New Roman" w:cs="Times New Roman"/>
          <w:bCs/>
          <w:sz w:val="24"/>
          <w:szCs w:val="24"/>
        </w:rPr>
        <w:t>forecast</w:t>
      </w:r>
      <w:r w:rsidR="00F60C1A" w:rsidRPr="00D65A3B">
        <w:rPr>
          <w:rFonts w:ascii="Times New Roman" w:hAnsi="Times New Roman" w:cs="Times New Roman"/>
          <w:bCs/>
          <w:sz w:val="24"/>
          <w:szCs w:val="24"/>
        </w:rPr>
        <w:t>:</w:t>
      </w:r>
    </w:p>
    <w:p w14:paraId="0D41135F" w14:textId="7645707D" w:rsidR="00F60C1A" w:rsidRPr="00D65A3B" w:rsidRDefault="00F60C1A" w:rsidP="003E2A35">
      <w:pPr>
        <w:pStyle w:val="ListParagraph"/>
        <w:numPr>
          <w:ilvl w:val="0"/>
          <w:numId w:val="16"/>
        </w:numPr>
        <w:spacing w:after="0" w:line="240" w:lineRule="auto"/>
        <w:ind w:left="720"/>
        <w:rPr>
          <w:rFonts w:ascii="Times New Roman" w:hAnsi="Times New Roman" w:cs="Times New Roman"/>
          <w:bCs/>
          <w:sz w:val="24"/>
          <w:szCs w:val="24"/>
        </w:rPr>
      </w:pPr>
      <w:r w:rsidRPr="00D65A3B">
        <w:rPr>
          <w:rFonts w:ascii="Times New Roman" w:hAnsi="Times New Roman" w:cs="Times New Roman"/>
          <w:bCs/>
          <w:sz w:val="24"/>
          <w:szCs w:val="24"/>
        </w:rPr>
        <w:t>EE policies or programs funded by utility ratepayers</w:t>
      </w:r>
      <w:r w:rsidR="00BB0A96" w:rsidRPr="00D65A3B">
        <w:rPr>
          <w:rFonts w:ascii="Times New Roman" w:hAnsi="Times New Roman" w:cs="Times New Roman"/>
          <w:bCs/>
          <w:sz w:val="24"/>
          <w:szCs w:val="24"/>
        </w:rPr>
        <w:t>,</w:t>
      </w:r>
      <w:r w:rsidRPr="00D65A3B">
        <w:rPr>
          <w:rFonts w:ascii="Times New Roman" w:hAnsi="Times New Roman" w:cs="Times New Roman"/>
          <w:bCs/>
          <w:sz w:val="24"/>
          <w:szCs w:val="24"/>
        </w:rPr>
        <w:t xml:space="preserve"> </w:t>
      </w:r>
    </w:p>
    <w:p w14:paraId="1490D0A0" w14:textId="207D1BE4" w:rsidR="00F60C1A" w:rsidRPr="00D65A3B" w:rsidRDefault="00F60C1A" w:rsidP="003E2A35">
      <w:pPr>
        <w:pStyle w:val="ListParagraph"/>
        <w:numPr>
          <w:ilvl w:val="0"/>
          <w:numId w:val="16"/>
        </w:numPr>
        <w:spacing w:after="0" w:line="240" w:lineRule="auto"/>
        <w:ind w:left="720"/>
        <w:rPr>
          <w:rFonts w:ascii="Times New Roman" w:hAnsi="Times New Roman" w:cs="Times New Roman"/>
          <w:bCs/>
          <w:sz w:val="24"/>
          <w:szCs w:val="24"/>
        </w:rPr>
      </w:pPr>
      <w:r w:rsidRPr="00D65A3B">
        <w:rPr>
          <w:rFonts w:ascii="Times New Roman" w:hAnsi="Times New Roman" w:cs="Times New Roman"/>
          <w:bCs/>
          <w:sz w:val="24"/>
          <w:szCs w:val="24"/>
        </w:rPr>
        <w:t>Existing federal appliance and lighting efficiency standards that are already in effect</w:t>
      </w:r>
      <w:r w:rsidR="00BB0A96" w:rsidRPr="00D65A3B">
        <w:rPr>
          <w:rFonts w:ascii="Times New Roman" w:hAnsi="Times New Roman" w:cs="Times New Roman"/>
          <w:bCs/>
          <w:sz w:val="24"/>
          <w:szCs w:val="24"/>
        </w:rPr>
        <w:t>,</w:t>
      </w:r>
    </w:p>
    <w:p w14:paraId="12A03B92" w14:textId="6F3DC983" w:rsidR="00F60C1A" w:rsidRPr="00D65A3B" w:rsidRDefault="00CF4F6C" w:rsidP="003E2A35">
      <w:pPr>
        <w:pStyle w:val="ListParagraph"/>
        <w:numPr>
          <w:ilvl w:val="0"/>
          <w:numId w:val="16"/>
        </w:num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Forthcoming </w:t>
      </w:r>
      <w:r w:rsidR="00C3481F">
        <w:rPr>
          <w:rFonts w:ascii="Times New Roman" w:hAnsi="Times New Roman" w:cs="Times New Roman"/>
          <w:bCs/>
          <w:sz w:val="24"/>
          <w:szCs w:val="24"/>
        </w:rPr>
        <w:t>f</w:t>
      </w:r>
      <w:r w:rsidR="00F60C1A" w:rsidRPr="00D65A3B">
        <w:rPr>
          <w:rFonts w:ascii="Times New Roman" w:hAnsi="Times New Roman" w:cs="Times New Roman"/>
          <w:bCs/>
          <w:sz w:val="24"/>
          <w:szCs w:val="24"/>
        </w:rPr>
        <w:t>ederal appliance and lighting standards</w:t>
      </w:r>
      <w:r w:rsidR="00BB0A96" w:rsidRPr="00D65A3B">
        <w:rPr>
          <w:rFonts w:ascii="Times New Roman" w:hAnsi="Times New Roman" w:cs="Times New Roman"/>
          <w:bCs/>
          <w:sz w:val="24"/>
          <w:szCs w:val="24"/>
        </w:rPr>
        <w:t>,</w:t>
      </w:r>
    </w:p>
    <w:p w14:paraId="281A1623" w14:textId="41C89EF9" w:rsidR="00F60C1A" w:rsidRPr="00D65A3B" w:rsidRDefault="00F60C1A" w:rsidP="003E2A35">
      <w:pPr>
        <w:pStyle w:val="ListParagraph"/>
        <w:numPr>
          <w:ilvl w:val="0"/>
          <w:numId w:val="16"/>
        </w:numPr>
        <w:spacing w:after="0" w:line="240" w:lineRule="auto"/>
        <w:ind w:left="720"/>
        <w:rPr>
          <w:rFonts w:ascii="Times New Roman" w:hAnsi="Times New Roman" w:cs="Times New Roman"/>
          <w:bCs/>
          <w:sz w:val="24"/>
          <w:szCs w:val="24"/>
        </w:rPr>
      </w:pPr>
      <w:r w:rsidRPr="00D65A3B">
        <w:rPr>
          <w:rFonts w:ascii="Times New Roman" w:hAnsi="Times New Roman" w:cs="Times New Roman"/>
          <w:bCs/>
          <w:sz w:val="24"/>
          <w:szCs w:val="24"/>
        </w:rPr>
        <w:t>State appliance or lighting efficiency standards (if applicable)</w:t>
      </w:r>
      <w:r w:rsidR="00BB0A96" w:rsidRPr="00D65A3B">
        <w:rPr>
          <w:rFonts w:ascii="Times New Roman" w:hAnsi="Times New Roman" w:cs="Times New Roman"/>
          <w:bCs/>
          <w:sz w:val="24"/>
          <w:szCs w:val="24"/>
        </w:rPr>
        <w:t>,</w:t>
      </w:r>
    </w:p>
    <w:p w14:paraId="53E56D33" w14:textId="77777777" w:rsidR="004D773B" w:rsidRDefault="00F60C1A" w:rsidP="003E2A35">
      <w:pPr>
        <w:pStyle w:val="ListParagraph"/>
        <w:numPr>
          <w:ilvl w:val="0"/>
          <w:numId w:val="16"/>
        </w:numPr>
        <w:spacing w:after="0" w:line="240" w:lineRule="auto"/>
        <w:ind w:left="720"/>
        <w:rPr>
          <w:rFonts w:ascii="Times New Roman" w:hAnsi="Times New Roman" w:cs="Times New Roman"/>
          <w:bCs/>
          <w:sz w:val="24"/>
          <w:szCs w:val="24"/>
        </w:rPr>
      </w:pPr>
      <w:r w:rsidRPr="00D65A3B">
        <w:rPr>
          <w:rFonts w:ascii="Times New Roman" w:hAnsi="Times New Roman" w:cs="Times New Roman"/>
          <w:bCs/>
          <w:sz w:val="24"/>
          <w:szCs w:val="24"/>
        </w:rPr>
        <w:t>State building energy codes</w:t>
      </w:r>
      <w:r w:rsidR="00BB0A96" w:rsidRPr="00D65A3B">
        <w:rPr>
          <w:rFonts w:ascii="Times New Roman" w:hAnsi="Times New Roman" w:cs="Times New Roman"/>
          <w:bCs/>
          <w:sz w:val="24"/>
          <w:szCs w:val="24"/>
        </w:rPr>
        <w:t>,</w:t>
      </w:r>
    </w:p>
    <w:p w14:paraId="0BD0007E" w14:textId="616A4396" w:rsidR="00F60C1A" w:rsidRPr="00D65A3B" w:rsidRDefault="004D773B" w:rsidP="003E2A35">
      <w:pPr>
        <w:pStyle w:val="ListParagraph"/>
        <w:numPr>
          <w:ilvl w:val="0"/>
          <w:numId w:val="16"/>
        </w:num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Renewable portfolio standards</w:t>
      </w:r>
      <w:r w:rsidR="00F21EA3">
        <w:rPr>
          <w:rFonts w:ascii="Times New Roman" w:hAnsi="Times New Roman" w:cs="Times New Roman"/>
          <w:bCs/>
          <w:sz w:val="24"/>
          <w:szCs w:val="24"/>
        </w:rPr>
        <w:t>,</w:t>
      </w:r>
      <w:r w:rsidR="00BB0A96" w:rsidRPr="00D65A3B">
        <w:rPr>
          <w:rFonts w:ascii="Times New Roman" w:hAnsi="Times New Roman" w:cs="Times New Roman"/>
          <w:bCs/>
          <w:sz w:val="24"/>
          <w:szCs w:val="24"/>
        </w:rPr>
        <w:t xml:space="preserve"> and</w:t>
      </w:r>
    </w:p>
    <w:p w14:paraId="45AF8D58" w14:textId="46F20BA8" w:rsidR="00F60C1A" w:rsidRPr="00D65A3B" w:rsidRDefault="00DA5DCA" w:rsidP="003E2A35">
      <w:pPr>
        <w:pStyle w:val="ListParagraph"/>
        <w:numPr>
          <w:ilvl w:val="0"/>
          <w:numId w:val="16"/>
        </w:num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C</w:t>
      </w:r>
      <w:r w:rsidR="00F60C1A" w:rsidRPr="00D65A3B">
        <w:rPr>
          <w:rFonts w:ascii="Times New Roman" w:hAnsi="Times New Roman" w:cs="Times New Roman"/>
          <w:bCs/>
          <w:sz w:val="24"/>
          <w:szCs w:val="24"/>
        </w:rPr>
        <w:t>odified local policies</w:t>
      </w:r>
      <w:r w:rsidR="009551FB">
        <w:rPr>
          <w:rFonts w:ascii="Times New Roman" w:hAnsi="Times New Roman" w:cs="Times New Roman"/>
          <w:bCs/>
          <w:sz w:val="24"/>
          <w:szCs w:val="24"/>
        </w:rPr>
        <w:t>.</w:t>
      </w:r>
    </w:p>
    <w:p w14:paraId="7ACE4790" w14:textId="77777777" w:rsidR="00F60C1A" w:rsidRPr="00D65A3B" w:rsidRDefault="00F60C1A" w:rsidP="00F60C1A">
      <w:pPr>
        <w:rPr>
          <w:rFonts w:ascii="Times New Roman" w:hAnsi="Times New Roman" w:cs="Times New Roman"/>
          <w:bCs/>
          <w:sz w:val="24"/>
          <w:szCs w:val="24"/>
        </w:rPr>
      </w:pPr>
    </w:p>
    <w:p w14:paraId="69A00002" w14:textId="42F6791F" w:rsidR="003A5B99" w:rsidRPr="00D65A3B" w:rsidRDefault="003A5B99" w:rsidP="003A5B99">
      <w:pPr>
        <w:rPr>
          <w:rFonts w:ascii="Times New Roman" w:hAnsi="Times New Roman" w:cs="Times New Roman"/>
          <w:sz w:val="24"/>
          <w:szCs w:val="24"/>
        </w:rPr>
      </w:pPr>
      <w:r w:rsidRPr="00D65A3B">
        <w:rPr>
          <w:rFonts w:ascii="Times New Roman" w:hAnsi="Times New Roman" w:cs="Times New Roman"/>
          <w:sz w:val="24"/>
          <w:szCs w:val="24"/>
        </w:rPr>
        <w:t xml:space="preserve">There are at least two ways that these programs are captured in an existing forecast: </w:t>
      </w:r>
    </w:p>
    <w:p w14:paraId="3A2D2BF6" w14:textId="446B264F" w:rsidR="003A5B99" w:rsidRPr="00D65A3B" w:rsidRDefault="00C230E9" w:rsidP="0093418C">
      <w:pPr>
        <w:pStyle w:val="ListParagraph"/>
        <w:numPr>
          <w:ilvl w:val="0"/>
          <w:numId w:val="2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Programs </w:t>
      </w:r>
      <w:r w:rsidR="00535D1F">
        <w:rPr>
          <w:rFonts w:ascii="Times New Roman" w:eastAsia="Times New Roman" w:hAnsi="Times New Roman" w:cs="Times New Roman"/>
          <w:sz w:val="24"/>
          <w:szCs w:val="24"/>
        </w:rPr>
        <w:t>are</w:t>
      </w:r>
      <w:r w:rsidR="003A5B99" w:rsidRPr="00D65A3B">
        <w:rPr>
          <w:rFonts w:ascii="Times New Roman" w:eastAsia="Times New Roman" w:hAnsi="Times New Roman" w:cs="Times New Roman"/>
          <w:sz w:val="24"/>
          <w:szCs w:val="24"/>
        </w:rPr>
        <w:t xml:space="preserve"> </w:t>
      </w:r>
      <w:r w:rsidR="52CFEAF4" w:rsidRPr="00D65A3B">
        <w:rPr>
          <w:rFonts w:ascii="Times New Roman" w:eastAsia="Times New Roman" w:hAnsi="Times New Roman" w:cs="Times New Roman"/>
          <w:sz w:val="24"/>
          <w:szCs w:val="24"/>
        </w:rPr>
        <w:t>explicitly identifie</w:t>
      </w:r>
      <w:r w:rsidR="2E94D21F" w:rsidRPr="00D65A3B">
        <w:rPr>
          <w:rFonts w:ascii="Times New Roman" w:eastAsia="Times New Roman" w:hAnsi="Times New Roman" w:cs="Times New Roman"/>
          <w:sz w:val="24"/>
          <w:szCs w:val="24"/>
        </w:rPr>
        <w:t>d</w:t>
      </w:r>
      <w:r w:rsidR="009551FB">
        <w:rPr>
          <w:rFonts w:ascii="Times New Roman" w:eastAsia="Times New Roman" w:hAnsi="Times New Roman" w:cs="Times New Roman"/>
          <w:sz w:val="24"/>
          <w:szCs w:val="24"/>
        </w:rPr>
        <w:t>, meaning the forecast</w:t>
      </w:r>
      <w:r w:rsidR="52CFEAF4" w:rsidRPr="00D65A3B">
        <w:rPr>
          <w:rFonts w:ascii="Times New Roman" w:eastAsia="Times New Roman" w:hAnsi="Times New Roman" w:cs="Times New Roman"/>
          <w:sz w:val="24"/>
          <w:szCs w:val="24"/>
        </w:rPr>
        <w:t xml:space="preserve"> </w:t>
      </w:r>
      <w:r w:rsidR="003A5B99" w:rsidRPr="00D65A3B">
        <w:rPr>
          <w:rFonts w:ascii="Times New Roman" w:eastAsia="Times New Roman" w:hAnsi="Times New Roman" w:cs="Times New Roman"/>
          <w:sz w:val="24"/>
          <w:szCs w:val="24"/>
        </w:rPr>
        <w:t>show</w:t>
      </w:r>
      <w:r w:rsidR="6EA79A8F" w:rsidRPr="00D65A3B">
        <w:rPr>
          <w:rFonts w:ascii="Times New Roman" w:eastAsia="Times New Roman" w:hAnsi="Times New Roman" w:cs="Times New Roman"/>
          <w:sz w:val="24"/>
          <w:szCs w:val="24"/>
        </w:rPr>
        <w:t>s</w:t>
      </w:r>
      <w:r w:rsidR="003A5B99" w:rsidRPr="00D65A3B">
        <w:rPr>
          <w:rFonts w:ascii="Times New Roman" w:eastAsia="Times New Roman" w:hAnsi="Times New Roman" w:cs="Times New Roman"/>
          <w:sz w:val="24"/>
          <w:szCs w:val="24"/>
        </w:rPr>
        <w:t xml:space="preserve"> a direct connection between the program and its impacts on energy demand</w:t>
      </w:r>
      <w:r w:rsidR="0052342B">
        <w:rPr>
          <w:rFonts w:ascii="Times New Roman" w:eastAsia="Times New Roman" w:hAnsi="Times New Roman" w:cs="Times New Roman"/>
          <w:sz w:val="24"/>
          <w:szCs w:val="24"/>
        </w:rPr>
        <w:t xml:space="preserve"> or supply</w:t>
      </w:r>
      <w:r w:rsidR="6EA79A8F" w:rsidRPr="00D65A3B">
        <w:rPr>
          <w:rFonts w:ascii="Times New Roman" w:eastAsia="Times New Roman" w:hAnsi="Times New Roman" w:cs="Times New Roman"/>
          <w:sz w:val="24"/>
          <w:szCs w:val="24"/>
        </w:rPr>
        <w:t xml:space="preserve"> (MWhs)</w:t>
      </w:r>
      <w:r w:rsidR="00445044">
        <w:rPr>
          <w:rFonts w:ascii="Times New Roman" w:eastAsia="Times New Roman" w:hAnsi="Times New Roman" w:cs="Times New Roman"/>
          <w:sz w:val="24"/>
          <w:szCs w:val="24"/>
        </w:rPr>
        <w:t>,</w:t>
      </w:r>
    </w:p>
    <w:p w14:paraId="71FC5109" w14:textId="3F354CE1" w:rsidR="003A5B99" w:rsidRPr="00D65A3B" w:rsidRDefault="00C230E9" w:rsidP="0093418C">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Programs </w:t>
      </w:r>
      <w:r w:rsidR="009B2D45">
        <w:rPr>
          <w:rFonts w:ascii="Times New Roman" w:hAnsi="Times New Roman" w:cs="Times New Roman"/>
          <w:sz w:val="24"/>
          <w:szCs w:val="24"/>
        </w:rPr>
        <w:t>are</w:t>
      </w:r>
      <w:r>
        <w:rPr>
          <w:rFonts w:ascii="Times New Roman" w:hAnsi="Times New Roman" w:cs="Times New Roman"/>
          <w:sz w:val="24"/>
          <w:szCs w:val="24"/>
        </w:rPr>
        <w:t xml:space="preserve"> </w:t>
      </w:r>
      <w:r w:rsidR="004E4EA4">
        <w:rPr>
          <w:rFonts w:ascii="Times New Roman" w:hAnsi="Times New Roman" w:cs="Times New Roman"/>
          <w:sz w:val="24"/>
          <w:szCs w:val="24"/>
        </w:rPr>
        <w:t>in</w:t>
      </w:r>
      <w:r w:rsidR="003A5B99" w:rsidRPr="00D65A3B">
        <w:rPr>
          <w:rFonts w:ascii="Times New Roman" w:hAnsi="Times New Roman" w:cs="Times New Roman"/>
          <w:sz w:val="24"/>
          <w:szCs w:val="24"/>
        </w:rPr>
        <w:t xml:space="preserve">directly, and either fully or partially, </w:t>
      </w:r>
      <w:r w:rsidR="004E4EA4">
        <w:rPr>
          <w:rFonts w:ascii="Times New Roman" w:hAnsi="Times New Roman" w:cs="Times New Roman"/>
          <w:sz w:val="24"/>
          <w:szCs w:val="24"/>
        </w:rPr>
        <w:t xml:space="preserve">captured </w:t>
      </w:r>
      <w:r w:rsidR="003A5B99" w:rsidRPr="00D65A3B">
        <w:rPr>
          <w:rFonts w:ascii="Times New Roman" w:hAnsi="Times New Roman" w:cs="Times New Roman"/>
          <w:sz w:val="24"/>
          <w:szCs w:val="24"/>
        </w:rPr>
        <w:t>through econometric or other assumptions in the</w:t>
      </w:r>
      <w:r w:rsidR="00624D89">
        <w:rPr>
          <w:rFonts w:ascii="Times New Roman" w:hAnsi="Times New Roman" w:cs="Times New Roman"/>
          <w:sz w:val="24"/>
          <w:szCs w:val="24"/>
        </w:rPr>
        <w:t xml:space="preserve"> relevant</w:t>
      </w:r>
      <w:r w:rsidR="003A5B99" w:rsidRPr="00D65A3B">
        <w:rPr>
          <w:rFonts w:ascii="Times New Roman" w:hAnsi="Times New Roman" w:cs="Times New Roman"/>
          <w:sz w:val="24"/>
          <w:szCs w:val="24"/>
        </w:rPr>
        <w:t xml:space="preserve"> economic model (e.g., as captured in National Energy Modeling System (NEMS))</w:t>
      </w:r>
      <w:r w:rsidR="009551FB">
        <w:rPr>
          <w:rFonts w:ascii="Times New Roman" w:hAnsi="Times New Roman" w:cs="Times New Roman"/>
          <w:sz w:val="24"/>
          <w:szCs w:val="24"/>
        </w:rPr>
        <w:t>.</w:t>
      </w:r>
      <w:r w:rsidR="009551FB" w:rsidRPr="00D65A3B">
        <w:rPr>
          <w:rStyle w:val="FootnoteReference"/>
          <w:rFonts w:ascii="Times New Roman" w:eastAsia="Times New Roman" w:hAnsi="Times New Roman" w:cs="Times New Roman"/>
          <w:sz w:val="24"/>
          <w:szCs w:val="24"/>
        </w:rPr>
        <w:footnoteReference w:id="4"/>
      </w:r>
    </w:p>
    <w:p w14:paraId="4CC76A79" w14:textId="77777777" w:rsidR="003A5B99" w:rsidRPr="00D65A3B" w:rsidRDefault="003A5B99" w:rsidP="0044758E">
      <w:pPr>
        <w:spacing w:after="120" w:line="240" w:lineRule="auto"/>
        <w:rPr>
          <w:rFonts w:ascii="Times New Roman" w:hAnsi="Times New Roman" w:cs="Times New Roman"/>
          <w:bCs/>
          <w:sz w:val="24"/>
          <w:szCs w:val="24"/>
        </w:rPr>
      </w:pPr>
    </w:p>
    <w:p w14:paraId="3B0D3CF7" w14:textId="1D793BFB" w:rsidR="009B60B8" w:rsidRPr="00D65A3B" w:rsidRDefault="003A4E75" w:rsidP="006239D0">
      <w:pPr>
        <w:spacing w:after="120" w:line="360" w:lineRule="auto"/>
        <w:rPr>
          <w:rFonts w:ascii="Times New Roman" w:hAnsi="Times New Roman" w:cs="Times New Roman"/>
          <w:bCs/>
          <w:sz w:val="24"/>
          <w:szCs w:val="24"/>
        </w:rPr>
      </w:pPr>
      <w:r w:rsidRPr="00D65A3B">
        <w:rPr>
          <w:rFonts w:ascii="Times New Roman" w:eastAsia="Times New Roman" w:hAnsi="Times New Roman" w:cs="Times New Roman"/>
          <w:sz w:val="24"/>
          <w:szCs w:val="24"/>
        </w:rPr>
        <w:lastRenderedPageBreak/>
        <w:t xml:space="preserve">For </w:t>
      </w:r>
      <w:r>
        <w:rPr>
          <w:rFonts w:ascii="Times New Roman" w:eastAsia="Times New Roman" w:hAnsi="Times New Roman" w:cs="Times New Roman"/>
          <w:sz w:val="24"/>
          <w:szCs w:val="24"/>
        </w:rPr>
        <w:t>all</w:t>
      </w:r>
      <w:r w:rsidRPr="00D65A3B">
        <w:rPr>
          <w:rFonts w:ascii="Times New Roman" w:eastAsia="Times New Roman" w:hAnsi="Times New Roman" w:cs="Times New Roman"/>
          <w:sz w:val="24"/>
          <w:szCs w:val="24"/>
        </w:rPr>
        <w:t xml:space="preserve"> </w:t>
      </w:r>
      <w:r w:rsidR="00840529">
        <w:rPr>
          <w:rFonts w:ascii="Times New Roman" w:eastAsia="Times New Roman" w:hAnsi="Times New Roman" w:cs="Times New Roman"/>
          <w:sz w:val="24"/>
          <w:szCs w:val="24"/>
        </w:rPr>
        <w:t>RE and</w:t>
      </w:r>
      <w:r w:rsidRPr="00D65A3B">
        <w:rPr>
          <w:rFonts w:ascii="Times New Roman" w:eastAsia="Times New Roman" w:hAnsi="Times New Roman" w:cs="Times New Roman"/>
          <w:sz w:val="24"/>
          <w:szCs w:val="24"/>
        </w:rPr>
        <w:t xml:space="preserve"> </w:t>
      </w:r>
      <w:r w:rsidR="0052342B">
        <w:rPr>
          <w:rFonts w:ascii="Times New Roman" w:eastAsia="Times New Roman" w:hAnsi="Times New Roman" w:cs="Times New Roman"/>
          <w:sz w:val="24"/>
          <w:szCs w:val="24"/>
        </w:rPr>
        <w:t xml:space="preserve">demand-side </w:t>
      </w:r>
      <w:r w:rsidRPr="00D65A3B">
        <w:rPr>
          <w:rFonts w:ascii="Times New Roman" w:eastAsia="Times New Roman" w:hAnsi="Times New Roman" w:cs="Times New Roman"/>
          <w:sz w:val="24"/>
          <w:szCs w:val="24"/>
        </w:rPr>
        <w:t>EE program</w:t>
      </w:r>
      <w:r>
        <w:rPr>
          <w:rFonts w:ascii="Times New Roman" w:eastAsia="Times New Roman" w:hAnsi="Times New Roman" w:cs="Times New Roman"/>
          <w:sz w:val="24"/>
          <w:szCs w:val="24"/>
        </w:rPr>
        <w:t>s</w:t>
      </w:r>
      <w:r w:rsidRPr="00D65A3B">
        <w:rPr>
          <w:rFonts w:ascii="Times New Roman" w:eastAsia="Times New Roman" w:hAnsi="Times New Roman" w:cs="Times New Roman"/>
          <w:sz w:val="24"/>
          <w:szCs w:val="24"/>
        </w:rPr>
        <w:t xml:space="preserve"> included in the </w:t>
      </w:r>
      <w:r>
        <w:rPr>
          <w:rFonts w:ascii="Times New Roman" w:eastAsia="Times New Roman" w:hAnsi="Times New Roman" w:cs="Times New Roman"/>
          <w:sz w:val="24"/>
          <w:szCs w:val="24"/>
        </w:rPr>
        <w:t>base case</w:t>
      </w:r>
      <w:r w:rsidRPr="00D65A3B">
        <w:rPr>
          <w:rFonts w:ascii="Times New Roman" w:eastAsia="Times New Roman" w:hAnsi="Times New Roman" w:cs="Times New Roman"/>
          <w:sz w:val="24"/>
          <w:szCs w:val="24"/>
        </w:rPr>
        <w:t xml:space="preserve"> demand forecast, a state must document</w:t>
      </w:r>
      <w:r>
        <w:rPr>
          <w:rFonts w:ascii="Times New Roman" w:eastAsia="Times New Roman" w:hAnsi="Times New Roman" w:cs="Times New Roman"/>
          <w:sz w:val="24"/>
          <w:szCs w:val="24"/>
        </w:rPr>
        <w:t xml:space="preserve"> </w:t>
      </w:r>
      <w:r w:rsidRPr="00D65A3B">
        <w:rPr>
          <w:rFonts w:ascii="Times New Roman" w:eastAsia="Times New Roman" w:hAnsi="Times New Roman" w:cs="Times New Roman"/>
          <w:sz w:val="24"/>
          <w:szCs w:val="24"/>
        </w:rPr>
        <w:t xml:space="preserve">whether the program is </w:t>
      </w:r>
      <w:r>
        <w:rPr>
          <w:rFonts w:ascii="Times New Roman" w:eastAsia="Times New Roman" w:hAnsi="Times New Roman" w:cs="Times New Roman"/>
          <w:sz w:val="24"/>
          <w:szCs w:val="24"/>
        </w:rPr>
        <w:t xml:space="preserve">captured </w:t>
      </w:r>
      <w:r w:rsidRPr="00D65A3B">
        <w:rPr>
          <w:rFonts w:ascii="Times New Roman" w:eastAsia="Times New Roman" w:hAnsi="Times New Roman" w:cs="Times New Roman"/>
          <w:sz w:val="24"/>
          <w:szCs w:val="24"/>
        </w:rPr>
        <w:t>explicitly or indirectly</w:t>
      </w:r>
      <w:r>
        <w:rPr>
          <w:rFonts w:ascii="Times New Roman" w:eastAsia="Times New Roman" w:hAnsi="Times New Roman" w:cs="Times New Roman"/>
          <w:sz w:val="24"/>
          <w:szCs w:val="24"/>
        </w:rPr>
        <w:t>.</w:t>
      </w:r>
      <w:r w:rsidRPr="00D65A3B">
        <w:rPr>
          <w:rFonts w:ascii="Times New Roman" w:eastAsia="Times New Roman" w:hAnsi="Times New Roman" w:cs="Times New Roman"/>
          <w:sz w:val="24"/>
          <w:szCs w:val="24"/>
        </w:rPr>
        <w:t xml:space="preserve"> In addition, a state must include the following information for on-the-books programs that are reflected in the </w:t>
      </w:r>
      <w:r>
        <w:rPr>
          <w:rFonts w:ascii="Times New Roman" w:eastAsia="Times New Roman" w:hAnsi="Times New Roman" w:cs="Times New Roman"/>
          <w:sz w:val="24"/>
          <w:szCs w:val="24"/>
        </w:rPr>
        <w:t>base case</w:t>
      </w:r>
      <w:r w:rsidRPr="00D65A3B">
        <w:rPr>
          <w:rFonts w:ascii="Times New Roman" w:eastAsia="Times New Roman" w:hAnsi="Times New Roman" w:cs="Times New Roman"/>
          <w:sz w:val="24"/>
          <w:szCs w:val="24"/>
        </w:rPr>
        <w:t xml:space="preserve"> forecast</w:t>
      </w:r>
      <w:r w:rsidR="001320F8">
        <w:rPr>
          <w:rFonts w:ascii="Times New Roman" w:eastAsia="Times New Roman" w:hAnsi="Times New Roman" w:cs="Times New Roman"/>
          <w:sz w:val="24"/>
          <w:szCs w:val="24"/>
        </w:rPr>
        <w:t>:</w:t>
      </w:r>
    </w:p>
    <w:p w14:paraId="429681CA" w14:textId="7412819F" w:rsidR="000F651C" w:rsidRPr="00D65A3B" w:rsidRDefault="000F651C" w:rsidP="008407A3">
      <w:pPr>
        <w:pStyle w:val="ListParagraph"/>
        <w:numPr>
          <w:ilvl w:val="0"/>
          <w:numId w:val="18"/>
        </w:numPr>
        <w:tabs>
          <w:tab w:val="left" w:pos="828"/>
          <w:tab w:val="left" w:pos="1908"/>
          <w:tab w:val="left" w:pos="2988"/>
          <w:tab w:val="left" w:pos="4338"/>
          <w:tab w:val="left" w:pos="6048"/>
          <w:tab w:val="left" w:pos="7758"/>
        </w:tabs>
        <w:spacing w:after="0" w:line="240" w:lineRule="auto"/>
        <w:rPr>
          <w:rFonts w:ascii="Times New Roman" w:hAnsi="Times New Roman" w:cs="Times New Roman"/>
          <w:bCs/>
          <w:sz w:val="24"/>
          <w:szCs w:val="24"/>
        </w:rPr>
      </w:pPr>
      <w:r w:rsidRPr="00D65A3B">
        <w:rPr>
          <w:rFonts w:ascii="Times New Roman" w:hAnsi="Times New Roman" w:cs="Times New Roman"/>
          <w:sz w:val="24"/>
          <w:szCs w:val="24"/>
        </w:rPr>
        <w:t>Policy</w:t>
      </w:r>
      <w:r w:rsidR="00086B2E">
        <w:rPr>
          <w:rFonts w:ascii="Times New Roman" w:hAnsi="Times New Roman" w:cs="Times New Roman"/>
          <w:sz w:val="24"/>
          <w:szCs w:val="24"/>
        </w:rPr>
        <w:t xml:space="preserve"> or program</w:t>
      </w:r>
      <w:r w:rsidRPr="00D65A3B">
        <w:rPr>
          <w:rFonts w:ascii="Times New Roman" w:hAnsi="Times New Roman" w:cs="Times New Roman"/>
          <w:sz w:val="24"/>
          <w:szCs w:val="24"/>
        </w:rPr>
        <w:t xml:space="preserve"> name</w:t>
      </w:r>
      <w:r w:rsidR="00A2658F">
        <w:rPr>
          <w:rFonts w:ascii="Times New Roman" w:hAnsi="Times New Roman" w:cs="Times New Roman"/>
          <w:sz w:val="24"/>
          <w:szCs w:val="24"/>
        </w:rPr>
        <w:t>,</w:t>
      </w:r>
      <w:r w:rsidRPr="00D65A3B">
        <w:rPr>
          <w:rFonts w:ascii="Times New Roman" w:hAnsi="Times New Roman" w:cs="Times New Roman"/>
          <w:sz w:val="24"/>
          <w:szCs w:val="24"/>
        </w:rPr>
        <w:t xml:space="preserve"> </w:t>
      </w:r>
      <w:r w:rsidRPr="00D65A3B">
        <w:rPr>
          <w:rFonts w:ascii="Times New Roman" w:hAnsi="Times New Roman" w:cs="Times New Roman"/>
          <w:bCs/>
          <w:sz w:val="24"/>
          <w:szCs w:val="24"/>
        </w:rPr>
        <w:tab/>
      </w:r>
    </w:p>
    <w:p w14:paraId="22FDFA33" w14:textId="2FFE3466" w:rsidR="000F651C" w:rsidRPr="00D65A3B" w:rsidRDefault="000F651C" w:rsidP="008407A3">
      <w:pPr>
        <w:pStyle w:val="ListParagraph"/>
        <w:numPr>
          <w:ilvl w:val="0"/>
          <w:numId w:val="18"/>
        </w:numPr>
        <w:tabs>
          <w:tab w:val="left" w:pos="828"/>
          <w:tab w:val="left" w:pos="1908"/>
          <w:tab w:val="left" w:pos="2988"/>
          <w:tab w:val="left" w:pos="4338"/>
          <w:tab w:val="left" w:pos="6048"/>
          <w:tab w:val="left" w:pos="7758"/>
        </w:tabs>
        <w:spacing w:after="0" w:line="240" w:lineRule="auto"/>
        <w:rPr>
          <w:rFonts w:ascii="Times New Roman" w:hAnsi="Times New Roman" w:cs="Times New Roman"/>
          <w:bCs/>
          <w:sz w:val="24"/>
          <w:szCs w:val="24"/>
        </w:rPr>
      </w:pPr>
      <w:r w:rsidRPr="00D65A3B">
        <w:rPr>
          <w:rFonts w:ascii="Times New Roman" w:hAnsi="Times New Roman" w:cs="Times New Roman"/>
          <w:sz w:val="24"/>
          <w:szCs w:val="24"/>
        </w:rPr>
        <w:t>Whether the policy is codified in state or local rule</w:t>
      </w:r>
      <w:r w:rsidR="00A2658F">
        <w:rPr>
          <w:rFonts w:ascii="Times New Roman" w:hAnsi="Times New Roman" w:cs="Times New Roman"/>
          <w:sz w:val="24"/>
          <w:szCs w:val="24"/>
        </w:rPr>
        <w:t>,</w:t>
      </w:r>
      <w:r w:rsidRPr="00D65A3B">
        <w:rPr>
          <w:rFonts w:ascii="Times New Roman" w:hAnsi="Times New Roman" w:cs="Times New Roman"/>
          <w:sz w:val="24"/>
          <w:szCs w:val="24"/>
        </w:rPr>
        <w:tab/>
      </w:r>
    </w:p>
    <w:p w14:paraId="04744BE0" w14:textId="51CE9CB8" w:rsidR="000F651C" w:rsidRPr="00D65A3B" w:rsidRDefault="000F651C" w:rsidP="008407A3">
      <w:pPr>
        <w:pStyle w:val="ListParagraph"/>
        <w:numPr>
          <w:ilvl w:val="0"/>
          <w:numId w:val="18"/>
        </w:numPr>
        <w:tabs>
          <w:tab w:val="left" w:pos="828"/>
          <w:tab w:val="left" w:pos="1908"/>
          <w:tab w:val="left" w:pos="2988"/>
          <w:tab w:val="left" w:pos="4338"/>
          <w:tab w:val="left" w:pos="6048"/>
          <w:tab w:val="left" w:pos="7758"/>
        </w:tabs>
        <w:spacing w:after="0" w:line="240" w:lineRule="auto"/>
        <w:rPr>
          <w:rFonts w:ascii="Times New Roman" w:hAnsi="Times New Roman" w:cs="Times New Roman"/>
          <w:bCs/>
          <w:sz w:val="24"/>
          <w:szCs w:val="24"/>
        </w:rPr>
      </w:pPr>
      <w:r w:rsidRPr="00D65A3B">
        <w:rPr>
          <w:rFonts w:ascii="Times New Roman" w:hAnsi="Times New Roman" w:cs="Times New Roman"/>
          <w:sz w:val="24"/>
          <w:szCs w:val="24"/>
        </w:rPr>
        <w:t>Year enacted</w:t>
      </w:r>
      <w:r w:rsidR="00A2658F">
        <w:rPr>
          <w:rFonts w:ascii="Times New Roman" w:hAnsi="Times New Roman" w:cs="Times New Roman"/>
          <w:sz w:val="24"/>
          <w:szCs w:val="24"/>
        </w:rPr>
        <w:t>,</w:t>
      </w:r>
      <w:r w:rsidRPr="00D65A3B">
        <w:rPr>
          <w:rFonts w:ascii="Times New Roman" w:hAnsi="Times New Roman" w:cs="Times New Roman"/>
          <w:bCs/>
          <w:sz w:val="24"/>
          <w:szCs w:val="24"/>
        </w:rPr>
        <w:tab/>
      </w:r>
    </w:p>
    <w:p w14:paraId="7C8F7F94" w14:textId="362DD5A1" w:rsidR="000F651C" w:rsidRPr="00D65A3B" w:rsidRDefault="000F651C" w:rsidP="008407A3">
      <w:pPr>
        <w:pStyle w:val="ListParagraph"/>
        <w:numPr>
          <w:ilvl w:val="0"/>
          <w:numId w:val="18"/>
        </w:numPr>
        <w:tabs>
          <w:tab w:val="left" w:pos="828"/>
          <w:tab w:val="left" w:pos="1908"/>
          <w:tab w:val="left" w:pos="2988"/>
          <w:tab w:val="left" w:pos="4338"/>
          <w:tab w:val="left" w:pos="6048"/>
          <w:tab w:val="left" w:pos="7758"/>
        </w:tabs>
        <w:spacing w:after="0" w:line="240" w:lineRule="auto"/>
        <w:rPr>
          <w:rFonts w:ascii="Times New Roman" w:hAnsi="Times New Roman" w:cs="Times New Roman"/>
          <w:bCs/>
          <w:sz w:val="24"/>
          <w:szCs w:val="24"/>
        </w:rPr>
      </w:pPr>
      <w:r w:rsidRPr="00D65A3B">
        <w:rPr>
          <w:rFonts w:ascii="Times New Roman" w:hAnsi="Times New Roman" w:cs="Times New Roman"/>
          <w:sz w:val="24"/>
          <w:szCs w:val="24"/>
        </w:rPr>
        <w:t>When the policy requirement</w:t>
      </w:r>
      <w:r w:rsidR="00624D89">
        <w:rPr>
          <w:rFonts w:ascii="Times New Roman" w:hAnsi="Times New Roman" w:cs="Times New Roman"/>
          <w:sz w:val="24"/>
          <w:szCs w:val="24"/>
        </w:rPr>
        <w:t>s</w:t>
      </w:r>
      <w:r w:rsidRPr="00D65A3B">
        <w:rPr>
          <w:rFonts w:ascii="Times New Roman" w:hAnsi="Times New Roman" w:cs="Times New Roman"/>
          <w:sz w:val="24"/>
          <w:szCs w:val="24"/>
        </w:rPr>
        <w:t xml:space="preserve"> sunset</w:t>
      </w:r>
      <w:r w:rsidR="00A2658F">
        <w:rPr>
          <w:rFonts w:ascii="Times New Roman" w:hAnsi="Times New Roman" w:cs="Times New Roman"/>
          <w:sz w:val="24"/>
          <w:szCs w:val="24"/>
        </w:rPr>
        <w:t>.</w:t>
      </w:r>
    </w:p>
    <w:p w14:paraId="0C107962" w14:textId="77777777" w:rsidR="00AC2468" w:rsidRPr="00D65A3B" w:rsidRDefault="00AC2468" w:rsidP="0044758E">
      <w:pPr>
        <w:spacing w:after="120" w:line="240" w:lineRule="auto"/>
        <w:rPr>
          <w:rFonts w:ascii="Times New Roman" w:hAnsi="Times New Roman" w:cs="Times New Roman"/>
          <w:bCs/>
          <w:sz w:val="24"/>
          <w:szCs w:val="24"/>
        </w:rPr>
      </w:pPr>
    </w:p>
    <w:p w14:paraId="5DB89D1D" w14:textId="65E850A2" w:rsidR="00AC2468" w:rsidRPr="00E975B8" w:rsidRDefault="009551FB" w:rsidP="003244BD">
      <w:pPr>
        <w:spacing w:after="120" w:line="36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The above requirements apply regardless of whether </w:t>
      </w:r>
      <w:r w:rsidR="00A2658F">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00840529">
        <w:rPr>
          <w:rFonts w:ascii="Times New Roman" w:eastAsia="Times New Roman" w:hAnsi="Times New Roman" w:cs="Times New Roman"/>
          <w:sz w:val="24"/>
          <w:szCs w:val="24"/>
        </w:rPr>
        <w:t>RE or</w:t>
      </w:r>
      <w:r>
        <w:rPr>
          <w:rFonts w:ascii="Times New Roman" w:eastAsia="Times New Roman" w:hAnsi="Times New Roman" w:cs="Times New Roman"/>
          <w:sz w:val="24"/>
          <w:szCs w:val="24"/>
        </w:rPr>
        <w:t xml:space="preserve"> </w:t>
      </w:r>
      <w:r w:rsidR="0052342B">
        <w:rPr>
          <w:rFonts w:ascii="Times New Roman" w:eastAsia="Times New Roman" w:hAnsi="Times New Roman" w:cs="Times New Roman"/>
          <w:sz w:val="24"/>
          <w:szCs w:val="24"/>
        </w:rPr>
        <w:t xml:space="preserve">demand-side </w:t>
      </w:r>
      <w:r>
        <w:rPr>
          <w:rFonts w:ascii="Times New Roman" w:eastAsia="Times New Roman" w:hAnsi="Times New Roman" w:cs="Times New Roman"/>
          <w:sz w:val="24"/>
          <w:szCs w:val="24"/>
        </w:rPr>
        <w:t xml:space="preserve">EE program </w:t>
      </w:r>
      <w:r w:rsidR="00A2658F">
        <w:rPr>
          <w:rFonts w:ascii="Times New Roman" w:eastAsia="Times New Roman" w:hAnsi="Times New Roman" w:cs="Times New Roman"/>
          <w:sz w:val="24"/>
          <w:szCs w:val="24"/>
        </w:rPr>
        <w:t>will be used to meet the emission guidelines (e.g., to generate ERCs or as state measures)</w:t>
      </w:r>
      <w:r>
        <w:rPr>
          <w:rFonts w:ascii="Times New Roman" w:eastAsia="Times New Roman" w:hAnsi="Times New Roman" w:cs="Times New Roman"/>
          <w:sz w:val="24"/>
          <w:szCs w:val="24"/>
        </w:rPr>
        <w:t>.</w:t>
      </w:r>
      <w:r>
        <w:rPr>
          <w:rFonts w:ascii="Times New Roman" w:hAnsi="Times New Roman" w:cs="Times New Roman"/>
          <w:bCs/>
          <w:sz w:val="24"/>
          <w:szCs w:val="24"/>
        </w:rPr>
        <w:t xml:space="preserve"> </w:t>
      </w:r>
      <w:r w:rsidR="00B332AD" w:rsidRPr="00D65A3B">
        <w:rPr>
          <w:rFonts w:ascii="Times New Roman" w:hAnsi="Times New Roman" w:cs="Times New Roman"/>
          <w:bCs/>
          <w:sz w:val="24"/>
          <w:szCs w:val="24"/>
        </w:rPr>
        <w:t xml:space="preserve">For example, </w:t>
      </w:r>
      <w:r w:rsidR="00420955">
        <w:rPr>
          <w:rFonts w:ascii="Times New Roman" w:hAnsi="Times New Roman" w:cs="Times New Roman"/>
          <w:bCs/>
          <w:sz w:val="24"/>
          <w:szCs w:val="24"/>
        </w:rPr>
        <w:t>assume</w:t>
      </w:r>
      <w:r w:rsidR="00B332AD" w:rsidRPr="00D65A3B">
        <w:rPr>
          <w:rFonts w:ascii="Times New Roman" w:hAnsi="Times New Roman" w:cs="Times New Roman"/>
          <w:bCs/>
          <w:sz w:val="24"/>
          <w:szCs w:val="24"/>
        </w:rPr>
        <w:t xml:space="preserve"> </w:t>
      </w:r>
      <w:r w:rsidR="00AC4CA4">
        <w:rPr>
          <w:rFonts w:ascii="Times New Roman" w:hAnsi="Times New Roman" w:cs="Times New Roman"/>
          <w:bCs/>
          <w:sz w:val="24"/>
          <w:szCs w:val="24"/>
        </w:rPr>
        <w:t xml:space="preserve">a state </w:t>
      </w:r>
      <w:r>
        <w:rPr>
          <w:rFonts w:ascii="Times New Roman" w:hAnsi="Times New Roman" w:cs="Times New Roman"/>
          <w:bCs/>
          <w:sz w:val="24"/>
          <w:szCs w:val="24"/>
        </w:rPr>
        <w:t>with an</w:t>
      </w:r>
      <w:r w:rsidR="00634216">
        <w:rPr>
          <w:rFonts w:ascii="Times New Roman" w:hAnsi="Times New Roman" w:cs="Times New Roman"/>
          <w:bCs/>
          <w:sz w:val="24"/>
          <w:szCs w:val="24"/>
        </w:rPr>
        <w:t xml:space="preserve"> Energy Efficiency Resource Standard</w:t>
      </w:r>
      <w:r>
        <w:rPr>
          <w:rFonts w:ascii="Times New Roman" w:hAnsi="Times New Roman" w:cs="Times New Roman"/>
          <w:bCs/>
          <w:sz w:val="24"/>
          <w:szCs w:val="24"/>
        </w:rPr>
        <w:t xml:space="preserve"> </w:t>
      </w:r>
      <w:r w:rsidR="00634216">
        <w:rPr>
          <w:rFonts w:ascii="Times New Roman" w:hAnsi="Times New Roman" w:cs="Times New Roman"/>
          <w:bCs/>
          <w:sz w:val="24"/>
          <w:szCs w:val="24"/>
        </w:rPr>
        <w:t>(</w:t>
      </w:r>
      <w:r>
        <w:rPr>
          <w:rFonts w:ascii="Times New Roman" w:hAnsi="Times New Roman" w:cs="Times New Roman"/>
          <w:bCs/>
          <w:sz w:val="24"/>
          <w:szCs w:val="24"/>
        </w:rPr>
        <w:t>EERS</w:t>
      </w:r>
      <w:r w:rsidR="00634216">
        <w:rPr>
          <w:rFonts w:ascii="Times New Roman" w:hAnsi="Times New Roman" w:cs="Times New Roman"/>
          <w:bCs/>
          <w:sz w:val="24"/>
          <w:szCs w:val="24"/>
        </w:rPr>
        <w:t>)</w:t>
      </w:r>
      <w:r>
        <w:rPr>
          <w:rFonts w:ascii="Times New Roman" w:hAnsi="Times New Roman" w:cs="Times New Roman"/>
          <w:bCs/>
          <w:sz w:val="24"/>
          <w:szCs w:val="24"/>
        </w:rPr>
        <w:t xml:space="preserve"> in state law </w:t>
      </w:r>
      <w:r w:rsidR="00AC4CA4">
        <w:rPr>
          <w:rFonts w:ascii="Times New Roman" w:hAnsi="Times New Roman" w:cs="Times New Roman"/>
          <w:bCs/>
          <w:sz w:val="24"/>
          <w:szCs w:val="24"/>
        </w:rPr>
        <w:t>adopt</w:t>
      </w:r>
      <w:r w:rsidR="008C1985">
        <w:rPr>
          <w:rFonts w:ascii="Times New Roman" w:hAnsi="Times New Roman" w:cs="Times New Roman"/>
          <w:bCs/>
          <w:sz w:val="24"/>
          <w:szCs w:val="24"/>
        </w:rPr>
        <w:t>s</w:t>
      </w:r>
      <w:r w:rsidR="00B332AD" w:rsidRPr="00D65A3B">
        <w:rPr>
          <w:rFonts w:ascii="Times New Roman" w:hAnsi="Times New Roman" w:cs="Times New Roman"/>
          <w:bCs/>
          <w:sz w:val="24"/>
          <w:szCs w:val="24"/>
        </w:rPr>
        <w:t xml:space="preserve"> a</w:t>
      </w:r>
      <w:r w:rsidR="004A453F">
        <w:rPr>
          <w:rFonts w:ascii="Times New Roman" w:hAnsi="Times New Roman" w:cs="Times New Roman"/>
          <w:bCs/>
          <w:sz w:val="24"/>
          <w:szCs w:val="24"/>
        </w:rPr>
        <w:t xml:space="preserve"> rate-based</w:t>
      </w:r>
      <w:r w:rsidR="00B332AD" w:rsidRPr="00D65A3B">
        <w:rPr>
          <w:rFonts w:ascii="Times New Roman" w:hAnsi="Times New Roman" w:cs="Times New Roman"/>
          <w:bCs/>
          <w:sz w:val="24"/>
          <w:szCs w:val="24"/>
        </w:rPr>
        <w:t xml:space="preserve"> emission standards</w:t>
      </w:r>
      <w:r w:rsidR="008C1985">
        <w:rPr>
          <w:rFonts w:ascii="Times New Roman" w:hAnsi="Times New Roman" w:cs="Times New Roman"/>
          <w:bCs/>
          <w:sz w:val="24"/>
          <w:szCs w:val="24"/>
        </w:rPr>
        <w:t xml:space="preserve"> </w:t>
      </w:r>
      <w:r w:rsidR="00A2658F">
        <w:rPr>
          <w:rFonts w:ascii="Times New Roman" w:hAnsi="Times New Roman" w:cs="Times New Roman"/>
          <w:bCs/>
          <w:sz w:val="24"/>
          <w:szCs w:val="24"/>
        </w:rPr>
        <w:t xml:space="preserve">type </w:t>
      </w:r>
      <w:r w:rsidR="00887D7C">
        <w:rPr>
          <w:rFonts w:ascii="Times New Roman" w:hAnsi="Times New Roman" w:cs="Times New Roman"/>
          <w:bCs/>
          <w:sz w:val="24"/>
          <w:szCs w:val="24"/>
        </w:rPr>
        <w:t>state plan</w:t>
      </w:r>
      <w:r w:rsidR="00AC4CA4" w:rsidRPr="00D65A3B">
        <w:rPr>
          <w:rFonts w:ascii="Times New Roman" w:hAnsi="Times New Roman" w:cs="Times New Roman"/>
          <w:bCs/>
          <w:sz w:val="24"/>
          <w:szCs w:val="24"/>
        </w:rPr>
        <w:t xml:space="preserve"> that </w:t>
      </w:r>
      <w:r w:rsidR="00AC4CA4">
        <w:rPr>
          <w:rFonts w:ascii="Times New Roman" w:hAnsi="Times New Roman" w:cs="Times New Roman"/>
          <w:bCs/>
          <w:sz w:val="24"/>
          <w:szCs w:val="24"/>
        </w:rPr>
        <w:t>requires a projection</w:t>
      </w:r>
      <w:r>
        <w:rPr>
          <w:rFonts w:ascii="Times New Roman" w:hAnsi="Times New Roman" w:cs="Times New Roman"/>
          <w:bCs/>
          <w:sz w:val="24"/>
          <w:szCs w:val="24"/>
        </w:rPr>
        <w:t>. T</w:t>
      </w:r>
      <w:r w:rsidR="00595991">
        <w:rPr>
          <w:rFonts w:ascii="Times New Roman" w:hAnsi="Times New Roman" w:cs="Times New Roman"/>
          <w:bCs/>
          <w:sz w:val="24"/>
          <w:szCs w:val="24"/>
        </w:rPr>
        <w:t>he</w:t>
      </w:r>
      <w:r w:rsidR="00AC4CA4">
        <w:rPr>
          <w:rFonts w:ascii="Times New Roman" w:hAnsi="Times New Roman" w:cs="Times New Roman"/>
          <w:bCs/>
          <w:sz w:val="24"/>
          <w:szCs w:val="24"/>
        </w:rPr>
        <w:t xml:space="preserve"> impacts of the </w:t>
      </w:r>
      <w:r>
        <w:rPr>
          <w:rFonts w:ascii="Times New Roman" w:hAnsi="Times New Roman" w:cs="Times New Roman"/>
          <w:bCs/>
          <w:sz w:val="24"/>
          <w:szCs w:val="24"/>
        </w:rPr>
        <w:t xml:space="preserve">on-the-books </w:t>
      </w:r>
      <w:r w:rsidR="00AC4CA4">
        <w:rPr>
          <w:rFonts w:ascii="Times New Roman" w:hAnsi="Times New Roman" w:cs="Times New Roman"/>
          <w:bCs/>
          <w:sz w:val="24"/>
          <w:szCs w:val="24"/>
        </w:rPr>
        <w:t xml:space="preserve">EERS </w:t>
      </w:r>
      <w:r w:rsidR="004857B4">
        <w:rPr>
          <w:rFonts w:ascii="Times New Roman" w:hAnsi="Times New Roman" w:cs="Times New Roman"/>
          <w:bCs/>
          <w:sz w:val="24"/>
          <w:szCs w:val="24"/>
        </w:rPr>
        <w:t>may already</w:t>
      </w:r>
      <w:r w:rsidR="00595991">
        <w:rPr>
          <w:rFonts w:ascii="Times New Roman" w:hAnsi="Times New Roman" w:cs="Times New Roman"/>
          <w:bCs/>
          <w:sz w:val="24"/>
          <w:szCs w:val="24"/>
        </w:rPr>
        <w:t xml:space="preserve"> be included in </w:t>
      </w:r>
      <w:r w:rsidR="00AC4CA4">
        <w:rPr>
          <w:rFonts w:ascii="Times New Roman" w:hAnsi="Times New Roman" w:cs="Times New Roman"/>
          <w:bCs/>
          <w:sz w:val="24"/>
          <w:szCs w:val="24"/>
        </w:rPr>
        <w:t xml:space="preserve">the </w:t>
      </w:r>
      <w:r w:rsidR="003A4E75">
        <w:rPr>
          <w:rFonts w:ascii="Times New Roman" w:hAnsi="Times New Roman" w:cs="Times New Roman"/>
          <w:bCs/>
          <w:sz w:val="24"/>
          <w:szCs w:val="24"/>
        </w:rPr>
        <w:t>base case</w:t>
      </w:r>
      <w:r w:rsidR="00AC4CA4">
        <w:rPr>
          <w:rFonts w:ascii="Times New Roman" w:hAnsi="Times New Roman" w:cs="Times New Roman"/>
          <w:bCs/>
          <w:sz w:val="24"/>
          <w:szCs w:val="24"/>
        </w:rPr>
        <w:t xml:space="preserve"> </w:t>
      </w:r>
      <w:r w:rsidR="00887D7C">
        <w:rPr>
          <w:rFonts w:ascii="Times New Roman" w:hAnsi="Times New Roman" w:cs="Times New Roman"/>
          <w:bCs/>
          <w:sz w:val="24"/>
          <w:szCs w:val="24"/>
        </w:rPr>
        <w:t xml:space="preserve">demand </w:t>
      </w:r>
      <w:r w:rsidR="00AC4CA4">
        <w:rPr>
          <w:rFonts w:ascii="Times New Roman" w:hAnsi="Times New Roman" w:cs="Times New Roman"/>
          <w:bCs/>
          <w:sz w:val="24"/>
          <w:szCs w:val="24"/>
        </w:rPr>
        <w:t>forecast</w:t>
      </w:r>
      <w:r w:rsidR="004857B4">
        <w:rPr>
          <w:rFonts w:ascii="Times New Roman" w:hAnsi="Times New Roman" w:cs="Times New Roman"/>
          <w:bCs/>
          <w:sz w:val="24"/>
          <w:szCs w:val="24"/>
        </w:rPr>
        <w:t>, and if so, should be documented</w:t>
      </w:r>
      <w:r w:rsidR="00AC4CA4">
        <w:rPr>
          <w:rFonts w:ascii="Times New Roman" w:hAnsi="Times New Roman" w:cs="Times New Roman"/>
          <w:bCs/>
          <w:sz w:val="24"/>
          <w:szCs w:val="24"/>
        </w:rPr>
        <w:t>.</w:t>
      </w:r>
      <w:r w:rsidR="001731A2">
        <w:rPr>
          <w:rFonts w:ascii="Times New Roman" w:hAnsi="Times New Roman" w:cs="Times New Roman"/>
          <w:bCs/>
          <w:sz w:val="24"/>
          <w:szCs w:val="24"/>
        </w:rPr>
        <w:t xml:space="preserve"> If the</w:t>
      </w:r>
      <w:r w:rsidR="004857B4">
        <w:rPr>
          <w:rFonts w:ascii="Times New Roman" w:hAnsi="Times New Roman" w:cs="Times New Roman"/>
          <w:bCs/>
          <w:sz w:val="24"/>
          <w:szCs w:val="24"/>
        </w:rPr>
        <w:t xml:space="preserve"> </w:t>
      </w:r>
      <w:r w:rsidR="00595991">
        <w:rPr>
          <w:rFonts w:ascii="Times New Roman" w:hAnsi="Times New Roman" w:cs="Times New Roman"/>
          <w:bCs/>
          <w:sz w:val="24"/>
          <w:szCs w:val="24"/>
        </w:rPr>
        <w:t>affected EGUs</w:t>
      </w:r>
      <w:r w:rsidR="001731A2">
        <w:rPr>
          <w:rFonts w:ascii="Times New Roman" w:hAnsi="Times New Roman" w:cs="Times New Roman"/>
          <w:bCs/>
          <w:sz w:val="24"/>
          <w:szCs w:val="24"/>
        </w:rPr>
        <w:t xml:space="preserve"> in the state do not need to use the energy savings </w:t>
      </w:r>
      <w:r w:rsidR="005B3B8A">
        <w:rPr>
          <w:rFonts w:ascii="Times New Roman" w:hAnsi="Times New Roman" w:cs="Times New Roman"/>
          <w:bCs/>
          <w:sz w:val="24"/>
          <w:szCs w:val="24"/>
        </w:rPr>
        <w:t xml:space="preserve">(e.g., </w:t>
      </w:r>
      <w:r w:rsidR="004152FB">
        <w:rPr>
          <w:rFonts w:ascii="Times New Roman" w:hAnsi="Times New Roman" w:cs="Times New Roman"/>
          <w:bCs/>
          <w:sz w:val="24"/>
          <w:szCs w:val="24"/>
        </w:rPr>
        <w:t>emission rate credits (ERCs)</w:t>
      </w:r>
      <w:r w:rsidR="005B3B8A">
        <w:rPr>
          <w:rFonts w:ascii="Times New Roman" w:hAnsi="Times New Roman" w:cs="Times New Roman"/>
          <w:bCs/>
          <w:sz w:val="24"/>
          <w:szCs w:val="24"/>
        </w:rPr>
        <w:t xml:space="preserve"> from demand-side EE) </w:t>
      </w:r>
      <w:r w:rsidR="001731A2">
        <w:rPr>
          <w:rFonts w:ascii="Times New Roman" w:hAnsi="Times New Roman" w:cs="Times New Roman"/>
          <w:bCs/>
          <w:sz w:val="24"/>
          <w:szCs w:val="24"/>
        </w:rPr>
        <w:t xml:space="preserve">from the </w:t>
      </w:r>
      <w:r w:rsidR="00247456">
        <w:rPr>
          <w:rFonts w:ascii="Times New Roman" w:hAnsi="Times New Roman" w:cs="Times New Roman"/>
          <w:bCs/>
          <w:sz w:val="24"/>
          <w:szCs w:val="24"/>
        </w:rPr>
        <w:t xml:space="preserve">state’s </w:t>
      </w:r>
      <w:r w:rsidR="001731A2">
        <w:rPr>
          <w:rFonts w:ascii="Times New Roman" w:hAnsi="Times New Roman" w:cs="Times New Roman"/>
          <w:bCs/>
          <w:sz w:val="24"/>
          <w:szCs w:val="24"/>
        </w:rPr>
        <w:t xml:space="preserve">EERS </w:t>
      </w:r>
      <w:r w:rsidR="00887D7C">
        <w:rPr>
          <w:rFonts w:ascii="Times New Roman" w:hAnsi="Times New Roman" w:cs="Times New Roman"/>
          <w:bCs/>
          <w:sz w:val="24"/>
          <w:szCs w:val="24"/>
        </w:rPr>
        <w:t>to adjust their CO</w:t>
      </w:r>
      <w:r w:rsidR="00887D7C" w:rsidRPr="004E5FBA">
        <w:rPr>
          <w:rFonts w:ascii="Times New Roman" w:hAnsi="Times New Roman" w:cs="Times New Roman"/>
          <w:sz w:val="24"/>
          <w:szCs w:val="24"/>
          <w:vertAlign w:val="subscript"/>
        </w:rPr>
        <w:t>2</w:t>
      </w:r>
      <w:r w:rsidR="00887D7C">
        <w:rPr>
          <w:rFonts w:ascii="Times New Roman" w:hAnsi="Times New Roman" w:cs="Times New Roman"/>
          <w:bCs/>
          <w:sz w:val="24"/>
          <w:szCs w:val="24"/>
        </w:rPr>
        <w:t xml:space="preserve"> emission rate</w:t>
      </w:r>
      <w:r w:rsidR="00A311AF">
        <w:rPr>
          <w:rFonts w:ascii="Times New Roman" w:hAnsi="Times New Roman" w:cs="Times New Roman"/>
          <w:bCs/>
          <w:sz w:val="24"/>
          <w:szCs w:val="24"/>
        </w:rPr>
        <w:t>s</w:t>
      </w:r>
      <w:r w:rsidR="004857B4">
        <w:rPr>
          <w:rFonts w:ascii="Times New Roman" w:hAnsi="Times New Roman" w:cs="Times New Roman"/>
          <w:bCs/>
          <w:sz w:val="24"/>
          <w:szCs w:val="24"/>
        </w:rPr>
        <w:t>,</w:t>
      </w:r>
      <w:r w:rsidR="001731A2">
        <w:rPr>
          <w:rFonts w:ascii="Times New Roman" w:hAnsi="Times New Roman" w:cs="Times New Roman"/>
          <w:bCs/>
          <w:sz w:val="24"/>
          <w:szCs w:val="24"/>
        </w:rPr>
        <w:t xml:space="preserve"> then</w:t>
      </w:r>
      <w:r w:rsidR="00B332AD" w:rsidRPr="00D65A3B">
        <w:rPr>
          <w:rFonts w:ascii="Times New Roman" w:hAnsi="Times New Roman" w:cs="Times New Roman"/>
          <w:bCs/>
          <w:sz w:val="24"/>
          <w:szCs w:val="24"/>
        </w:rPr>
        <w:t xml:space="preserve"> </w:t>
      </w:r>
      <w:r w:rsidR="0059276F" w:rsidRPr="00D65A3B">
        <w:rPr>
          <w:rFonts w:ascii="Times New Roman" w:hAnsi="Times New Roman" w:cs="Times New Roman"/>
          <w:bCs/>
          <w:sz w:val="24"/>
          <w:szCs w:val="24"/>
        </w:rPr>
        <w:t xml:space="preserve">the state’s plan demonstration </w:t>
      </w:r>
      <w:r w:rsidR="00A816DA">
        <w:rPr>
          <w:rFonts w:ascii="Times New Roman" w:hAnsi="Times New Roman" w:cs="Times New Roman"/>
          <w:bCs/>
          <w:sz w:val="24"/>
          <w:szCs w:val="24"/>
        </w:rPr>
        <w:t>would</w:t>
      </w:r>
      <w:r w:rsidR="0059276F" w:rsidRPr="00D65A3B">
        <w:rPr>
          <w:rFonts w:ascii="Times New Roman" w:hAnsi="Times New Roman" w:cs="Times New Roman"/>
          <w:bCs/>
          <w:sz w:val="24"/>
          <w:szCs w:val="24"/>
        </w:rPr>
        <w:t xml:space="preserve"> </w:t>
      </w:r>
      <w:r w:rsidR="00B332AD" w:rsidRPr="00D65A3B">
        <w:rPr>
          <w:rFonts w:ascii="Times New Roman" w:hAnsi="Times New Roman" w:cs="Times New Roman"/>
          <w:bCs/>
          <w:sz w:val="24"/>
          <w:szCs w:val="24"/>
        </w:rPr>
        <w:t xml:space="preserve">include the </w:t>
      </w:r>
      <w:r w:rsidR="00887D7C">
        <w:rPr>
          <w:rFonts w:ascii="Times New Roman" w:hAnsi="Times New Roman" w:cs="Times New Roman"/>
          <w:bCs/>
          <w:sz w:val="24"/>
          <w:szCs w:val="24"/>
        </w:rPr>
        <w:t>four pieces of information</w:t>
      </w:r>
      <w:r w:rsidR="005D0929">
        <w:rPr>
          <w:rFonts w:ascii="Times New Roman" w:hAnsi="Times New Roman" w:cs="Times New Roman"/>
          <w:bCs/>
          <w:sz w:val="24"/>
          <w:szCs w:val="24"/>
        </w:rPr>
        <w:t xml:space="preserve"> noted</w:t>
      </w:r>
      <w:r w:rsidR="00887D7C">
        <w:rPr>
          <w:rFonts w:ascii="Times New Roman" w:hAnsi="Times New Roman" w:cs="Times New Roman"/>
          <w:bCs/>
          <w:sz w:val="24"/>
          <w:szCs w:val="24"/>
        </w:rPr>
        <w:t xml:space="preserve"> </w:t>
      </w:r>
      <w:r w:rsidR="00B332AD" w:rsidRPr="00D65A3B">
        <w:rPr>
          <w:rFonts w:ascii="Times New Roman" w:hAnsi="Times New Roman" w:cs="Times New Roman"/>
          <w:bCs/>
          <w:sz w:val="24"/>
          <w:szCs w:val="24"/>
        </w:rPr>
        <w:t xml:space="preserve">above about </w:t>
      </w:r>
      <w:r w:rsidR="005D0929">
        <w:rPr>
          <w:rFonts w:ascii="Times New Roman" w:hAnsi="Times New Roman" w:cs="Times New Roman"/>
          <w:bCs/>
          <w:sz w:val="24"/>
          <w:szCs w:val="24"/>
        </w:rPr>
        <w:t xml:space="preserve">its </w:t>
      </w:r>
      <w:r w:rsidR="00B332AD" w:rsidRPr="00D65A3B">
        <w:rPr>
          <w:rFonts w:ascii="Times New Roman" w:hAnsi="Times New Roman" w:cs="Times New Roman"/>
          <w:bCs/>
          <w:sz w:val="24"/>
          <w:szCs w:val="24"/>
        </w:rPr>
        <w:t xml:space="preserve">EERS to support the </w:t>
      </w:r>
      <w:r w:rsidR="00DA182C" w:rsidRPr="00D65A3B">
        <w:rPr>
          <w:rFonts w:ascii="Times New Roman" w:hAnsi="Times New Roman" w:cs="Times New Roman"/>
          <w:bCs/>
          <w:sz w:val="24"/>
          <w:szCs w:val="24"/>
        </w:rPr>
        <w:t xml:space="preserve">reasonableness of the </w:t>
      </w:r>
      <w:r w:rsidR="006239D0" w:rsidRPr="00D65A3B">
        <w:rPr>
          <w:rFonts w:ascii="Times New Roman" w:hAnsi="Times New Roman" w:cs="Times New Roman"/>
          <w:bCs/>
          <w:sz w:val="24"/>
          <w:szCs w:val="24"/>
        </w:rPr>
        <w:t xml:space="preserve">electricity </w:t>
      </w:r>
      <w:r w:rsidR="00B332AD" w:rsidRPr="00D65A3B">
        <w:rPr>
          <w:rFonts w:ascii="Times New Roman" w:hAnsi="Times New Roman" w:cs="Times New Roman"/>
          <w:bCs/>
          <w:sz w:val="24"/>
          <w:szCs w:val="24"/>
        </w:rPr>
        <w:t xml:space="preserve">demand </w:t>
      </w:r>
      <w:r w:rsidR="00B332AD" w:rsidRPr="00E975B8">
        <w:rPr>
          <w:rFonts w:ascii="Times New Roman" w:hAnsi="Times New Roman" w:cs="Times New Roman"/>
          <w:bCs/>
          <w:sz w:val="24"/>
          <w:szCs w:val="24"/>
        </w:rPr>
        <w:t>forecast.</w:t>
      </w:r>
      <w:r w:rsidR="004A453F">
        <w:rPr>
          <w:rStyle w:val="FootnoteReference"/>
          <w:rFonts w:ascii="Times New Roman" w:hAnsi="Times New Roman" w:cs="Times New Roman"/>
          <w:bCs/>
          <w:sz w:val="24"/>
          <w:szCs w:val="24"/>
        </w:rPr>
        <w:footnoteReference w:id="5"/>
      </w:r>
      <w:r w:rsidR="00B332AD" w:rsidRPr="00E975B8" w:rsidDel="00B332AD">
        <w:rPr>
          <w:rFonts w:ascii="Times New Roman" w:hAnsi="Times New Roman" w:cs="Times New Roman"/>
          <w:bCs/>
          <w:sz w:val="24"/>
          <w:szCs w:val="24"/>
        </w:rPr>
        <w:t xml:space="preserve"> </w:t>
      </w:r>
      <w:r w:rsidR="00D54D41">
        <w:rPr>
          <w:rFonts w:ascii="Times New Roman" w:hAnsi="Times New Roman" w:cs="Times New Roman"/>
          <w:bCs/>
          <w:sz w:val="24"/>
          <w:szCs w:val="24"/>
        </w:rPr>
        <w:t>I</w:t>
      </w:r>
      <w:r w:rsidR="00887D7C">
        <w:rPr>
          <w:rFonts w:ascii="Times New Roman" w:hAnsi="Times New Roman" w:cs="Times New Roman"/>
          <w:bCs/>
          <w:sz w:val="24"/>
          <w:szCs w:val="24"/>
        </w:rPr>
        <w:t>f</w:t>
      </w:r>
      <w:r w:rsidR="00C6501E">
        <w:rPr>
          <w:rFonts w:ascii="Times New Roman" w:hAnsi="Times New Roman" w:cs="Times New Roman"/>
          <w:bCs/>
          <w:sz w:val="24"/>
          <w:szCs w:val="24"/>
        </w:rPr>
        <w:t xml:space="preserve"> the</w:t>
      </w:r>
      <w:r w:rsidR="00887D7C">
        <w:rPr>
          <w:rFonts w:ascii="Times New Roman" w:hAnsi="Times New Roman" w:cs="Times New Roman"/>
          <w:bCs/>
          <w:sz w:val="24"/>
          <w:szCs w:val="24"/>
        </w:rPr>
        <w:t xml:space="preserve"> </w:t>
      </w:r>
      <w:r w:rsidR="00595991">
        <w:rPr>
          <w:rFonts w:ascii="Times New Roman" w:hAnsi="Times New Roman" w:cs="Times New Roman"/>
          <w:bCs/>
          <w:sz w:val="24"/>
          <w:szCs w:val="24"/>
        </w:rPr>
        <w:t>state</w:t>
      </w:r>
      <w:r w:rsidR="004857B4">
        <w:rPr>
          <w:rFonts w:ascii="Times New Roman" w:hAnsi="Times New Roman" w:cs="Times New Roman"/>
          <w:bCs/>
          <w:sz w:val="24"/>
          <w:szCs w:val="24"/>
        </w:rPr>
        <w:t xml:space="preserve"> </w:t>
      </w:r>
      <w:r w:rsidR="00595991">
        <w:rPr>
          <w:rFonts w:ascii="Times New Roman" w:hAnsi="Times New Roman" w:cs="Times New Roman"/>
          <w:bCs/>
          <w:sz w:val="24"/>
          <w:szCs w:val="24"/>
        </w:rPr>
        <w:t>expect</w:t>
      </w:r>
      <w:r w:rsidR="00A311AF">
        <w:rPr>
          <w:rFonts w:ascii="Times New Roman" w:hAnsi="Times New Roman" w:cs="Times New Roman"/>
          <w:bCs/>
          <w:sz w:val="24"/>
          <w:szCs w:val="24"/>
        </w:rPr>
        <w:t>s</w:t>
      </w:r>
      <w:r w:rsidR="00595991">
        <w:rPr>
          <w:rFonts w:ascii="Times New Roman" w:hAnsi="Times New Roman" w:cs="Times New Roman"/>
          <w:bCs/>
          <w:sz w:val="24"/>
          <w:szCs w:val="24"/>
        </w:rPr>
        <w:t xml:space="preserve"> </w:t>
      </w:r>
      <w:r w:rsidR="00887D7C">
        <w:rPr>
          <w:rFonts w:ascii="Times New Roman" w:hAnsi="Times New Roman" w:cs="Times New Roman"/>
          <w:bCs/>
          <w:sz w:val="24"/>
          <w:szCs w:val="24"/>
        </w:rPr>
        <w:t xml:space="preserve">affected EGUs </w:t>
      </w:r>
      <w:r w:rsidR="00595991">
        <w:rPr>
          <w:rFonts w:ascii="Times New Roman" w:hAnsi="Times New Roman" w:cs="Times New Roman"/>
          <w:bCs/>
          <w:sz w:val="24"/>
          <w:szCs w:val="24"/>
        </w:rPr>
        <w:t xml:space="preserve">to use </w:t>
      </w:r>
      <w:r w:rsidR="00887D7C">
        <w:rPr>
          <w:rFonts w:ascii="Times New Roman" w:hAnsi="Times New Roman" w:cs="Times New Roman"/>
          <w:bCs/>
          <w:sz w:val="24"/>
          <w:szCs w:val="24"/>
        </w:rPr>
        <w:t>the</w:t>
      </w:r>
      <w:r w:rsidR="00A2658F">
        <w:rPr>
          <w:rFonts w:ascii="Times New Roman" w:hAnsi="Times New Roman" w:cs="Times New Roman"/>
          <w:bCs/>
          <w:sz w:val="24"/>
          <w:szCs w:val="24"/>
        </w:rPr>
        <w:t xml:space="preserve"> demand-side </w:t>
      </w:r>
      <w:r w:rsidR="00887D7C">
        <w:rPr>
          <w:rFonts w:ascii="Times New Roman" w:hAnsi="Times New Roman" w:cs="Times New Roman"/>
          <w:bCs/>
          <w:sz w:val="24"/>
          <w:szCs w:val="24"/>
        </w:rPr>
        <w:t>EE impacts from the EERS to adjust the</w:t>
      </w:r>
      <w:r w:rsidR="00595991">
        <w:rPr>
          <w:rFonts w:ascii="Times New Roman" w:hAnsi="Times New Roman" w:cs="Times New Roman"/>
          <w:bCs/>
          <w:sz w:val="24"/>
          <w:szCs w:val="24"/>
        </w:rPr>
        <w:t xml:space="preserve">ir </w:t>
      </w:r>
      <w:r w:rsidR="00887D7C">
        <w:rPr>
          <w:rFonts w:ascii="Times New Roman" w:hAnsi="Times New Roman" w:cs="Times New Roman"/>
          <w:bCs/>
          <w:sz w:val="24"/>
          <w:szCs w:val="24"/>
        </w:rPr>
        <w:t>rate</w:t>
      </w:r>
      <w:r w:rsidR="00595991">
        <w:rPr>
          <w:rFonts w:ascii="Times New Roman" w:hAnsi="Times New Roman" w:cs="Times New Roman"/>
          <w:bCs/>
          <w:sz w:val="24"/>
          <w:szCs w:val="24"/>
        </w:rPr>
        <w:t>s,</w:t>
      </w:r>
      <w:r w:rsidR="00887D7C">
        <w:rPr>
          <w:rFonts w:ascii="Times New Roman" w:hAnsi="Times New Roman" w:cs="Times New Roman"/>
          <w:bCs/>
          <w:sz w:val="24"/>
          <w:szCs w:val="24"/>
        </w:rPr>
        <w:t xml:space="preserve"> then the state plan should document the eight pieces of information </w:t>
      </w:r>
      <w:r w:rsidR="005D0929">
        <w:rPr>
          <w:rFonts w:ascii="Times New Roman" w:hAnsi="Times New Roman" w:cs="Times New Roman"/>
          <w:bCs/>
          <w:sz w:val="24"/>
          <w:szCs w:val="24"/>
        </w:rPr>
        <w:t xml:space="preserve">noted </w:t>
      </w:r>
      <w:r w:rsidR="00887D7C">
        <w:rPr>
          <w:rFonts w:ascii="Times New Roman" w:hAnsi="Times New Roman" w:cs="Times New Roman"/>
          <w:bCs/>
          <w:sz w:val="24"/>
          <w:szCs w:val="24"/>
        </w:rPr>
        <w:t>at the end of this section.</w:t>
      </w:r>
      <w:r w:rsidR="004A453F">
        <w:rPr>
          <w:rFonts w:ascii="Times New Roman" w:hAnsi="Times New Roman" w:cs="Times New Roman"/>
          <w:bCs/>
          <w:sz w:val="24"/>
          <w:szCs w:val="24"/>
        </w:rPr>
        <w:t xml:space="preserve"> Similarly, under a mass-based state measures approach where the state EERS is not included as a state measure, the state plan demonstration would include the four pieces of information noted above. If the on-the-books EERS is included as a state measure, then the plan should document the eight pieces of information noted below.</w:t>
      </w:r>
      <w:r w:rsidR="00C6501E">
        <w:rPr>
          <w:rFonts w:ascii="Times New Roman" w:hAnsi="Times New Roman" w:cs="Times New Roman"/>
          <w:bCs/>
          <w:sz w:val="24"/>
          <w:szCs w:val="24"/>
        </w:rPr>
        <w:t xml:space="preserve"> This information will inform the EPA's evaluation of whether the emission standards in the state plan are achievable.</w:t>
      </w:r>
    </w:p>
    <w:p w14:paraId="38A15B47" w14:textId="690D883B" w:rsidR="00E641D1" w:rsidRPr="0035551A" w:rsidRDefault="00C6501E" w:rsidP="0035551A">
      <w:pPr>
        <w:spacing w:after="120" w:line="360" w:lineRule="auto"/>
        <w:ind w:firstLine="36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In addition to documenting </w:t>
      </w:r>
      <w:r w:rsidR="00D52487">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on-the-books </w:t>
      </w:r>
      <w:r w:rsidR="00393C85">
        <w:rPr>
          <w:rFonts w:ascii="Times New Roman" w:eastAsia="Times New Roman" w:hAnsi="Times New Roman" w:cs="Times New Roman"/>
          <w:sz w:val="24"/>
          <w:szCs w:val="24"/>
        </w:rPr>
        <w:t xml:space="preserve">RE or </w:t>
      </w:r>
      <w:r w:rsidR="0052342B">
        <w:rPr>
          <w:rFonts w:ascii="Times New Roman" w:eastAsia="Times New Roman" w:hAnsi="Times New Roman" w:cs="Times New Roman"/>
          <w:sz w:val="24"/>
          <w:szCs w:val="24"/>
        </w:rPr>
        <w:t xml:space="preserve">demand-side </w:t>
      </w:r>
      <w:r>
        <w:rPr>
          <w:rFonts w:ascii="Times New Roman" w:eastAsia="Times New Roman" w:hAnsi="Times New Roman" w:cs="Times New Roman"/>
          <w:sz w:val="24"/>
          <w:szCs w:val="24"/>
        </w:rPr>
        <w:t xml:space="preserve">EE </w:t>
      </w:r>
      <w:r w:rsidR="002D3924">
        <w:rPr>
          <w:rFonts w:ascii="Times New Roman" w:eastAsia="Times New Roman" w:hAnsi="Times New Roman" w:cs="Times New Roman"/>
          <w:sz w:val="24"/>
          <w:szCs w:val="24"/>
        </w:rPr>
        <w:t>measures</w:t>
      </w:r>
      <w:r>
        <w:rPr>
          <w:rFonts w:ascii="Times New Roman" w:eastAsia="Times New Roman" w:hAnsi="Times New Roman" w:cs="Times New Roman"/>
          <w:sz w:val="24"/>
          <w:szCs w:val="24"/>
        </w:rPr>
        <w:t xml:space="preserve"> </w:t>
      </w:r>
      <w:r w:rsidR="00D52487">
        <w:rPr>
          <w:rFonts w:ascii="Times New Roman" w:eastAsia="Times New Roman" w:hAnsi="Times New Roman" w:cs="Times New Roman"/>
          <w:sz w:val="24"/>
          <w:szCs w:val="24"/>
        </w:rPr>
        <w:t xml:space="preserve">the four pieces of information noted above and whether they </w:t>
      </w:r>
      <w:r>
        <w:rPr>
          <w:rFonts w:ascii="Times New Roman" w:eastAsia="Times New Roman" w:hAnsi="Times New Roman" w:cs="Times New Roman"/>
          <w:sz w:val="24"/>
          <w:szCs w:val="24"/>
        </w:rPr>
        <w:t xml:space="preserve">are directly or indirectly captured in the base case demand </w:t>
      </w:r>
      <w:r w:rsidR="0052342B">
        <w:rPr>
          <w:rFonts w:ascii="Times New Roman" w:eastAsia="Times New Roman" w:hAnsi="Times New Roman" w:cs="Times New Roman"/>
          <w:sz w:val="24"/>
          <w:szCs w:val="24"/>
        </w:rPr>
        <w:t xml:space="preserve">and supply </w:t>
      </w:r>
      <w:r>
        <w:rPr>
          <w:rFonts w:ascii="Times New Roman" w:eastAsia="Times New Roman" w:hAnsi="Times New Roman" w:cs="Times New Roman"/>
          <w:sz w:val="24"/>
          <w:szCs w:val="24"/>
        </w:rPr>
        <w:t xml:space="preserve">forecast, the state plan must provide additional information on certain types </w:t>
      </w:r>
      <w:r>
        <w:rPr>
          <w:rFonts w:ascii="Times New Roman" w:eastAsia="Times New Roman" w:hAnsi="Times New Roman" w:cs="Times New Roman"/>
          <w:sz w:val="24"/>
          <w:szCs w:val="24"/>
        </w:rPr>
        <w:lastRenderedPageBreak/>
        <w:t>of on-the-books programs.</w:t>
      </w:r>
      <w:r w:rsidR="00572776">
        <w:rPr>
          <w:rFonts w:ascii="Times New Roman" w:eastAsia="Times New Roman" w:hAnsi="Times New Roman" w:cs="Times New Roman"/>
          <w:sz w:val="24"/>
          <w:szCs w:val="24"/>
        </w:rPr>
        <w:t xml:space="preserve"> </w:t>
      </w:r>
      <w:r w:rsidR="00E641D1" w:rsidRPr="00D65A3B">
        <w:rPr>
          <w:rFonts w:ascii="Times New Roman" w:eastAsia="Times New Roman" w:hAnsi="Times New Roman" w:cs="Times New Roman"/>
          <w:sz w:val="24"/>
          <w:szCs w:val="24"/>
        </w:rPr>
        <w:t>There are at least two categories of on</w:t>
      </w:r>
      <w:r w:rsidR="00906AD6">
        <w:rPr>
          <w:rFonts w:ascii="Times New Roman" w:eastAsia="Times New Roman" w:hAnsi="Times New Roman" w:cs="Times New Roman"/>
          <w:sz w:val="24"/>
          <w:szCs w:val="24"/>
        </w:rPr>
        <w:t>-</w:t>
      </w:r>
      <w:r w:rsidR="001F5075" w:rsidRPr="00D65A3B">
        <w:rPr>
          <w:rFonts w:ascii="Times New Roman" w:eastAsia="Times New Roman" w:hAnsi="Times New Roman" w:cs="Times New Roman"/>
          <w:sz w:val="24"/>
          <w:szCs w:val="24"/>
        </w:rPr>
        <w:t>the</w:t>
      </w:r>
      <w:r w:rsidR="00906AD6">
        <w:rPr>
          <w:rFonts w:ascii="Times New Roman" w:eastAsia="Times New Roman" w:hAnsi="Times New Roman" w:cs="Times New Roman"/>
          <w:sz w:val="24"/>
          <w:szCs w:val="24"/>
        </w:rPr>
        <w:t>-</w:t>
      </w:r>
      <w:r w:rsidR="001F5075" w:rsidRPr="00D65A3B">
        <w:rPr>
          <w:rFonts w:ascii="Times New Roman" w:eastAsia="Times New Roman" w:hAnsi="Times New Roman" w:cs="Times New Roman"/>
          <w:sz w:val="24"/>
          <w:szCs w:val="24"/>
        </w:rPr>
        <w:t xml:space="preserve">books </w:t>
      </w:r>
      <w:r w:rsidR="00AC2735">
        <w:rPr>
          <w:rFonts w:ascii="Times New Roman" w:eastAsia="Times New Roman" w:hAnsi="Times New Roman" w:cs="Times New Roman"/>
          <w:sz w:val="24"/>
          <w:szCs w:val="24"/>
        </w:rPr>
        <w:t xml:space="preserve">policies and </w:t>
      </w:r>
      <w:r w:rsidR="001F5075" w:rsidRPr="00D65A3B">
        <w:rPr>
          <w:rFonts w:ascii="Times New Roman" w:eastAsia="Times New Roman" w:hAnsi="Times New Roman" w:cs="Times New Roman"/>
          <w:sz w:val="24"/>
          <w:szCs w:val="24"/>
        </w:rPr>
        <w:t>programs that must</w:t>
      </w:r>
      <w:r w:rsidR="00E641D1" w:rsidRPr="00D65A3B">
        <w:rPr>
          <w:rFonts w:ascii="Times New Roman" w:eastAsia="Times New Roman" w:hAnsi="Times New Roman" w:cs="Times New Roman"/>
          <w:sz w:val="24"/>
          <w:szCs w:val="24"/>
        </w:rPr>
        <w:t xml:space="preserve"> be </w:t>
      </w:r>
      <w:r w:rsidR="001F5075" w:rsidRPr="00D65A3B">
        <w:rPr>
          <w:rFonts w:ascii="Times New Roman" w:eastAsia="Times New Roman" w:hAnsi="Times New Roman" w:cs="Times New Roman"/>
          <w:sz w:val="24"/>
          <w:szCs w:val="24"/>
        </w:rPr>
        <w:t>explicitly</w:t>
      </w:r>
      <w:r w:rsidR="00E641D1" w:rsidRPr="00D65A3B">
        <w:rPr>
          <w:rFonts w:ascii="Times New Roman" w:eastAsia="Times New Roman" w:hAnsi="Times New Roman" w:cs="Times New Roman"/>
          <w:sz w:val="24"/>
          <w:szCs w:val="24"/>
        </w:rPr>
        <w:t xml:space="preserve"> accounted for in the </w:t>
      </w:r>
      <w:r w:rsidR="003A4E75">
        <w:rPr>
          <w:rFonts w:ascii="Times New Roman" w:eastAsia="Times New Roman" w:hAnsi="Times New Roman" w:cs="Times New Roman"/>
          <w:sz w:val="24"/>
          <w:szCs w:val="24"/>
        </w:rPr>
        <w:t>base case</w:t>
      </w:r>
      <w:r w:rsidR="00E641D1" w:rsidRPr="00D65A3B">
        <w:rPr>
          <w:rFonts w:ascii="Times New Roman" w:eastAsia="Times New Roman" w:hAnsi="Times New Roman" w:cs="Times New Roman"/>
          <w:sz w:val="24"/>
          <w:szCs w:val="24"/>
        </w:rPr>
        <w:t xml:space="preserve"> demand </w:t>
      </w:r>
      <w:r w:rsidR="0052342B">
        <w:rPr>
          <w:rFonts w:ascii="Times New Roman" w:eastAsia="Times New Roman" w:hAnsi="Times New Roman" w:cs="Times New Roman"/>
          <w:sz w:val="24"/>
          <w:szCs w:val="24"/>
        </w:rPr>
        <w:t xml:space="preserve">and/or supply </w:t>
      </w:r>
      <w:r w:rsidR="00E641D1" w:rsidRPr="00D65A3B">
        <w:rPr>
          <w:rFonts w:ascii="Times New Roman" w:eastAsia="Times New Roman" w:hAnsi="Times New Roman" w:cs="Times New Roman"/>
          <w:sz w:val="24"/>
          <w:szCs w:val="24"/>
        </w:rPr>
        <w:t>forecast</w:t>
      </w:r>
      <w:r w:rsidR="00AD3772">
        <w:rPr>
          <w:rFonts w:ascii="Times New Roman" w:eastAsia="Times New Roman" w:hAnsi="Times New Roman" w:cs="Times New Roman"/>
          <w:sz w:val="24"/>
          <w:szCs w:val="24"/>
        </w:rPr>
        <w:t xml:space="preserve"> and in the following manner</w:t>
      </w:r>
      <w:r w:rsidR="00E641D1" w:rsidRPr="00D65A3B">
        <w:rPr>
          <w:rFonts w:ascii="Times New Roman" w:eastAsia="Times New Roman" w:hAnsi="Times New Roman" w:cs="Times New Roman"/>
          <w:sz w:val="24"/>
          <w:szCs w:val="24"/>
        </w:rPr>
        <w:t xml:space="preserve">: </w:t>
      </w:r>
    </w:p>
    <w:p w14:paraId="11E33B77" w14:textId="41156EDE" w:rsidR="00E641D1" w:rsidRPr="00D65A3B" w:rsidRDefault="00722BFB" w:rsidP="0093418C">
      <w:pPr>
        <w:pStyle w:val="ListParagraph"/>
        <w:numPr>
          <w:ilvl w:val="0"/>
          <w:numId w:val="19"/>
        </w:numPr>
        <w:shd w:val="clear" w:color="auto" w:fill="FFFFFF" w:themeFill="background1"/>
        <w:spacing w:before="100" w:beforeAutospacing="1" w:after="100" w:afterAutospacing="1" w:line="36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Qualifying </w:t>
      </w:r>
      <w:r w:rsidR="002D3924">
        <w:rPr>
          <w:rFonts w:ascii="Times New Roman" w:eastAsia="Times New Roman" w:hAnsi="Times New Roman" w:cs="Times New Roman"/>
          <w:color w:val="000000"/>
          <w:sz w:val="24"/>
          <w:szCs w:val="24"/>
        </w:rPr>
        <w:t>RE and demand-side EE</w:t>
      </w:r>
      <w:r w:rsidR="00E641D1" w:rsidRPr="00D65A3B">
        <w:rPr>
          <w:rFonts w:ascii="Times New Roman" w:eastAsia="Times New Roman" w:hAnsi="Times New Roman" w:cs="Times New Roman"/>
          <w:color w:val="000000"/>
          <w:sz w:val="24"/>
          <w:szCs w:val="24"/>
        </w:rPr>
        <w:t xml:space="preserve"> programs </w:t>
      </w:r>
      <w:r w:rsidR="00807D5F">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 xml:space="preserve">are </w:t>
      </w:r>
      <w:r w:rsidR="00E641D1" w:rsidRPr="00D65A3B">
        <w:rPr>
          <w:rFonts w:ascii="Times New Roman" w:eastAsia="Times New Roman" w:hAnsi="Times New Roman" w:cs="Times New Roman"/>
          <w:color w:val="000000"/>
          <w:sz w:val="24"/>
          <w:szCs w:val="24"/>
        </w:rPr>
        <w:t xml:space="preserve">implemented </w:t>
      </w:r>
      <w:r w:rsidR="00E975B8">
        <w:rPr>
          <w:rFonts w:ascii="Times New Roman" w:eastAsia="Times New Roman" w:hAnsi="Times New Roman" w:cs="Times New Roman"/>
          <w:color w:val="000000"/>
          <w:sz w:val="24"/>
          <w:szCs w:val="24"/>
        </w:rPr>
        <w:t>after 2012</w:t>
      </w:r>
      <w:r w:rsidR="00174CC1">
        <w:rPr>
          <w:rFonts w:ascii="Times New Roman" w:eastAsia="Times New Roman" w:hAnsi="Times New Roman" w:cs="Times New Roman"/>
          <w:color w:val="000000"/>
          <w:sz w:val="24"/>
          <w:szCs w:val="24"/>
        </w:rPr>
        <w:t xml:space="preserve"> and </w:t>
      </w:r>
      <w:r w:rsidR="00306382">
        <w:rPr>
          <w:rFonts w:ascii="Times New Roman" w:eastAsia="Times New Roman" w:hAnsi="Times New Roman" w:cs="Times New Roman"/>
          <w:color w:val="000000"/>
          <w:sz w:val="24"/>
          <w:szCs w:val="24"/>
        </w:rPr>
        <w:t xml:space="preserve">impact electricity </w:t>
      </w:r>
      <w:r w:rsidR="00225588">
        <w:rPr>
          <w:rFonts w:ascii="Times New Roman" w:eastAsia="Times New Roman" w:hAnsi="Times New Roman" w:cs="Times New Roman"/>
          <w:color w:val="000000"/>
          <w:sz w:val="24"/>
          <w:szCs w:val="24"/>
        </w:rPr>
        <w:t xml:space="preserve">generation </w:t>
      </w:r>
      <w:r w:rsidR="00306382">
        <w:rPr>
          <w:rFonts w:ascii="Times New Roman" w:eastAsia="Times New Roman" w:hAnsi="Times New Roman" w:cs="Times New Roman"/>
          <w:color w:val="000000"/>
          <w:sz w:val="24"/>
          <w:szCs w:val="24"/>
        </w:rPr>
        <w:t>in 2022 or later</w:t>
      </w:r>
      <w:r w:rsidR="00E641D1" w:rsidRPr="00D65A3B">
        <w:rPr>
          <w:rFonts w:ascii="Times New Roman" w:eastAsia="Times New Roman" w:hAnsi="Times New Roman" w:cs="Times New Roman"/>
          <w:color w:val="000000"/>
          <w:sz w:val="24"/>
          <w:szCs w:val="24"/>
        </w:rPr>
        <w:t>.</w:t>
      </w:r>
      <w:r w:rsidR="00C6501E">
        <w:rPr>
          <w:rStyle w:val="FootnoteReference"/>
          <w:rFonts w:ascii="Times New Roman" w:eastAsia="Times New Roman" w:hAnsi="Times New Roman" w:cs="Times New Roman"/>
          <w:color w:val="000000"/>
          <w:sz w:val="24"/>
          <w:szCs w:val="24"/>
        </w:rPr>
        <w:footnoteReference w:id="6"/>
      </w:r>
      <w:r w:rsidR="00E641D1" w:rsidRPr="00D65A3B">
        <w:rPr>
          <w:rFonts w:ascii="Times New Roman" w:eastAsia="Times New Roman" w:hAnsi="Times New Roman" w:cs="Times New Roman"/>
          <w:color w:val="000000"/>
          <w:sz w:val="24"/>
          <w:szCs w:val="24"/>
        </w:rPr>
        <w:t xml:space="preserve"> </w:t>
      </w:r>
    </w:p>
    <w:p w14:paraId="29A01089" w14:textId="7F3AA669" w:rsidR="00AC2468" w:rsidRPr="00D65A3B" w:rsidRDefault="00E641D1" w:rsidP="0093418C">
      <w:pPr>
        <w:pStyle w:val="ListParagraph"/>
        <w:numPr>
          <w:ilvl w:val="1"/>
          <w:numId w:val="19"/>
        </w:numPr>
        <w:shd w:val="clear" w:color="auto" w:fill="FFFFFF"/>
        <w:spacing w:before="100" w:beforeAutospacing="1" w:after="100" w:afterAutospacing="1" w:line="360" w:lineRule="auto"/>
        <w:textAlignment w:val="center"/>
        <w:rPr>
          <w:rFonts w:ascii="Times New Roman" w:eastAsia="Times New Roman" w:hAnsi="Times New Roman" w:cs="Times New Roman"/>
          <w:color w:val="000000"/>
          <w:sz w:val="24"/>
          <w:szCs w:val="24"/>
        </w:rPr>
      </w:pPr>
      <w:r w:rsidRPr="00D65A3B">
        <w:rPr>
          <w:rFonts w:ascii="Times New Roman" w:eastAsia="Times New Roman" w:hAnsi="Times New Roman" w:cs="Times New Roman"/>
          <w:color w:val="000000"/>
          <w:sz w:val="24"/>
          <w:szCs w:val="24"/>
        </w:rPr>
        <w:t xml:space="preserve">Quantify the (annual </w:t>
      </w:r>
      <w:r w:rsidR="00E55FCE">
        <w:rPr>
          <w:rFonts w:ascii="Times New Roman" w:eastAsia="Times New Roman" w:hAnsi="Times New Roman" w:cs="Times New Roman"/>
          <w:color w:val="000000"/>
          <w:sz w:val="24"/>
          <w:szCs w:val="24"/>
        </w:rPr>
        <w:t xml:space="preserve">incremental </w:t>
      </w:r>
      <w:r w:rsidRPr="00D65A3B">
        <w:rPr>
          <w:rFonts w:ascii="Times New Roman" w:eastAsia="Times New Roman" w:hAnsi="Times New Roman" w:cs="Times New Roman"/>
          <w:color w:val="000000"/>
          <w:sz w:val="24"/>
          <w:szCs w:val="24"/>
        </w:rPr>
        <w:t>and cumulative savings</w:t>
      </w:r>
      <w:r w:rsidR="00E55FCE">
        <w:rPr>
          <w:rFonts w:ascii="Times New Roman" w:eastAsia="Times New Roman" w:hAnsi="Times New Roman" w:cs="Times New Roman"/>
          <w:color w:val="000000"/>
          <w:sz w:val="24"/>
          <w:szCs w:val="24"/>
        </w:rPr>
        <w:t xml:space="preserve"> </w:t>
      </w:r>
      <w:r w:rsidR="00751773">
        <w:rPr>
          <w:rFonts w:ascii="Times New Roman" w:eastAsia="Times New Roman" w:hAnsi="Times New Roman" w:cs="Times New Roman"/>
          <w:color w:val="000000"/>
          <w:sz w:val="24"/>
          <w:szCs w:val="24"/>
        </w:rPr>
        <w:t>or generation</w:t>
      </w:r>
      <w:r w:rsidR="00E55FCE">
        <w:rPr>
          <w:rFonts w:ascii="Times New Roman" w:eastAsia="Times New Roman" w:hAnsi="Times New Roman" w:cs="Times New Roman"/>
          <w:color w:val="000000"/>
          <w:sz w:val="24"/>
          <w:szCs w:val="24"/>
        </w:rPr>
        <w:t xml:space="preserve"> (MWhs)</w:t>
      </w:r>
      <w:r w:rsidRPr="00D65A3B">
        <w:rPr>
          <w:rFonts w:ascii="Times New Roman" w:eastAsia="Times New Roman" w:hAnsi="Times New Roman" w:cs="Times New Roman"/>
          <w:color w:val="000000"/>
          <w:sz w:val="24"/>
          <w:szCs w:val="24"/>
        </w:rPr>
        <w:t>) x (</w:t>
      </w:r>
      <w:r w:rsidR="00E55FCE">
        <w:rPr>
          <w:rFonts w:ascii="Times New Roman" w:eastAsia="Times New Roman" w:hAnsi="Times New Roman" w:cs="Times New Roman"/>
          <w:color w:val="000000"/>
          <w:sz w:val="24"/>
          <w:szCs w:val="24"/>
        </w:rPr>
        <w:t>effective useful</w:t>
      </w:r>
      <w:r w:rsidR="00E55FCE" w:rsidRPr="00D65A3B">
        <w:rPr>
          <w:rFonts w:ascii="Times New Roman" w:eastAsia="Times New Roman" w:hAnsi="Times New Roman" w:cs="Times New Roman"/>
          <w:color w:val="000000"/>
          <w:sz w:val="24"/>
          <w:szCs w:val="24"/>
        </w:rPr>
        <w:t xml:space="preserve"> </w:t>
      </w:r>
      <w:r w:rsidRPr="00D65A3B">
        <w:rPr>
          <w:rFonts w:ascii="Times New Roman" w:eastAsia="Times New Roman" w:hAnsi="Times New Roman" w:cs="Times New Roman"/>
          <w:color w:val="000000"/>
          <w:sz w:val="24"/>
          <w:szCs w:val="24"/>
        </w:rPr>
        <w:t xml:space="preserve">life) to estimate the savings that </w:t>
      </w:r>
      <w:r w:rsidR="00751773">
        <w:rPr>
          <w:rFonts w:ascii="Times New Roman" w:eastAsia="Times New Roman" w:hAnsi="Times New Roman" w:cs="Times New Roman"/>
          <w:color w:val="000000"/>
          <w:sz w:val="24"/>
          <w:szCs w:val="24"/>
        </w:rPr>
        <w:t>impacts demand or</w:t>
      </w:r>
      <w:r w:rsidR="00306382">
        <w:rPr>
          <w:rFonts w:ascii="Times New Roman" w:eastAsia="Times New Roman" w:hAnsi="Times New Roman" w:cs="Times New Roman"/>
          <w:color w:val="000000"/>
          <w:sz w:val="24"/>
          <w:szCs w:val="24"/>
        </w:rPr>
        <w:t xml:space="preserve"> generation</w:t>
      </w:r>
      <w:r w:rsidR="00751773">
        <w:rPr>
          <w:rFonts w:ascii="Times New Roman" w:eastAsia="Times New Roman" w:hAnsi="Times New Roman" w:cs="Times New Roman"/>
          <w:color w:val="000000"/>
          <w:sz w:val="24"/>
          <w:szCs w:val="24"/>
        </w:rPr>
        <w:t xml:space="preserve"> </w:t>
      </w:r>
      <w:r w:rsidRPr="00D65A3B">
        <w:rPr>
          <w:rFonts w:ascii="Times New Roman" w:eastAsia="Times New Roman" w:hAnsi="Times New Roman" w:cs="Times New Roman"/>
          <w:color w:val="000000"/>
          <w:sz w:val="24"/>
          <w:szCs w:val="24"/>
        </w:rPr>
        <w:t>in 2022 or later</w:t>
      </w:r>
      <w:r w:rsidR="00497C26">
        <w:rPr>
          <w:rFonts w:ascii="Times New Roman" w:eastAsia="Times New Roman" w:hAnsi="Times New Roman" w:cs="Times New Roman"/>
          <w:color w:val="000000"/>
          <w:sz w:val="24"/>
          <w:szCs w:val="24"/>
        </w:rPr>
        <w:t>.</w:t>
      </w:r>
      <w:r w:rsidRPr="00D65A3B">
        <w:rPr>
          <w:rFonts w:ascii="Times New Roman" w:eastAsia="Times New Roman" w:hAnsi="Times New Roman" w:cs="Times New Roman"/>
          <w:color w:val="000000"/>
          <w:sz w:val="24"/>
          <w:szCs w:val="24"/>
        </w:rPr>
        <w:t xml:space="preserve"> </w:t>
      </w:r>
    </w:p>
    <w:p w14:paraId="4FB57471" w14:textId="77777777" w:rsidR="00E641D1" w:rsidRPr="00D65A3B" w:rsidRDefault="00E641D1" w:rsidP="00E641D1">
      <w:pPr>
        <w:pStyle w:val="ListParagraph"/>
        <w:shd w:val="clear" w:color="auto" w:fill="FFFFFF"/>
        <w:spacing w:before="100" w:beforeAutospacing="1" w:after="100" w:afterAutospacing="1" w:line="240" w:lineRule="auto"/>
        <w:ind w:left="1440"/>
        <w:textAlignment w:val="center"/>
        <w:rPr>
          <w:rFonts w:ascii="Times New Roman" w:eastAsia="Times New Roman" w:hAnsi="Times New Roman" w:cs="Times New Roman"/>
          <w:color w:val="000000"/>
          <w:sz w:val="24"/>
          <w:szCs w:val="24"/>
        </w:rPr>
      </w:pPr>
    </w:p>
    <w:p w14:paraId="7F4105C3" w14:textId="01B2B1B0" w:rsidR="00E641D1" w:rsidRPr="00D65A3B" w:rsidRDefault="00722BFB" w:rsidP="0093418C">
      <w:pPr>
        <w:pStyle w:val="ListParagraph"/>
        <w:numPr>
          <w:ilvl w:val="0"/>
          <w:numId w:val="19"/>
        </w:numPr>
        <w:shd w:val="clear" w:color="auto" w:fill="FFFFFF"/>
        <w:spacing w:before="100" w:beforeAutospacing="1" w:after="100" w:afterAutospacing="1" w:line="36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Qualifying </w:t>
      </w:r>
      <w:r w:rsidR="002D3924">
        <w:rPr>
          <w:rFonts w:ascii="Times New Roman" w:eastAsia="Times New Roman" w:hAnsi="Times New Roman" w:cs="Times New Roman"/>
          <w:color w:val="000000"/>
          <w:sz w:val="24"/>
          <w:szCs w:val="24"/>
        </w:rPr>
        <w:t>RE and demand-side EE</w:t>
      </w:r>
      <w:r w:rsidR="00E641D1" w:rsidRPr="00D65A3B">
        <w:rPr>
          <w:rFonts w:ascii="Times New Roman" w:eastAsia="Times New Roman" w:hAnsi="Times New Roman" w:cs="Times New Roman"/>
          <w:color w:val="000000"/>
          <w:sz w:val="24"/>
          <w:szCs w:val="24"/>
        </w:rPr>
        <w:t xml:space="preserve"> programs </w:t>
      </w:r>
      <w:r w:rsidR="00AC2735">
        <w:rPr>
          <w:rFonts w:ascii="Times New Roman" w:eastAsia="Times New Roman" w:hAnsi="Times New Roman" w:cs="Times New Roman"/>
          <w:color w:val="000000"/>
          <w:sz w:val="24"/>
          <w:szCs w:val="24"/>
        </w:rPr>
        <w:t xml:space="preserve">that </w:t>
      </w:r>
      <w:r w:rsidR="00C32E27">
        <w:rPr>
          <w:rFonts w:ascii="Times New Roman" w:eastAsia="Times New Roman" w:hAnsi="Times New Roman" w:cs="Times New Roman"/>
          <w:color w:val="000000"/>
          <w:sz w:val="24"/>
          <w:szCs w:val="24"/>
        </w:rPr>
        <w:t xml:space="preserve">impact electricity generation in 2020 </w:t>
      </w:r>
      <w:r w:rsidR="006D22AA">
        <w:rPr>
          <w:rFonts w:ascii="Times New Roman" w:eastAsia="Times New Roman" w:hAnsi="Times New Roman" w:cs="Times New Roman"/>
          <w:color w:val="000000"/>
          <w:sz w:val="24"/>
          <w:szCs w:val="24"/>
        </w:rPr>
        <w:t>or</w:t>
      </w:r>
      <w:r w:rsidR="00C32E27">
        <w:rPr>
          <w:rFonts w:ascii="Times New Roman" w:eastAsia="Times New Roman" w:hAnsi="Times New Roman" w:cs="Times New Roman"/>
          <w:color w:val="000000"/>
          <w:sz w:val="24"/>
          <w:szCs w:val="24"/>
        </w:rPr>
        <w:t xml:space="preserve"> 2021 and </w:t>
      </w:r>
      <w:r w:rsidR="00E641D1" w:rsidRPr="00D65A3B">
        <w:rPr>
          <w:rFonts w:ascii="Times New Roman" w:eastAsia="Times New Roman" w:hAnsi="Times New Roman" w:cs="Times New Roman"/>
          <w:color w:val="000000"/>
          <w:sz w:val="24"/>
          <w:szCs w:val="24"/>
        </w:rPr>
        <w:t xml:space="preserve">meet </w:t>
      </w:r>
      <w:r w:rsidR="00A16E57">
        <w:rPr>
          <w:rFonts w:ascii="Times New Roman" w:eastAsia="Times New Roman" w:hAnsi="Times New Roman" w:cs="Times New Roman"/>
          <w:color w:val="000000"/>
          <w:sz w:val="24"/>
          <w:szCs w:val="24"/>
        </w:rPr>
        <w:t xml:space="preserve">eligibility </w:t>
      </w:r>
      <w:r w:rsidR="00C32E27">
        <w:rPr>
          <w:rFonts w:ascii="Times New Roman" w:eastAsia="Times New Roman" w:hAnsi="Times New Roman" w:cs="Times New Roman"/>
          <w:color w:val="000000"/>
          <w:sz w:val="24"/>
          <w:szCs w:val="24"/>
        </w:rPr>
        <w:t xml:space="preserve">requirements in the final rule regarding the </w:t>
      </w:r>
      <w:r w:rsidR="00F44628">
        <w:rPr>
          <w:rFonts w:ascii="Times New Roman" w:eastAsia="Times New Roman" w:hAnsi="Times New Roman" w:cs="Times New Roman"/>
          <w:color w:val="000000"/>
          <w:sz w:val="24"/>
          <w:szCs w:val="24"/>
        </w:rPr>
        <w:t xml:space="preserve">Clean Energy </w:t>
      </w:r>
      <w:r w:rsidR="00487156">
        <w:rPr>
          <w:rFonts w:ascii="Times New Roman" w:eastAsia="Times New Roman" w:hAnsi="Times New Roman" w:cs="Times New Roman"/>
          <w:color w:val="000000"/>
          <w:sz w:val="24"/>
          <w:szCs w:val="24"/>
        </w:rPr>
        <w:t>Incentive</w:t>
      </w:r>
      <w:r w:rsidR="00E641D1" w:rsidRPr="00D65A3B">
        <w:rPr>
          <w:rFonts w:ascii="Times New Roman" w:eastAsia="Times New Roman" w:hAnsi="Times New Roman" w:cs="Times New Roman"/>
          <w:color w:val="000000"/>
          <w:sz w:val="24"/>
          <w:szCs w:val="24"/>
        </w:rPr>
        <w:t xml:space="preserve"> </w:t>
      </w:r>
      <w:r w:rsidR="00306382">
        <w:rPr>
          <w:rFonts w:ascii="Times New Roman" w:eastAsia="Times New Roman" w:hAnsi="Times New Roman" w:cs="Times New Roman"/>
          <w:color w:val="000000"/>
          <w:sz w:val="24"/>
          <w:szCs w:val="24"/>
        </w:rPr>
        <w:t>Program</w:t>
      </w:r>
      <w:r w:rsidR="00AC2735">
        <w:rPr>
          <w:rFonts w:ascii="Times New Roman" w:eastAsia="Times New Roman" w:hAnsi="Times New Roman" w:cs="Times New Roman"/>
          <w:color w:val="000000"/>
          <w:sz w:val="24"/>
          <w:szCs w:val="24"/>
        </w:rPr>
        <w:t>.</w:t>
      </w:r>
      <w:r w:rsidR="00AD3772">
        <w:rPr>
          <w:rStyle w:val="FootnoteReference"/>
          <w:rFonts w:ascii="Times New Roman" w:eastAsia="Times New Roman" w:hAnsi="Times New Roman" w:cs="Times New Roman"/>
          <w:color w:val="000000"/>
          <w:sz w:val="24"/>
          <w:szCs w:val="24"/>
        </w:rPr>
        <w:footnoteReference w:id="7"/>
      </w:r>
    </w:p>
    <w:p w14:paraId="7C870D8F" w14:textId="1827A7F8" w:rsidR="00E641D1" w:rsidRPr="00D65A3B" w:rsidRDefault="00E641D1" w:rsidP="0093418C">
      <w:pPr>
        <w:pStyle w:val="ListParagraph"/>
        <w:numPr>
          <w:ilvl w:val="1"/>
          <w:numId w:val="19"/>
        </w:numPr>
        <w:shd w:val="clear" w:color="auto" w:fill="FFFFFF"/>
        <w:spacing w:before="100" w:beforeAutospacing="1" w:after="100" w:afterAutospacing="1" w:line="360" w:lineRule="auto"/>
        <w:textAlignment w:val="center"/>
        <w:rPr>
          <w:rFonts w:ascii="Times New Roman" w:eastAsia="Times New Roman" w:hAnsi="Times New Roman" w:cs="Times New Roman"/>
          <w:color w:val="000000"/>
          <w:sz w:val="24"/>
          <w:szCs w:val="24"/>
        </w:rPr>
      </w:pPr>
      <w:r w:rsidRPr="00D65A3B">
        <w:rPr>
          <w:rFonts w:ascii="Times New Roman" w:eastAsia="Times New Roman" w:hAnsi="Times New Roman" w:cs="Times New Roman"/>
          <w:color w:val="000000"/>
          <w:sz w:val="24"/>
          <w:szCs w:val="24"/>
        </w:rPr>
        <w:t xml:space="preserve">Quantify the (annual </w:t>
      </w:r>
      <w:r w:rsidR="00E55FCE">
        <w:rPr>
          <w:rFonts w:ascii="Times New Roman" w:eastAsia="Times New Roman" w:hAnsi="Times New Roman" w:cs="Times New Roman"/>
          <w:color w:val="000000"/>
          <w:sz w:val="24"/>
          <w:szCs w:val="24"/>
        </w:rPr>
        <w:t xml:space="preserve">incremental </w:t>
      </w:r>
      <w:r w:rsidRPr="00D65A3B">
        <w:rPr>
          <w:rFonts w:ascii="Times New Roman" w:eastAsia="Times New Roman" w:hAnsi="Times New Roman" w:cs="Times New Roman"/>
          <w:color w:val="000000"/>
          <w:sz w:val="24"/>
          <w:szCs w:val="24"/>
        </w:rPr>
        <w:t>and cumulative savings</w:t>
      </w:r>
      <w:r w:rsidR="00E55FCE">
        <w:rPr>
          <w:rFonts w:ascii="Times New Roman" w:eastAsia="Times New Roman" w:hAnsi="Times New Roman" w:cs="Times New Roman"/>
          <w:color w:val="000000"/>
          <w:sz w:val="24"/>
          <w:szCs w:val="24"/>
        </w:rPr>
        <w:t xml:space="preserve"> </w:t>
      </w:r>
      <w:r w:rsidR="00306382">
        <w:rPr>
          <w:rFonts w:ascii="Times New Roman" w:eastAsia="Times New Roman" w:hAnsi="Times New Roman" w:cs="Times New Roman"/>
          <w:color w:val="000000"/>
          <w:sz w:val="24"/>
          <w:szCs w:val="24"/>
        </w:rPr>
        <w:t>or generation</w:t>
      </w:r>
      <w:r w:rsidR="00E55FCE">
        <w:rPr>
          <w:rFonts w:ascii="Times New Roman" w:eastAsia="Times New Roman" w:hAnsi="Times New Roman" w:cs="Times New Roman"/>
          <w:color w:val="000000"/>
          <w:sz w:val="24"/>
          <w:szCs w:val="24"/>
        </w:rPr>
        <w:t xml:space="preserve"> (MWhs)</w:t>
      </w:r>
      <w:r w:rsidRPr="00D65A3B">
        <w:rPr>
          <w:rFonts w:ascii="Times New Roman" w:eastAsia="Times New Roman" w:hAnsi="Times New Roman" w:cs="Times New Roman"/>
          <w:color w:val="000000"/>
          <w:sz w:val="24"/>
          <w:szCs w:val="24"/>
        </w:rPr>
        <w:t>) x (</w:t>
      </w:r>
      <w:r w:rsidR="00E55FCE">
        <w:rPr>
          <w:rFonts w:ascii="Times New Roman" w:eastAsia="Times New Roman" w:hAnsi="Times New Roman" w:cs="Times New Roman"/>
          <w:color w:val="000000"/>
          <w:sz w:val="24"/>
          <w:szCs w:val="24"/>
        </w:rPr>
        <w:t>effective useful</w:t>
      </w:r>
      <w:r w:rsidR="00E55FCE" w:rsidRPr="00D65A3B">
        <w:rPr>
          <w:rFonts w:ascii="Times New Roman" w:eastAsia="Times New Roman" w:hAnsi="Times New Roman" w:cs="Times New Roman"/>
          <w:color w:val="000000"/>
          <w:sz w:val="24"/>
          <w:szCs w:val="24"/>
        </w:rPr>
        <w:t xml:space="preserve"> </w:t>
      </w:r>
      <w:r w:rsidRPr="00D65A3B">
        <w:rPr>
          <w:rFonts w:ascii="Times New Roman" w:eastAsia="Times New Roman" w:hAnsi="Times New Roman" w:cs="Times New Roman"/>
          <w:color w:val="000000"/>
          <w:sz w:val="24"/>
          <w:szCs w:val="24"/>
        </w:rPr>
        <w:t xml:space="preserve">life) to estimate the savings that </w:t>
      </w:r>
      <w:r w:rsidR="00306382">
        <w:rPr>
          <w:rFonts w:ascii="Times New Roman" w:eastAsia="Times New Roman" w:hAnsi="Times New Roman" w:cs="Times New Roman"/>
          <w:color w:val="000000"/>
          <w:sz w:val="24"/>
          <w:szCs w:val="24"/>
        </w:rPr>
        <w:t>impacts</w:t>
      </w:r>
      <w:r w:rsidR="00306382" w:rsidRPr="00D65A3B">
        <w:rPr>
          <w:rFonts w:ascii="Times New Roman" w:eastAsia="Times New Roman" w:hAnsi="Times New Roman" w:cs="Times New Roman"/>
          <w:color w:val="000000"/>
          <w:sz w:val="24"/>
          <w:szCs w:val="24"/>
        </w:rPr>
        <w:t xml:space="preserve"> </w:t>
      </w:r>
      <w:r w:rsidRPr="00D65A3B">
        <w:rPr>
          <w:rFonts w:ascii="Times New Roman" w:eastAsia="Times New Roman" w:hAnsi="Times New Roman" w:cs="Times New Roman"/>
          <w:color w:val="000000"/>
          <w:sz w:val="24"/>
          <w:szCs w:val="24"/>
        </w:rPr>
        <w:t xml:space="preserve">demand </w:t>
      </w:r>
      <w:r w:rsidR="00306382">
        <w:rPr>
          <w:rFonts w:ascii="Times New Roman" w:eastAsia="Times New Roman" w:hAnsi="Times New Roman" w:cs="Times New Roman"/>
          <w:color w:val="000000"/>
          <w:sz w:val="24"/>
          <w:szCs w:val="24"/>
        </w:rPr>
        <w:t>or generation</w:t>
      </w:r>
      <w:r w:rsidRPr="00D65A3B">
        <w:rPr>
          <w:rFonts w:ascii="Times New Roman" w:eastAsia="Times New Roman" w:hAnsi="Times New Roman" w:cs="Times New Roman"/>
          <w:color w:val="000000"/>
          <w:sz w:val="24"/>
          <w:szCs w:val="24"/>
        </w:rPr>
        <w:t xml:space="preserve"> in 2020 and 2021</w:t>
      </w:r>
      <w:r w:rsidR="00587E42">
        <w:rPr>
          <w:rFonts w:ascii="Times New Roman" w:eastAsia="Times New Roman" w:hAnsi="Times New Roman" w:cs="Times New Roman"/>
          <w:color w:val="000000"/>
          <w:sz w:val="24"/>
          <w:szCs w:val="24"/>
        </w:rPr>
        <w:t xml:space="preserve">. </w:t>
      </w:r>
    </w:p>
    <w:p w14:paraId="170C9ABC" w14:textId="09D6FB9A" w:rsidR="001F5075" w:rsidRPr="00D65A3B" w:rsidRDefault="00AD3772" w:rsidP="003244BD">
      <w:pPr>
        <w:shd w:val="clear" w:color="auto" w:fill="FFFFFF"/>
        <w:spacing w:before="100" w:beforeAutospacing="1" w:after="100" w:afterAutospacing="1" w:line="360" w:lineRule="auto"/>
        <w:ind w:firstLine="360"/>
        <w:textAlignment w:val="center"/>
        <w:rPr>
          <w:rFonts w:ascii="Times New Roman" w:hAnsi="Times New Roman" w:cs="Times New Roman"/>
          <w:bCs/>
          <w:sz w:val="24"/>
          <w:szCs w:val="24"/>
        </w:rPr>
      </w:pPr>
      <w:r>
        <w:rPr>
          <w:rFonts w:ascii="Times New Roman" w:hAnsi="Times New Roman" w:cs="Times New Roman"/>
          <w:bCs/>
          <w:sz w:val="24"/>
          <w:szCs w:val="24"/>
        </w:rPr>
        <w:t>Because these</w:t>
      </w:r>
      <w:r w:rsidR="00950999">
        <w:rPr>
          <w:rFonts w:ascii="Times New Roman" w:hAnsi="Times New Roman" w:cs="Times New Roman"/>
          <w:bCs/>
          <w:sz w:val="24"/>
          <w:szCs w:val="24"/>
        </w:rPr>
        <w:t xml:space="preserve"> </w:t>
      </w:r>
      <w:r w:rsidR="00903440">
        <w:rPr>
          <w:rFonts w:ascii="Times New Roman" w:hAnsi="Times New Roman" w:cs="Times New Roman"/>
          <w:bCs/>
          <w:sz w:val="24"/>
          <w:szCs w:val="24"/>
        </w:rPr>
        <w:t xml:space="preserve">on-the-books </w:t>
      </w:r>
      <w:r w:rsidR="002D3924">
        <w:rPr>
          <w:rFonts w:ascii="Times New Roman" w:hAnsi="Times New Roman" w:cs="Times New Roman"/>
          <w:bCs/>
          <w:sz w:val="24"/>
          <w:szCs w:val="24"/>
        </w:rPr>
        <w:t>RE and demand-side EE</w:t>
      </w:r>
      <w:r w:rsidR="00950999">
        <w:rPr>
          <w:rFonts w:ascii="Times New Roman" w:hAnsi="Times New Roman" w:cs="Times New Roman"/>
          <w:bCs/>
          <w:sz w:val="24"/>
          <w:szCs w:val="24"/>
        </w:rPr>
        <w:t xml:space="preserve"> measures or programs</w:t>
      </w:r>
      <w:r w:rsidR="00950999" w:rsidRPr="00950999">
        <w:rPr>
          <w:rFonts w:ascii="Times New Roman" w:hAnsi="Times New Roman" w:cs="Times New Roman"/>
          <w:bCs/>
          <w:sz w:val="24"/>
          <w:szCs w:val="24"/>
        </w:rPr>
        <w:t xml:space="preserve"> are </w:t>
      </w:r>
      <w:r w:rsidR="00903440">
        <w:rPr>
          <w:rFonts w:ascii="Times New Roman" w:hAnsi="Times New Roman" w:cs="Times New Roman"/>
          <w:bCs/>
          <w:sz w:val="24"/>
          <w:szCs w:val="24"/>
        </w:rPr>
        <w:t>explicitly</w:t>
      </w:r>
      <w:r w:rsidR="00950999" w:rsidRPr="00950999">
        <w:rPr>
          <w:rFonts w:ascii="Times New Roman" w:hAnsi="Times New Roman" w:cs="Times New Roman"/>
          <w:bCs/>
          <w:sz w:val="24"/>
          <w:szCs w:val="24"/>
        </w:rPr>
        <w:t xml:space="preserve"> accounted for in the </w:t>
      </w:r>
      <w:r>
        <w:rPr>
          <w:rFonts w:ascii="Times New Roman" w:hAnsi="Times New Roman" w:cs="Times New Roman"/>
          <w:bCs/>
          <w:sz w:val="24"/>
          <w:szCs w:val="24"/>
        </w:rPr>
        <w:t>base case</w:t>
      </w:r>
      <w:r w:rsidR="00950999" w:rsidRPr="00950999">
        <w:rPr>
          <w:rFonts w:ascii="Times New Roman" w:hAnsi="Times New Roman" w:cs="Times New Roman"/>
          <w:bCs/>
          <w:sz w:val="24"/>
          <w:szCs w:val="24"/>
        </w:rPr>
        <w:t xml:space="preserve"> demand forecast,</w:t>
      </w:r>
      <w:r w:rsidR="00950999">
        <w:rPr>
          <w:rFonts w:ascii="Times New Roman" w:hAnsi="Times New Roman" w:cs="Times New Roman"/>
          <w:bCs/>
          <w:sz w:val="24"/>
          <w:szCs w:val="24"/>
        </w:rPr>
        <w:t xml:space="preserve"> </w:t>
      </w:r>
      <w:r w:rsidR="00950999" w:rsidRPr="00950999">
        <w:rPr>
          <w:rFonts w:ascii="Times New Roman" w:hAnsi="Times New Roman" w:cs="Times New Roman"/>
          <w:bCs/>
          <w:sz w:val="24"/>
          <w:szCs w:val="24"/>
        </w:rPr>
        <w:t xml:space="preserve">the same impacts must not be </w:t>
      </w:r>
      <w:r w:rsidR="00BA0B0F">
        <w:rPr>
          <w:rFonts w:ascii="Times New Roman" w:hAnsi="Times New Roman" w:cs="Times New Roman"/>
          <w:bCs/>
          <w:sz w:val="24"/>
          <w:szCs w:val="24"/>
        </w:rPr>
        <w:t xml:space="preserve">represented </w:t>
      </w:r>
      <w:r w:rsidR="00037AF9">
        <w:rPr>
          <w:rFonts w:ascii="Times New Roman" w:hAnsi="Times New Roman" w:cs="Times New Roman"/>
          <w:bCs/>
          <w:sz w:val="24"/>
          <w:szCs w:val="24"/>
        </w:rPr>
        <w:t>again</w:t>
      </w:r>
      <w:r w:rsidR="00037AF9" w:rsidRPr="00950999">
        <w:rPr>
          <w:rFonts w:ascii="Times New Roman" w:hAnsi="Times New Roman" w:cs="Times New Roman"/>
          <w:bCs/>
          <w:sz w:val="24"/>
          <w:szCs w:val="24"/>
        </w:rPr>
        <w:t xml:space="preserve"> </w:t>
      </w:r>
      <w:r w:rsidR="00950999" w:rsidRPr="00950999">
        <w:rPr>
          <w:rFonts w:ascii="Times New Roman" w:hAnsi="Times New Roman" w:cs="Times New Roman"/>
          <w:bCs/>
          <w:sz w:val="24"/>
          <w:szCs w:val="24"/>
        </w:rPr>
        <w:t>in the state plan performance projection</w:t>
      </w:r>
      <w:r w:rsidR="00950999">
        <w:rPr>
          <w:rFonts w:ascii="Times New Roman" w:hAnsi="Times New Roman" w:cs="Times New Roman"/>
          <w:bCs/>
          <w:sz w:val="24"/>
          <w:szCs w:val="24"/>
        </w:rPr>
        <w:t>.</w:t>
      </w:r>
      <w:r w:rsidR="00BA0B0F">
        <w:rPr>
          <w:rFonts w:ascii="Times New Roman" w:hAnsi="Times New Roman" w:cs="Times New Roman"/>
          <w:bCs/>
          <w:sz w:val="24"/>
          <w:szCs w:val="24"/>
        </w:rPr>
        <w:t xml:space="preserve"> In other words, such impacts cannot be </w:t>
      </w:r>
      <w:r w:rsidR="00B46D25">
        <w:rPr>
          <w:rFonts w:ascii="Times New Roman" w:hAnsi="Times New Roman" w:cs="Times New Roman"/>
          <w:bCs/>
          <w:sz w:val="24"/>
          <w:szCs w:val="24"/>
        </w:rPr>
        <w:t>included in</w:t>
      </w:r>
      <w:r w:rsidR="00A16E57">
        <w:rPr>
          <w:rFonts w:ascii="Times New Roman" w:hAnsi="Times New Roman" w:cs="Times New Roman"/>
          <w:bCs/>
          <w:sz w:val="24"/>
          <w:szCs w:val="24"/>
        </w:rPr>
        <w:t xml:space="preserve"> </w:t>
      </w:r>
      <w:r w:rsidR="00BA0B0F">
        <w:rPr>
          <w:rFonts w:ascii="Times New Roman" w:hAnsi="Times New Roman" w:cs="Times New Roman"/>
          <w:bCs/>
          <w:sz w:val="24"/>
          <w:szCs w:val="24"/>
        </w:rPr>
        <w:t xml:space="preserve">the </w:t>
      </w:r>
      <w:r w:rsidR="00D52487">
        <w:rPr>
          <w:rFonts w:ascii="Times New Roman" w:hAnsi="Times New Roman" w:cs="Times New Roman"/>
          <w:bCs/>
          <w:sz w:val="24"/>
          <w:szCs w:val="24"/>
        </w:rPr>
        <w:t>CO</w:t>
      </w:r>
      <w:r w:rsidR="00D52487" w:rsidRPr="00D52487">
        <w:rPr>
          <w:rFonts w:ascii="Times New Roman" w:hAnsi="Times New Roman" w:cs="Times New Roman"/>
          <w:bCs/>
          <w:sz w:val="24"/>
          <w:szCs w:val="24"/>
          <w:vertAlign w:val="subscript"/>
        </w:rPr>
        <w:t>2</w:t>
      </w:r>
      <w:r w:rsidR="00D52487">
        <w:rPr>
          <w:rFonts w:ascii="Times New Roman" w:hAnsi="Times New Roman" w:cs="Times New Roman"/>
          <w:bCs/>
          <w:sz w:val="24"/>
          <w:szCs w:val="24"/>
        </w:rPr>
        <w:t xml:space="preserve"> emission</w:t>
      </w:r>
      <w:r w:rsidR="00BA0B0F">
        <w:rPr>
          <w:rFonts w:ascii="Times New Roman" w:hAnsi="Times New Roman" w:cs="Times New Roman"/>
          <w:bCs/>
          <w:sz w:val="24"/>
          <w:szCs w:val="24"/>
        </w:rPr>
        <w:t xml:space="preserve"> performance projection, because they are already captured in that base case forecast.</w:t>
      </w:r>
      <w:r w:rsidR="00BA0B0F" w:rsidRPr="00D65A3B">
        <w:rPr>
          <w:rFonts w:ascii="Times New Roman" w:hAnsi="Times New Roman" w:cs="Times New Roman"/>
          <w:bCs/>
          <w:sz w:val="24"/>
          <w:szCs w:val="24"/>
        </w:rPr>
        <w:t xml:space="preserve"> </w:t>
      </w:r>
      <w:r w:rsidR="00950999" w:rsidRPr="00950999">
        <w:rPr>
          <w:rFonts w:ascii="Times New Roman" w:hAnsi="Times New Roman" w:cs="Times New Roman"/>
          <w:bCs/>
          <w:sz w:val="24"/>
          <w:szCs w:val="24"/>
        </w:rPr>
        <w:t xml:space="preserve"> </w:t>
      </w:r>
      <w:r>
        <w:rPr>
          <w:rFonts w:ascii="Times New Roman" w:hAnsi="Times New Roman" w:cs="Times New Roman"/>
          <w:bCs/>
          <w:sz w:val="24"/>
          <w:szCs w:val="24"/>
        </w:rPr>
        <w:t>For a</w:t>
      </w:r>
      <w:r w:rsidR="001F5075" w:rsidRPr="00D65A3B">
        <w:rPr>
          <w:rFonts w:ascii="Times New Roman" w:hAnsi="Times New Roman" w:cs="Times New Roman"/>
          <w:bCs/>
          <w:sz w:val="24"/>
          <w:szCs w:val="24"/>
        </w:rPr>
        <w:t xml:space="preserve">ny </w:t>
      </w:r>
      <w:r w:rsidR="002D3924">
        <w:rPr>
          <w:rFonts w:ascii="Times New Roman" w:hAnsi="Times New Roman" w:cs="Times New Roman"/>
          <w:bCs/>
          <w:sz w:val="24"/>
          <w:szCs w:val="24"/>
        </w:rPr>
        <w:t>RE and demand-side EE</w:t>
      </w:r>
      <w:r w:rsidR="001F5075" w:rsidRPr="00D65A3B">
        <w:rPr>
          <w:rFonts w:ascii="Times New Roman" w:hAnsi="Times New Roman" w:cs="Times New Roman"/>
          <w:bCs/>
          <w:sz w:val="24"/>
          <w:szCs w:val="24"/>
        </w:rPr>
        <w:t xml:space="preserve"> programs that are explicitly included in an EGU </w:t>
      </w:r>
      <w:r w:rsidR="00BA0B0F">
        <w:rPr>
          <w:rFonts w:ascii="Times New Roman" w:hAnsi="Times New Roman" w:cs="Times New Roman"/>
          <w:bCs/>
          <w:sz w:val="24"/>
          <w:szCs w:val="24"/>
        </w:rPr>
        <w:t>base case</w:t>
      </w:r>
      <w:r w:rsidR="001F5075" w:rsidRPr="00D65A3B">
        <w:rPr>
          <w:rFonts w:ascii="Times New Roman" w:hAnsi="Times New Roman" w:cs="Times New Roman"/>
          <w:bCs/>
          <w:sz w:val="24"/>
          <w:szCs w:val="24"/>
        </w:rPr>
        <w:t xml:space="preserve"> forecast and </w:t>
      </w:r>
      <w:r>
        <w:rPr>
          <w:rFonts w:ascii="Times New Roman" w:hAnsi="Times New Roman" w:cs="Times New Roman"/>
          <w:bCs/>
          <w:sz w:val="24"/>
          <w:szCs w:val="24"/>
        </w:rPr>
        <w:t>will be</w:t>
      </w:r>
      <w:r w:rsidR="001F5075" w:rsidRPr="00D65A3B">
        <w:rPr>
          <w:rFonts w:ascii="Times New Roman" w:hAnsi="Times New Roman" w:cs="Times New Roman"/>
          <w:bCs/>
          <w:sz w:val="24"/>
          <w:szCs w:val="24"/>
        </w:rPr>
        <w:t xml:space="preserve"> used to meet the CPP emission guidelines</w:t>
      </w:r>
      <w:r>
        <w:rPr>
          <w:rFonts w:ascii="Times New Roman" w:hAnsi="Times New Roman" w:cs="Times New Roman"/>
          <w:bCs/>
          <w:sz w:val="24"/>
          <w:szCs w:val="24"/>
        </w:rPr>
        <w:t>, the state must</w:t>
      </w:r>
      <w:r w:rsidR="001F5075" w:rsidRPr="00D65A3B">
        <w:rPr>
          <w:rFonts w:ascii="Times New Roman" w:hAnsi="Times New Roman" w:cs="Times New Roman"/>
          <w:bCs/>
          <w:sz w:val="24"/>
          <w:szCs w:val="24"/>
        </w:rPr>
        <w:t xml:space="preserve"> document the following informatio</w:t>
      </w:r>
      <w:r w:rsidR="001F5075" w:rsidRPr="006027D5">
        <w:rPr>
          <w:rFonts w:ascii="Times New Roman" w:hAnsi="Times New Roman" w:cs="Times New Roman"/>
          <w:bCs/>
          <w:sz w:val="24"/>
          <w:szCs w:val="24"/>
        </w:rPr>
        <w:t>n</w:t>
      </w:r>
      <w:r w:rsidR="00D52487">
        <w:rPr>
          <w:rFonts w:ascii="Times New Roman" w:hAnsi="Times New Roman" w:cs="Times New Roman"/>
          <w:bCs/>
          <w:sz w:val="24"/>
          <w:szCs w:val="24"/>
        </w:rPr>
        <w:t>:</w:t>
      </w:r>
      <w:r w:rsidR="001F5075" w:rsidRPr="00D65A3B">
        <w:rPr>
          <w:rFonts w:ascii="Times New Roman" w:hAnsi="Times New Roman" w:cs="Times New Roman"/>
          <w:bCs/>
          <w:sz w:val="24"/>
          <w:szCs w:val="24"/>
        </w:rPr>
        <w:t xml:space="preserve"> </w:t>
      </w:r>
    </w:p>
    <w:p w14:paraId="5998E4F4" w14:textId="177F0483" w:rsidR="001F5075" w:rsidRPr="00D65A3B" w:rsidRDefault="001F5075" w:rsidP="008407A3">
      <w:pPr>
        <w:shd w:val="clear" w:color="auto" w:fill="FFFFFF"/>
        <w:spacing w:after="0" w:line="240" w:lineRule="auto"/>
        <w:ind w:left="360"/>
        <w:textAlignment w:val="center"/>
        <w:rPr>
          <w:rFonts w:ascii="Times New Roman" w:hAnsi="Times New Roman" w:cs="Times New Roman"/>
          <w:bCs/>
          <w:sz w:val="24"/>
          <w:szCs w:val="24"/>
        </w:rPr>
      </w:pPr>
      <w:r w:rsidRPr="00D65A3B">
        <w:rPr>
          <w:rFonts w:ascii="Times New Roman" w:hAnsi="Times New Roman" w:cs="Times New Roman"/>
          <w:bCs/>
          <w:sz w:val="24"/>
          <w:szCs w:val="24"/>
        </w:rPr>
        <w:t>1.</w:t>
      </w:r>
      <w:r w:rsidRPr="00D65A3B">
        <w:rPr>
          <w:rFonts w:ascii="Times New Roman" w:hAnsi="Times New Roman" w:cs="Times New Roman"/>
          <w:bCs/>
          <w:sz w:val="24"/>
          <w:szCs w:val="24"/>
        </w:rPr>
        <w:tab/>
        <w:t xml:space="preserve">Policy </w:t>
      </w:r>
      <w:r w:rsidR="004D69A8">
        <w:rPr>
          <w:rFonts w:ascii="Times New Roman" w:hAnsi="Times New Roman" w:cs="Times New Roman"/>
          <w:bCs/>
          <w:sz w:val="24"/>
          <w:szCs w:val="24"/>
        </w:rPr>
        <w:t>or program</w:t>
      </w:r>
      <w:r w:rsidRPr="00D65A3B">
        <w:rPr>
          <w:rFonts w:ascii="Times New Roman" w:hAnsi="Times New Roman" w:cs="Times New Roman"/>
          <w:bCs/>
          <w:sz w:val="24"/>
          <w:szCs w:val="24"/>
        </w:rPr>
        <w:t xml:space="preserve"> name</w:t>
      </w:r>
      <w:r w:rsidR="00D52487">
        <w:rPr>
          <w:rFonts w:ascii="Times New Roman" w:hAnsi="Times New Roman" w:cs="Times New Roman"/>
          <w:bCs/>
          <w:sz w:val="24"/>
          <w:szCs w:val="24"/>
        </w:rPr>
        <w:t>,</w:t>
      </w:r>
      <w:r w:rsidRPr="00D65A3B">
        <w:rPr>
          <w:rFonts w:ascii="Times New Roman" w:hAnsi="Times New Roman" w:cs="Times New Roman"/>
          <w:bCs/>
          <w:sz w:val="24"/>
          <w:szCs w:val="24"/>
        </w:rPr>
        <w:t xml:space="preserve"> </w:t>
      </w:r>
      <w:r w:rsidRPr="00D65A3B">
        <w:rPr>
          <w:rFonts w:ascii="Times New Roman" w:hAnsi="Times New Roman" w:cs="Times New Roman"/>
          <w:bCs/>
          <w:sz w:val="24"/>
          <w:szCs w:val="24"/>
        </w:rPr>
        <w:tab/>
      </w:r>
    </w:p>
    <w:p w14:paraId="5994497E" w14:textId="133B51E8" w:rsidR="001F5075" w:rsidRPr="00D65A3B" w:rsidRDefault="001F5075" w:rsidP="008407A3">
      <w:pPr>
        <w:shd w:val="clear" w:color="auto" w:fill="FFFFFF"/>
        <w:spacing w:after="0" w:line="240" w:lineRule="auto"/>
        <w:ind w:left="360"/>
        <w:textAlignment w:val="center"/>
        <w:rPr>
          <w:rFonts w:ascii="Times New Roman" w:hAnsi="Times New Roman" w:cs="Times New Roman"/>
          <w:bCs/>
          <w:sz w:val="24"/>
          <w:szCs w:val="24"/>
        </w:rPr>
      </w:pPr>
      <w:r w:rsidRPr="00D65A3B">
        <w:rPr>
          <w:rFonts w:ascii="Times New Roman" w:hAnsi="Times New Roman" w:cs="Times New Roman"/>
          <w:bCs/>
          <w:sz w:val="24"/>
          <w:szCs w:val="24"/>
        </w:rPr>
        <w:t>2.</w:t>
      </w:r>
      <w:r w:rsidRPr="00D65A3B">
        <w:rPr>
          <w:rFonts w:ascii="Times New Roman" w:hAnsi="Times New Roman" w:cs="Times New Roman"/>
          <w:bCs/>
          <w:sz w:val="24"/>
          <w:szCs w:val="24"/>
        </w:rPr>
        <w:tab/>
        <w:t xml:space="preserve">Whether the </w:t>
      </w:r>
      <w:r w:rsidR="004D69A8">
        <w:rPr>
          <w:rFonts w:ascii="Times New Roman" w:hAnsi="Times New Roman" w:cs="Times New Roman"/>
          <w:bCs/>
          <w:sz w:val="24"/>
          <w:szCs w:val="24"/>
        </w:rPr>
        <w:t>program</w:t>
      </w:r>
      <w:r w:rsidRPr="00D65A3B">
        <w:rPr>
          <w:rFonts w:ascii="Times New Roman" w:hAnsi="Times New Roman" w:cs="Times New Roman"/>
          <w:bCs/>
          <w:sz w:val="24"/>
          <w:szCs w:val="24"/>
        </w:rPr>
        <w:t xml:space="preserve"> is codified in state or local rule</w:t>
      </w:r>
      <w:r w:rsidR="00D52487">
        <w:rPr>
          <w:rFonts w:ascii="Times New Roman" w:hAnsi="Times New Roman" w:cs="Times New Roman"/>
          <w:bCs/>
          <w:sz w:val="24"/>
          <w:szCs w:val="24"/>
        </w:rPr>
        <w:t>,</w:t>
      </w:r>
      <w:r w:rsidRPr="00D65A3B">
        <w:rPr>
          <w:rFonts w:ascii="Times New Roman" w:hAnsi="Times New Roman" w:cs="Times New Roman"/>
          <w:bCs/>
          <w:sz w:val="24"/>
          <w:szCs w:val="24"/>
        </w:rPr>
        <w:tab/>
      </w:r>
    </w:p>
    <w:p w14:paraId="28D45359" w14:textId="0A5CAFED" w:rsidR="001F5075" w:rsidRPr="00D65A3B" w:rsidRDefault="001F5075" w:rsidP="008407A3">
      <w:pPr>
        <w:shd w:val="clear" w:color="auto" w:fill="FFFFFF"/>
        <w:spacing w:after="0" w:line="240" w:lineRule="auto"/>
        <w:ind w:left="360"/>
        <w:textAlignment w:val="center"/>
        <w:rPr>
          <w:rFonts w:ascii="Times New Roman" w:hAnsi="Times New Roman" w:cs="Times New Roman"/>
          <w:bCs/>
          <w:sz w:val="24"/>
          <w:szCs w:val="24"/>
        </w:rPr>
      </w:pPr>
      <w:r w:rsidRPr="00D65A3B">
        <w:rPr>
          <w:rFonts w:ascii="Times New Roman" w:hAnsi="Times New Roman" w:cs="Times New Roman"/>
          <w:bCs/>
          <w:sz w:val="24"/>
          <w:szCs w:val="24"/>
        </w:rPr>
        <w:t>3.</w:t>
      </w:r>
      <w:r w:rsidRPr="00D65A3B">
        <w:rPr>
          <w:rFonts w:ascii="Times New Roman" w:hAnsi="Times New Roman" w:cs="Times New Roman"/>
          <w:bCs/>
          <w:sz w:val="24"/>
          <w:szCs w:val="24"/>
        </w:rPr>
        <w:tab/>
        <w:t>Year enacted</w:t>
      </w:r>
      <w:r w:rsidR="00D52487">
        <w:rPr>
          <w:rFonts w:ascii="Times New Roman" w:hAnsi="Times New Roman" w:cs="Times New Roman"/>
          <w:bCs/>
          <w:sz w:val="24"/>
          <w:szCs w:val="24"/>
        </w:rPr>
        <w:t>,</w:t>
      </w:r>
      <w:r w:rsidRPr="00D65A3B">
        <w:rPr>
          <w:rFonts w:ascii="Times New Roman" w:hAnsi="Times New Roman" w:cs="Times New Roman"/>
          <w:bCs/>
          <w:sz w:val="24"/>
          <w:szCs w:val="24"/>
        </w:rPr>
        <w:tab/>
      </w:r>
    </w:p>
    <w:p w14:paraId="748E385F" w14:textId="2CDC01EF" w:rsidR="001F5075" w:rsidRPr="00D65A3B" w:rsidRDefault="001F5075" w:rsidP="008407A3">
      <w:pPr>
        <w:shd w:val="clear" w:color="auto" w:fill="FFFFFF"/>
        <w:spacing w:after="0" w:line="240" w:lineRule="auto"/>
        <w:ind w:left="360"/>
        <w:textAlignment w:val="center"/>
        <w:rPr>
          <w:rFonts w:ascii="Times New Roman" w:hAnsi="Times New Roman" w:cs="Times New Roman"/>
          <w:bCs/>
          <w:sz w:val="24"/>
          <w:szCs w:val="24"/>
        </w:rPr>
      </w:pPr>
      <w:r w:rsidRPr="00D65A3B">
        <w:rPr>
          <w:rFonts w:ascii="Times New Roman" w:hAnsi="Times New Roman" w:cs="Times New Roman"/>
          <w:bCs/>
          <w:sz w:val="24"/>
          <w:szCs w:val="24"/>
        </w:rPr>
        <w:t>4.</w:t>
      </w:r>
      <w:r w:rsidRPr="00D65A3B">
        <w:rPr>
          <w:rFonts w:ascii="Times New Roman" w:hAnsi="Times New Roman" w:cs="Times New Roman"/>
          <w:bCs/>
          <w:sz w:val="24"/>
          <w:szCs w:val="24"/>
        </w:rPr>
        <w:tab/>
        <w:t>When the p</w:t>
      </w:r>
      <w:r w:rsidR="004D69A8">
        <w:rPr>
          <w:rFonts w:ascii="Times New Roman" w:hAnsi="Times New Roman" w:cs="Times New Roman"/>
          <w:bCs/>
          <w:sz w:val="24"/>
          <w:szCs w:val="24"/>
        </w:rPr>
        <w:t>rogram</w:t>
      </w:r>
      <w:r w:rsidRPr="00D65A3B">
        <w:rPr>
          <w:rFonts w:ascii="Times New Roman" w:hAnsi="Times New Roman" w:cs="Times New Roman"/>
          <w:bCs/>
          <w:sz w:val="24"/>
          <w:szCs w:val="24"/>
        </w:rPr>
        <w:t xml:space="preserve"> requirement</w:t>
      </w:r>
      <w:r w:rsidR="00D52487">
        <w:rPr>
          <w:rFonts w:ascii="Times New Roman" w:hAnsi="Times New Roman" w:cs="Times New Roman"/>
          <w:bCs/>
          <w:sz w:val="24"/>
          <w:szCs w:val="24"/>
        </w:rPr>
        <w:t>s</w:t>
      </w:r>
      <w:r w:rsidRPr="00D65A3B">
        <w:rPr>
          <w:rFonts w:ascii="Times New Roman" w:hAnsi="Times New Roman" w:cs="Times New Roman"/>
          <w:bCs/>
          <w:sz w:val="24"/>
          <w:szCs w:val="24"/>
        </w:rPr>
        <w:t xml:space="preserve"> sunset</w:t>
      </w:r>
      <w:r w:rsidR="00D52487">
        <w:rPr>
          <w:rFonts w:ascii="Times New Roman" w:hAnsi="Times New Roman" w:cs="Times New Roman"/>
          <w:bCs/>
          <w:sz w:val="24"/>
          <w:szCs w:val="24"/>
        </w:rPr>
        <w:t>,</w:t>
      </w:r>
    </w:p>
    <w:p w14:paraId="0F1599D0" w14:textId="433A0C9C" w:rsidR="001F5075" w:rsidRPr="00D65A3B" w:rsidRDefault="001F5075" w:rsidP="008407A3">
      <w:pPr>
        <w:shd w:val="clear" w:color="auto" w:fill="FFFFFF"/>
        <w:spacing w:after="0" w:line="240" w:lineRule="auto"/>
        <w:ind w:left="360"/>
        <w:textAlignment w:val="center"/>
        <w:rPr>
          <w:rFonts w:ascii="Times New Roman" w:hAnsi="Times New Roman" w:cs="Times New Roman"/>
          <w:bCs/>
          <w:sz w:val="24"/>
          <w:szCs w:val="24"/>
        </w:rPr>
      </w:pPr>
      <w:r w:rsidRPr="00D65A3B">
        <w:rPr>
          <w:rFonts w:ascii="Times New Roman" w:hAnsi="Times New Roman" w:cs="Times New Roman"/>
          <w:bCs/>
          <w:sz w:val="24"/>
          <w:szCs w:val="24"/>
        </w:rPr>
        <w:t>5.</w:t>
      </w:r>
      <w:r w:rsidRPr="00D65A3B">
        <w:rPr>
          <w:rFonts w:ascii="Times New Roman" w:hAnsi="Times New Roman" w:cs="Times New Roman"/>
          <w:bCs/>
          <w:sz w:val="24"/>
          <w:szCs w:val="24"/>
        </w:rPr>
        <w:tab/>
        <w:t>P</w:t>
      </w:r>
      <w:r w:rsidR="004D69A8">
        <w:rPr>
          <w:rFonts w:ascii="Times New Roman" w:hAnsi="Times New Roman" w:cs="Times New Roman"/>
          <w:bCs/>
          <w:sz w:val="24"/>
          <w:szCs w:val="24"/>
        </w:rPr>
        <w:t>rogram</w:t>
      </w:r>
      <w:r w:rsidRPr="00D65A3B">
        <w:rPr>
          <w:rFonts w:ascii="Times New Roman" w:hAnsi="Times New Roman" w:cs="Times New Roman"/>
          <w:bCs/>
          <w:sz w:val="24"/>
          <w:szCs w:val="24"/>
        </w:rPr>
        <w:t xml:space="preserve"> requirements (e.g., targets in megawatt hours (MWh) or percentage)</w:t>
      </w:r>
      <w:r w:rsidR="00D52487">
        <w:rPr>
          <w:rFonts w:ascii="Times New Roman" w:hAnsi="Times New Roman" w:cs="Times New Roman"/>
          <w:bCs/>
          <w:sz w:val="24"/>
          <w:szCs w:val="24"/>
        </w:rPr>
        <w:t>,</w:t>
      </w:r>
    </w:p>
    <w:p w14:paraId="4ABA796F" w14:textId="0F42EE6A" w:rsidR="001F5075" w:rsidRPr="00D65A3B" w:rsidRDefault="001F5075" w:rsidP="008407A3">
      <w:pPr>
        <w:shd w:val="clear" w:color="auto" w:fill="FFFFFF"/>
        <w:spacing w:after="0" w:line="240" w:lineRule="auto"/>
        <w:ind w:left="360"/>
        <w:textAlignment w:val="center"/>
        <w:rPr>
          <w:rFonts w:ascii="Times New Roman" w:hAnsi="Times New Roman" w:cs="Times New Roman"/>
          <w:bCs/>
          <w:sz w:val="24"/>
          <w:szCs w:val="24"/>
        </w:rPr>
      </w:pPr>
      <w:r w:rsidRPr="00D65A3B">
        <w:rPr>
          <w:rFonts w:ascii="Times New Roman" w:hAnsi="Times New Roman" w:cs="Times New Roman"/>
          <w:bCs/>
          <w:sz w:val="24"/>
          <w:szCs w:val="24"/>
        </w:rPr>
        <w:lastRenderedPageBreak/>
        <w:t>6.</w:t>
      </w:r>
      <w:r w:rsidRPr="00D65A3B">
        <w:rPr>
          <w:rFonts w:ascii="Times New Roman" w:hAnsi="Times New Roman" w:cs="Times New Roman"/>
          <w:bCs/>
          <w:sz w:val="24"/>
          <w:szCs w:val="24"/>
        </w:rPr>
        <w:tab/>
        <w:t xml:space="preserve">Annual energy savings </w:t>
      </w:r>
      <w:r w:rsidR="004D69A8">
        <w:rPr>
          <w:rFonts w:ascii="Times New Roman" w:hAnsi="Times New Roman" w:cs="Times New Roman"/>
          <w:bCs/>
          <w:sz w:val="24"/>
          <w:szCs w:val="24"/>
        </w:rPr>
        <w:t>or generation</w:t>
      </w:r>
      <w:r w:rsidR="008162A7">
        <w:rPr>
          <w:rFonts w:ascii="Times New Roman" w:hAnsi="Times New Roman" w:cs="Times New Roman"/>
          <w:bCs/>
          <w:sz w:val="24"/>
          <w:szCs w:val="24"/>
        </w:rPr>
        <w:t xml:space="preserve"> in the </w:t>
      </w:r>
      <w:r w:rsidRPr="00D65A3B">
        <w:rPr>
          <w:rFonts w:ascii="Times New Roman" w:hAnsi="Times New Roman" w:cs="Times New Roman"/>
          <w:bCs/>
          <w:sz w:val="24"/>
          <w:szCs w:val="24"/>
        </w:rPr>
        <w:t>base year (MWh)</w:t>
      </w:r>
      <w:r w:rsidR="00D52487">
        <w:rPr>
          <w:rFonts w:ascii="Times New Roman" w:hAnsi="Times New Roman" w:cs="Times New Roman"/>
          <w:bCs/>
          <w:sz w:val="24"/>
          <w:szCs w:val="24"/>
        </w:rPr>
        <w:t>,</w:t>
      </w:r>
    </w:p>
    <w:p w14:paraId="6ED16BFE" w14:textId="0C9FB38A" w:rsidR="001F5075" w:rsidRPr="00D65A3B" w:rsidRDefault="001F5075" w:rsidP="008407A3">
      <w:pPr>
        <w:shd w:val="clear" w:color="auto" w:fill="FFFFFF"/>
        <w:spacing w:after="0" w:line="240" w:lineRule="auto"/>
        <w:ind w:left="360"/>
        <w:textAlignment w:val="center"/>
        <w:rPr>
          <w:rFonts w:ascii="Times New Roman" w:hAnsi="Times New Roman" w:cs="Times New Roman"/>
          <w:bCs/>
          <w:sz w:val="24"/>
          <w:szCs w:val="24"/>
        </w:rPr>
      </w:pPr>
      <w:r w:rsidRPr="00D65A3B">
        <w:rPr>
          <w:rFonts w:ascii="Times New Roman" w:hAnsi="Times New Roman" w:cs="Times New Roman"/>
          <w:bCs/>
          <w:sz w:val="24"/>
          <w:szCs w:val="24"/>
        </w:rPr>
        <w:t>7.</w:t>
      </w:r>
      <w:r w:rsidRPr="00D65A3B">
        <w:rPr>
          <w:rFonts w:ascii="Times New Roman" w:hAnsi="Times New Roman" w:cs="Times New Roman"/>
          <w:bCs/>
          <w:sz w:val="24"/>
          <w:szCs w:val="24"/>
        </w:rPr>
        <w:tab/>
        <w:t xml:space="preserve">Annual and cumulative energy savings </w:t>
      </w:r>
      <w:r w:rsidR="004D69A8">
        <w:rPr>
          <w:rFonts w:ascii="Times New Roman" w:hAnsi="Times New Roman" w:cs="Times New Roman"/>
          <w:bCs/>
          <w:sz w:val="24"/>
          <w:szCs w:val="24"/>
        </w:rPr>
        <w:t>or generation</w:t>
      </w:r>
      <w:r w:rsidRPr="00D65A3B">
        <w:rPr>
          <w:rFonts w:ascii="Times New Roman" w:hAnsi="Times New Roman" w:cs="Times New Roman"/>
          <w:bCs/>
          <w:sz w:val="24"/>
          <w:szCs w:val="24"/>
        </w:rPr>
        <w:t xml:space="preserve"> in the future </w:t>
      </w:r>
      <w:r w:rsidR="004D69A8">
        <w:rPr>
          <w:rFonts w:ascii="Times New Roman" w:hAnsi="Times New Roman" w:cs="Times New Roman"/>
          <w:bCs/>
          <w:sz w:val="24"/>
          <w:szCs w:val="24"/>
        </w:rPr>
        <w:t>interim and final</w:t>
      </w:r>
      <w:r w:rsidRPr="00D65A3B">
        <w:rPr>
          <w:rFonts w:ascii="Times New Roman" w:hAnsi="Times New Roman" w:cs="Times New Roman"/>
          <w:bCs/>
          <w:sz w:val="24"/>
          <w:szCs w:val="24"/>
        </w:rPr>
        <w:t xml:space="preserve"> </w:t>
      </w:r>
      <w:r w:rsidR="004D69A8">
        <w:rPr>
          <w:rFonts w:ascii="Times New Roman" w:hAnsi="Times New Roman" w:cs="Times New Roman"/>
          <w:bCs/>
          <w:sz w:val="24"/>
          <w:szCs w:val="24"/>
        </w:rPr>
        <w:t>periods</w:t>
      </w:r>
      <w:r w:rsidRPr="00D65A3B">
        <w:rPr>
          <w:rFonts w:ascii="Times New Roman" w:hAnsi="Times New Roman" w:cs="Times New Roman"/>
          <w:bCs/>
          <w:sz w:val="24"/>
          <w:szCs w:val="24"/>
        </w:rPr>
        <w:t xml:space="preserve"> (MWh)</w:t>
      </w:r>
      <w:r w:rsidR="00D52487">
        <w:rPr>
          <w:rFonts w:ascii="Times New Roman" w:hAnsi="Times New Roman" w:cs="Times New Roman"/>
          <w:bCs/>
          <w:sz w:val="24"/>
          <w:szCs w:val="24"/>
        </w:rPr>
        <w:t>, and</w:t>
      </w:r>
    </w:p>
    <w:p w14:paraId="4857DAF6" w14:textId="09BA69FF" w:rsidR="00E641D1" w:rsidRPr="00D65A3B" w:rsidRDefault="001F5075" w:rsidP="008407A3">
      <w:pPr>
        <w:spacing w:after="0" w:line="240" w:lineRule="auto"/>
        <w:ind w:left="360"/>
        <w:rPr>
          <w:rFonts w:ascii="Times New Roman" w:hAnsi="Times New Roman" w:cs="Times New Roman"/>
          <w:bCs/>
          <w:sz w:val="24"/>
          <w:szCs w:val="24"/>
        </w:rPr>
      </w:pPr>
      <w:r w:rsidRPr="00D65A3B">
        <w:rPr>
          <w:rFonts w:ascii="Times New Roman" w:hAnsi="Times New Roman" w:cs="Times New Roman"/>
          <w:bCs/>
          <w:sz w:val="24"/>
          <w:szCs w:val="24"/>
        </w:rPr>
        <w:t>8.</w:t>
      </w:r>
      <w:r w:rsidRPr="00D65A3B">
        <w:rPr>
          <w:rFonts w:ascii="Times New Roman" w:hAnsi="Times New Roman" w:cs="Times New Roman"/>
          <w:bCs/>
          <w:sz w:val="24"/>
          <w:szCs w:val="24"/>
        </w:rPr>
        <w:tab/>
        <w:t xml:space="preserve">Estimated </w:t>
      </w:r>
      <w:r w:rsidR="004D69A8">
        <w:rPr>
          <w:rFonts w:ascii="Times New Roman" w:hAnsi="Times New Roman" w:cs="Times New Roman"/>
          <w:bCs/>
          <w:sz w:val="24"/>
          <w:szCs w:val="24"/>
        </w:rPr>
        <w:t>useful</w:t>
      </w:r>
      <w:r w:rsidR="004D69A8" w:rsidRPr="00D65A3B">
        <w:rPr>
          <w:rFonts w:ascii="Times New Roman" w:hAnsi="Times New Roman" w:cs="Times New Roman"/>
          <w:bCs/>
          <w:sz w:val="24"/>
          <w:szCs w:val="24"/>
        </w:rPr>
        <w:t xml:space="preserve"> </w:t>
      </w:r>
      <w:r w:rsidRPr="00D65A3B">
        <w:rPr>
          <w:rFonts w:ascii="Times New Roman" w:hAnsi="Times New Roman" w:cs="Times New Roman"/>
          <w:bCs/>
          <w:sz w:val="24"/>
          <w:szCs w:val="24"/>
        </w:rPr>
        <w:t>lives for programs.</w:t>
      </w:r>
    </w:p>
    <w:p w14:paraId="25C5DD32" w14:textId="77777777" w:rsidR="00E641D1" w:rsidRPr="00D65A3B" w:rsidRDefault="00E641D1" w:rsidP="0044758E">
      <w:pPr>
        <w:spacing w:after="120" w:line="240" w:lineRule="auto"/>
        <w:rPr>
          <w:rFonts w:ascii="Times New Roman" w:hAnsi="Times New Roman" w:cs="Times New Roman"/>
          <w:bCs/>
          <w:sz w:val="24"/>
          <w:szCs w:val="24"/>
        </w:rPr>
      </w:pPr>
    </w:p>
    <w:p w14:paraId="43BB9FBE" w14:textId="65D934C7" w:rsidR="00C50825" w:rsidRDefault="00C87A4E" w:rsidP="008B27FD">
      <w:pPr>
        <w:pStyle w:val="Heading1"/>
        <w:spacing w:after="240"/>
        <w:rPr>
          <w:rFonts w:ascii="Times New Roman" w:hAnsi="Times New Roman" w:cs="Times New Roman"/>
          <w:b/>
          <w:color w:val="auto"/>
          <w:sz w:val="28"/>
          <w:szCs w:val="28"/>
        </w:rPr>
      </w:pPr>
      <w:r w:rsidRPr="006D4139">
        <w:rPr>
          <w:rFonts w:ascii="Times New Roman" w:hAnsi="Times New Roman" w:cs="Times New Roman"/>
          <w:b/>
          <w:color w:val="auto"/>
          <w:sz w:val="28"/>
          <w:szCs w:val="28"/>
        </w:rPr>
        <w:t>III.</w:t>
      </w:r>
      <w:r w:rsidRPr="006D4139">
        <w:rPr>
          <w:rFonts w:ascii="Times New Roman" w:hAnsi="Times New Roman" w:cs="Times New Roman"/>
          <w:b/>
          <w:color w:val="auto"/>
          <w:sz w:val="28"/>
          <w:szCs w:val="28"/>
        </w:rPr>
        <w:tab/>
      </w:r>
      <w:r w:rsidR="005537DC" w:rsidRPr="006D4139">
        <w:rPr>
          <w:rFonts w:ascii="Times New Roman" w:hAnsi="Times New Roman" w:cs="Times New Roman"/>
          <w:b/>
          <w:color w:val="auto"/>
          <w:sz w:val="28"/>
          <w:szCs w:val="28"/>
        </w:rPr>
        <w:t xml:space="preserve">Proper Characterization of </w:t>
      </w:r>
      <w:r w:rsidR="00595991">
        <w:rPr>
          <w:rFonts w:ascii="Times New Roman" w:hAnsi="Times New Roman" w:cs="Times New Roman"/>
          <w:b/>
          <w:color w:val="auto"/>
          <w:sz w:val="28"/>
          <w:szCs w:val="28"/>
        </w:rPr>
        <w:t>Renewable Energy and Demand-Side</w:t>
      </w:r>
      <w:r w:rsidR="005537DC" w:rsidRPr="006D4139">
        <w:rPr>
          <w:rFonts w:ascii="Times New Roman" w:hAnsi="Times New Roman" w:cs="Times New Roman"/>
          <w:b/>
          <w:color w:val="auto"/>
          <w:sz w:val="28"/>
          <w:szCs w:val="28"/>
        </w:rPr>
        <w:t xml:space="preserve"> Energy Efficiency </w:t>
      </w:r>
      <w:r w:rsidR="000C4CCF" w:rsidRPr="006D4139">
        <w:rPr>
          <w:rFonts w:ascii="Times New Roman" w:hAnsi="Times New Roman" w:cs="Times New Roman"/>
          <w:b/>
          <w:color w:val="auto"/>
          <w:sz w:val="28"/>
          <w:szCs w:val="28"/>
        </w:rPr>
        <w:t xml:space="preserve">in a </w:t>
      </w:r>
      <w:r w:rsidR="00CA1E4F" w:rsidRPr="006D4139">
        <w:rPr>
          <w:rFonts w:ascii="Times New Roman" w:hAnsi="Times New Roman" w:cs="Times New Roman"/>
          <w:b/>
          <w:color w:val="auto"/>
          <w:sz w:val="28"/>
          <w:szCs w:val="28"/>
        </w:rPr>
        <w:t>State Plan</w:t>
      </w:r>
      <w:r w:rsidR="000C4CCF" w:rsidRPr="006D4139">
        <w:rPr>
          <w:rFonts w:ascii="Times New Roman" w:hAnsi="Times New Roman" w:cs="Times New Roman"/>
          <w:b/>
          <w:color w:val="auto"/>
          <w:sz w:val="28"/>
          <w:szCs w:val="28"/>
        </w:rPr>
        <w:t xml:space="preserve"> Performance Projection</w:t>
      </w:r>
    </w:p>
    <w:p w14:paraId="3AA57195" w14:textId="488C284E" w:rsidR="000F37DD" w:rsidRPr="00D65A3B" w:rsidRDefault="00315A54" w:rsidP="001A72C3">
      <w:pPr>
        <w:spacing w:line="36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Section VIII.D.2.a.(3)(a) </w:t>
      </w:r>
      <w:r w:rsidR="00FC0449" w:rsidRPr="00D65A3B">
        <w:rPr>
          <w:rFonts w:ascii="Times New Roman" w:hAnsi="Times New Roman" w:cs="Times New Roman"/>
          <w:sz w:val="24"/>
          <w:szCs w:val="24"/>
        </w:rPr>
        <w:t xml:space="preserve">of the preamble </w:t>
      </w:r>
      <w:r w:rsidRPr="00D65A3B">
        <w:rPr>
          <w:rFonts w:ascii="Times New Roman" w:hAnsi="Times New Roman" w:cs="Times New Roman"/>
          <w:sz w:val="24"/>
          <w:szCs w:val="24"/>
        </w:rPr>
        <w:t xml:space="preserve">explains </w:t>
      </w:r>
      <w:r w:rsidR="00C50825">
        <w:rPr>
          <w:rFonts w:ascii="Times New Roman" w:hAnsi="Times New Roman" w:cs="Times New Roman"/>
          <w:sz w:val="24"/>
          <w:szCs w:val="24"/>
        </w:rPr>
        <w:t>which types of</w:t>
      </w:r>
      <w:r w:rsidR="00835FF4" w:rsidRPr="00D65A3B">
        <w:rPr>
          <w:rFonts w:ascii="Times New Roman" w:hAnsi="Times New Roman" w:cs="Times New Roman"/>
          <w:sz w:val="24"/>
          <w:szCs w:val="24"/>
        </w:rPr>
        <w:t xml:space="preserve"> state plans require</w:t>
      </w:r>
      <w:r w:rsidR="00746C47">
        <w:rPr>
          <w:rFonts w:ascii="Times New Roman" w:hAnsi="Times New Roman" w:cs="Times New Roman"/>
          <w:sz w:val="24"/>
          <w:szCs w:val="24"/>
        </w:rPr>
        <w:t xml:space="preserve"> </w:t>
      </w:r>
      <w:r w:rsidR="00835FF4" w:rsidRPr="00D65A3B">
        <w:rPr>
          <w:rFonts w:ascii="Times New Roman" w:hAnsi="Times New Roman" w:cs="Times New Roman"/>
          <w:sz w:val="24"/>
          <w:szCs w:val="24"/>
        </w:rPr>
        <w:t>CO</w:t>
      </w:r>
      <w:r w:rsidR="00835FF4" w:rsidRPr="00D65A3B">
        <w:rPr>
          <w:rFonts w:ascii="Times New Roman" w:hAnsi="Times New Roman" w:cs="Times New Roman"/>
          <w:sz w:val="24"/>
          <w:szCs w:val="24"/>
          <w:vertAlign w:val="subscript"/>
        </w:rPr>
        <w:t>2</w:t>
      </w:r>
      <w:r w:rsidR="00835FF4" w:rsidRPr="00D65A3B">
        <w:rPr>
          <w:rFonts w:ascii="Times New Roman" w:hAnsi="Times New Roman" w:cs="Times New Roman"/>
          <w:sz w:val="24"/>
          <w:szCs w:val="24"/>
        </w:rPr>
        <w:t xml:space="preserve"> emission performance </w:t>
      </w:r>
      <w:r w:rsidR="00C50825">
        <w:rPr>
          <w:rFonts w:ascii="Times New Roman" w:hAnsi="Times New Roman" w:cs="Times New Roman"/>
          <w:sz w:val="24"/>
          <w:szCs w:val="24"/>
        </w:rPr>
        <w:t xml:space="preserve">projections </w:t>
      </w:r>
      <w:r w:rsidR="002A04CF">
        <w:rPr>
          <w:rFonts w:ascii="Times New Roman" w:hAnsi="Times New Roman" w:cs="Times New Roman"/>
          <w:sz w:val="24"/>
          <w:szCs w:val="24"/>
        </w:rPr>
        <w:t>for</w:t>
      </w:r>
      <w:r w:rsidR="00835FF4" w:rsidRPr="00D65A3B">
        <w:rPr>
          <w:rFonts w:ascii="Times New Roman" w:hAnsi="Times New Roman" w:cs="Times New Roman"/>
          <w:sz w:val="24"/>
          <w:szCs w:val="24"/>
        </w:rPr>
        <w:t xml:space="preserve"> affected </w:t>
      </w:r>
      <w:r w:rsidR="00D53150">
        <w:rPr>
          <w:rFonts w:ascii="Times New Roman" w:hAnsi="Times New Roman" w:cs="Times New Roman"/>
          <w:sz w:val="24"/>
          <w:szCs w:val="24"/>
        </w:rPr>
        <w:t>EGUs in order to show</w:t>
      </w:r>
      <w:r w:rsidR="00D52487">
        <w:rPr>
          <w:rFonts w:ascii="Times New Roman" w:hAnsi="Times New Roman" w:cs="Times New Roman"/>
          <w:sz w:val="24"/>
          <w:szCs w:val="24"/>
        </w:rPr>
        <w:t xml:space="preserve"> that</w:t>
      </w:r>
      <w:r w:rsidR="00D53150">
        <w:rPr>
          <w:rFonts w:ascii="Times New Roman" w:hAnsi="Times New Roman" w:cs="Times New Roman"/>
          <w:sz w:val="24"/>
          <w:szCs w:val="24"/>
        </w:rPr>
        <w:t xml:space="preserve"> the state plan will lead to achievement of the CO</w:t>
      </w:r>
      <w:r w:rsidR="00D53150" w:rsidRPr="006027D5">
        <w:rPr>
          <w:rFonts w:ascii="Times New Roman" w:hAnsi="Times New Roman" w:cs="Times New Roman"/>
          <w:sz w:val="24"/>
          <w:szCs w:val="24"/>
          <w:vertAlign w:val="subscript"/>
        </w:rPr>
        <w:t>2</w:t>
      </w:r>
      <w:r w:rsidR="00D53150">
        <w:rPr>
          <w:rFonts w:ascii="Times New Roman" w:hAnsi="Times New Roman" w:cs="Times New Roman"/>
          <w:sz w:val="24"/>
          <w:szCs w:val="24"/>
        </w:rPr>
        <w:t xml:space="preserve"> emission</w:t>
      </w:r>
      <w:r w:rsidR="008E50DD">
        <w:rPr>
          <w:rFonts w:ascii="Times New Roman" w:hAnsi="Times New Roman" w:cs="Times New Roman"/>
          <w:sz w:val="24"/>
          <w:szCs w:val="24"/>
        </w:rPr>
        <w:t xml:space="preserve"> performance</w:t>
      </w:r>
      <w:r w:rsidR="00D53150">
        <w:rPr>
          <w:rFonts w:ascii="Times New Roman" w:hAnsi="Times New Roman" w:cs="Times New Roman"/>
          <w:sz w:val="24"/>
          <w:szCs w:val="24"/>
        </w:rPr>
        <w:t xml:space="preserve"> rates, state goal, or other emission guideline requirements</w:t>
      </w:r>
      <w:r w:rsidR="00835FF4" w:rsidRPr="00D65A3B">
        <w:rPr>
          <w:rFonts w:ascii="Times New Roman" w:hAnsi="Times New Roman" w:cs="Times New Roman"/>
          <w:sz w:val="24"/>
          <w:szCs w:val="24"/>
        </w:rPr>
        <w:t>.</w:t>
      </w:r>
      <w:r w:rsidR="007A7A3D" w:rsidRPr="00D65A3B">
        <w:rPr>
          <w:rFonts w:ascii="Times New Roman" w:hAnsi="Times New Roman" w:cs="Times New Roman"/>
          <w:sz w:val="24"/>
          <w:szCs w:val="24"/>
        </w:rPr>
        <w:t xml:space="preserve"> </w:t>
      </w:r>
      <w:r w:rsidR="000F37DD" w:rsidRPr="00D65A3B">
        <w:rPr>
          <w:rFonts w:ascii="Times New Roman" w:hAnsi="Times New Roman" w:cs="Times New Roman"/>
          <w:sz w:val="24"/>
          <w:szCs w:val="24"/>
        </w:rPr>
        <w:t>S</w:t>
      </w:r>
      <w:r w:rsidR="00FC0449" w:rsidRPr="00D65A3B">
        <w:rPr>
          <w:rFonts w:ascii="Times New Roman" w:hAnsi="Times New Roman" w:cs="Times New Roman"/>
          <w:sz w:val="24"/>
          <w:szCs w:val="24"/>
        </w:rPr>
        <w:t xml:space="preserve">tate plans that </w:t>
      </w:r>
      <w:r w:rsidR="002A04CF">
        <w:rPr>
          <w:rFonts w:ascii="Times New Roman" w:hAnsi="Times New Roman" w:cs="Times New Roman"/>
          <w:sz w:val="24"/>
          <w:szCs w:val="24"/>
        </w:rPr>
        <w:t>require such a projection</w:t>
      </w:r>
      <w:r w:rsidR="000F37DD" w:rsidRPr="00D65A3B">
        <w:rPr>
          <w:rFonts w:ascii="Times New Roman" w:hAnsi="Times New Roman" w:cs="Times New Roman"/>
          <w:sz w:val="24"/>
          <w:szCs w:val="24"/>
        </w:rPr>
        <w:t xml:space="preserve"> must </w:t>
      </w:r>
      <w:r w:rsidR="00D53150">
        <w:rPr>
          <w:rFonts w:ascii="Times New Roman" w:hAnsi="Times New Roman" w:cs="Times New Roman"/>
          <w:sz w:val="24"/>
          <w:szCs w:val="24"/>
        </w:rPr>
        <w:t xml:space="preserve">include a base case electricity demand </w:t>
      </w:r>
      <w:r w:rsidR="00104C69">
        <w:rPr>
          <w:rFonts w:ascii="Times New Roman" w:hAnsi="Times New Roman" w:cs="Times New Roman"/>
          <w:sz w:val="24"/>
          <w:szCs w:val="24"/>
        </w:rPr>
        <w:t xml:space="preserve">and supply </w:t>
      </w:r>
      <w:r w:rsidR="00D53150">
        <w:rPr>
          <w:rFonts w:ascii="Times New Roman" w:hAnsi="Times New Roman" w:cs="Times New Roman"/>
          <w:sz w:val="24"/>
          <w:szCs w:val="24"/>
        </w:rPr>
        <w:t xml:space="preserve">forecast </w:t>
      </w:r>
      <w:r w:rsidR="00FF2E92">
        <w:rPr>
          <w:rFonts w:ascii="Times New Roman" w:hAnsi="Times New Roman" w:cs="Times New Roman"/>
          <w:sz w:val="24"/>
          <w:szCs w:val="24"/>
        </w:rPr>
        <w:t xml:space="preserve">as well as </w:t>
      </w:r>
      <w:r w:rsidR="00D53150">
        <w:rPr>
          <w:rFonts w:ascii="Times New Roman" w:hAnsi="Times New Roman" w:cs="Times New Roman"/>
          <w:sz w:val="24"/>
          <w:szCs w:val="24"/>
        </w:rPr>
        <w:t>supporting documentation</w:t>
      </w:r>
      <w:r w:rsidR="008E50DD">
        <w:rPr>
          <w:rFonts w:ascii="Times New Roman" w:hAnsi="Times New Roman" w:cs="Times New Roman"/>
          <w:sz w:val="24"/>
          <w:szCs w:val="24"/>
        </w:rPr>
        <w:t>,</w:t>
      </w:r>
      <w:r w:rsidR="00D53150">
        <w:rPr>
          <w:rFonts w:ascii="Times New Roman" w:hAnsi="Times New Roman" w:cs="Times New Roman"/>
          <w:sz w:val="24"/>
          <w:szCs w:val="24"/>
        </w:rPr>
        <w:t xml:space="preserve"> as explain</w:t>
      </w:r>
      <w:r w:rsidR="008E50DD">
        <w:rPr>
          <w:rFonts w:ascii="Times New Roman" w:hAnsi="Times New Roman" w:cs="Times New Roman"/>
          <w:sz w:val="24"/>
          <w:szCs w:val="24"/>
        </w:rPr>
        <w:t>ed</w:t>
      </w:r>
      <w:r w:rsidR="00D53150">
        <w:rPr>
          <w:rFonts w:ascii="Times New Roman" w:hAnsi="Times New Roman" w:cs="Times New Roman"/>
          <w:sz w:val="24"/>
          <w:szCs w:val="24"/>
        </w:rPr>
        <w:t xml:space="preserve"> in section II above. In addition, such plans must </w:t>
      </w:r>
      <w:r w:rsidR="000F37DD" w:rsidRPr="00D65A3B">
        <w:rPr>
          <w:rFonts w:ascii="Times New Roman" w:hAnsi="Times New Roman" w:cs="Times New Roman"/>
          <w:sz w:val="24"/>
          <w:szCs w:val="24"/>
        </w:rPr>
        <w:t>quantify the combined future impact of all the emission standards and state measures</w:t>
      </w:r>
      <w:r w:rsidR="00746C47">
        <w:rPr>
          <w:rFonts w:ascii="Times New Roman" w:hAnsi="Times New Roman" w:cs="Times New Roman"/>
          <w:sz w:val="24"/>
          <w:szCs w:val="24"/>
        </w:rPr>
        <w:t xml:space="preserve"> </w:t>
      </w:r>
      <w:r w:rsidR="000F37DD" w:rsidRPr="00D65A3B">
        <w:rPr>
          <w:rFonts w:ascii="Times New Roman" w:hAnsi="Times New Roman" w:cs="Times New Roman"/>
          <w:sz w:val="24"/>
          <w:szCs w:val="24"/>
        </w:rPr>
        <w:t>included in the state plan.</w:t>
      </w:r>
      <w:r w:rsidR="00FC0449" w:rsidRPr="00D65A3B">
        <w:rPr>
          <w:rFonts w:ascii="Times New Roman" w:hAnsi="Times New Roman" w:cs="Times New Roman"/>
          <w:sz w:val="24"/>
          <w:szCs w:val="24"/>
        </w:rPr>
        <w:t xml:space="preserve"> </w:t>
      </w:r>
      <w:r w:rsidR="000F37DD" w:rsidRPr="00D65A3B">
        <w:rPr>
          <w:rFonts w:ascii="Times New Roman" w:hAnsi="Times New Roman" w:cs="Times New Roman"/>
          <w:sz w:val="24"/>
          <w:szCs w:val="24"/>
        </w:rPr>
        <w:t>T</w:t>
      </w:r>
      <w:r w:rsidR="007A7A3D" w:rsidRPr="00D65A3B">
        <w:rPr>
          <w:rFonts w:ascii="Times New Roman" w:hAnsi="Times New Roman" w:cs="Times New Roman"/>
          <w:sz w:val="24"/>
          <w:szCs w:val="24"/>
        </w:rPr>
        <w:t>his section</w:t>
      </w:r>
      <w:r w:rsidR="00E07A9F" w:rsidRPr="00D65A3B">
        <w:rPr>
          <w:rFonts w:ascii="Times New Roman" w:hAnsi="Times New Roman" w:cs="Times New Roman"/>
          <w:sz w:val="24"/>
          <w:szCs w:val="24"/>
        </w:rPr>
        <w:t xml:space="preserve"> </w:t>
      </w:r>
      <w:r w:rsidR="0039668D" w:rsidRPr="00D65A3B">
        <w:rPr>
          <w:rFonts w:ascii="Times New Roman" w:hAnsi="Times New Roman" w:cs="Times New Roman"/>
          <w:sz w:val="24"/>
          <w:szCs w:val="24"/>
        </w:rPr>
        <w:t xml:space="preserve">explains the proper characterization of </w:t>
      </w:r>
      <w:r w:rsidR="00746C47">
        <w:rPr>
          <w:rFonts w:ascii="Times New Roman" w:hAnsi="Times New Roman" w:cs="Times New Roman"/>
          <w:sz w:val="24"/>
          <w:szCs w:val="24"/>
        </w:rPr>
        <w:t xml:space="preserve">expected </w:t>
      </w:r>
      <w:r w:rsidR="002D3924">
        <w:rPr>
          <w:rFonts w:ascii="Times New Roman" w:hAnsi="Times New Roman" w:cs="Times New Roman"/>
          <w:sz w:val="24"/>
          <w:szCs w:val="24"/>
        </w:rPr>
        <w:t>RE and demand-side EE</w:t>
      </w:r>
      <w:r w:rsidR="0039668D" w:rsidRPr="00D65A3B">
        <w:rPr>
          <w:rFonts w:ascii="Times New Roman" w:hAnsi="Times New Roman" w:cs="Times New Roman"/>
          <w:sz w:val="24"/>
          <w:szCs w:val="24"/>
        </w:rPr>
        <w:t xml:space="preserve"> </w:t>
      </w:r>
      <w:r w:rsidR="002412E3">
        <w:rPr>
          <w:rFonts w:ascii="Times New Roman" w:hAnsi="Times New Roman" w:cs="Times New Roman"/>
          <w:sz w:val="24"/>
          <w:szCs w:val="24"/>
        </w:rPr>
        <w:t xml:space="preserve">impacts </w:t>
      </w:r>
      <w:r w:rsidR="00F10149" w:rsidRPr="00D65A3B">
        <w:rPr>
          <w:rFonts w:ascii="Times New Roman" w:hAnsi="Times New Roman" w:cs="Times New Roman"/>
          <w:sz w:val="24"/>
          <w:szCs w:val="24"/>
        </w:rPr>
        <w:t>in a CO</w:t>
      </w:r>
      <w:r w:rsidR="00F10149" w:rsidRPr="00CA1E4F">
        <w:rPr>
          <w:rFonts w:ascii="Times New Roman" w:hAnsi="Times New Roman" w:cs="Times New Roman"/>
          <w:sz w:val="24"/>
          <w:szCs w:val="24"/>
          <w:vertAlign w:val="subscript"/>
        </w:rPr>
        <w:t>2</w:t>
      </w:r>
      <w:r w:rsidR="00F10149" w:rsidRPr="00D65A3B">
        <w:rPr>
          <w:rFonts w:ascii="Times New Roman" w:hAnsi="Times New Roman" w:cs="Times New Roman"/>
          <w:sz w:val="24"/>
          <w:szCs w:val="24"/>
        </w:rPr>
        <w:t xml:space="preserve"> </w:t>
      </w:r>
      <w:r w:rsidR="002412E3">
        <w:rPr>
          <w:rFonts w:ascii="Times New Roman" w:hAnsi="Times New Roman" w:cs="Times New Roman"/>
          <w:sz w:val="24"/>
          <w:szCs w:val="24"/>
        </w:rPr>
        <w:t xml:space="preserve">emission </w:t>
      </w:r>
      <w:r w:rsidR="00F10149" w:rsidRPr="00D65A3B">
        <w:rPr>
          <w:rFonts w:ascii="Times New Roman" w:hAnsi="Times New Roman" w:cs="Times New Roman"/>
          <w:sz w:val="24"/>
          <w:szCs w:val="24"/>
        </w:rPr>
        <w:t>performance projection</w:t>
      </w:r>
      <w:r w:rsidR="002B77F7" w:rsidRPr="00D65A3B">
        <w:rPr>
          <w:rFonts w:ascii="Times New Roman" w:hAnsi="Times New Roman" w:cs="Times New Roman"/>
          <w:sz w:val="24"/>
          <w:szCs w:val="24"/>
        </w:rPr>
        <w:t>.</w:t>
      </w:r>
    </w:p>
    <w:p w14:paraId="6C639F61" w14:textId="68B744C1" w:rsidR="001D4104" w:rsidRPr="00C50825" w:rsidRDefault="00DE3EE4" w:rsidP="00D251F0">
      <w:pPr>
        <w:spacing w:line="360" w:lineRule="auto"/>
        <w:ind w:firstLine="360"/>
        <w:rPr>
          <w:rFonts w:ascii="Times New Roman" w:hAnsi="Times New Roman" w:cs="Times New Roman"/>
          <w:sz w:val="24"/>
          <w:szCs w:val="24"/>
        </w:rPr>
      </w:pPr>
      <w:r w:rsidRPr="00D65A3B">
        <w:rPr>
          <w:rFonts w:ascii="Times New Roman" w:eastAsia="Times New Roman" w:hAnsi="Times New Roman" w:cs="Times New Roman"/>
          <w:sz w:val="24"/>
          <w:szCs w:val="24"/>
        </w:rPr>
        <w:t xml:space="preserve">States that plan to use </w:t>
      </w:r>
      <w:r w:rsidR="002D3924">
        <w:rPr>
          <w:rFonts w:ascii="Times New Roman" w:eastAsia="Times New Roman" w:hAnsi="Times New Roman" w:cs="Times New Roman"/>
          <w:sz w:val="24"/>
          <w:szCs w:val="24"/>
        </w:rPr>
        <w:t>RE and demand-side EE</w:t>
      </w:r>
      <w:r w:rsidR="002412E3">
        <w:rPr>
          <w:rFonts w:ascii="Times New Roman" w:eastAsia="Times New Roman" w:hAnsi="Times New Roman" w:cs="Times New Roman"/>
          <w:sz w:val="24"/>
          <w:szCs w:val="24"/>
        </w:rPr>
        <w:t xml:space="preserve"> to meet the emission guidelines</w:t>
      </w:r>
      <w:r w:rsidR="00D53150">
        <w:rPr>
          <w:rFonts w:ascii="Times New Roman" w:eastAsia="Times New Roman" w:hAnsi="Times New Roman" w:cs="Times New Roman"/>
          <w:sz w:val="24"/>
          <w:szCs w:val="24"/>
        </w:rPr>
        <w:t xml:space="preserve"> (e.g., to generate ERCs or as state measures)</w:t>
      </w:r>
      <w:r w:rsidR="00061029">
        <w:rPr>
          <w:rFonts w:ascii="Times New Roman" w:eastAsia="Times New Roman" w:hAnsi="Times New Roman" w:cs="Times New Roman"/>
          <w:sz w:val="24"/>
          <w:szCs w:val="24"/>
        </w:rPr>
        <w:t xml:space="preserve"> </w:t>
      </w:r>
      <w:r w:rsidRPr="00D65A3B">
        <w:rPr>
          <w:rFonts w:ascii="Times New Roman" w:eastAsia="Times New Roman" w:hAnsi="Times New Roman" w:cs="Times New Roman"/>
          <w:sz w:val="24"/>
          <w:szCs w:val="24"/>
        </w:rPr>
        <w:t xml:space="preserve">under </w:t>
      </w:r>
      <w:r w:rsidR="00E2716D" w:rsidRPr="00D65A3B">
        <w:rPr>
          <w:rFonts w:ascii="Times New Roman" w:eastAsia="Times New Roman" w:hAnsi="Times New Roman" w:cs="Times New Roman"/>
          <w:sz w:val="24"/>
          <w:szCs w:val="24"/>
        </w:rPr>
        <w:t>applicable</w:t>
      </w:r>
      <w:r w:rsidRPr="00D65A3B">
        <w:rPr>
          <w:rFonts w:ascii="Times New Roman" w:eastAsia="Times New Roman" w:hAnsi="Times New Roman" w:cs="Times New Roman"/>
          <w:sz w:val="24"/>
          <w:szCs w:val="24"/>
        </w:rPr>
        <w:t xml:space="preserve"> state </w:t>
      </w:r>
      <w:r w:rsidR="00E2716D" w:rsidRPr="00D65A3B">
        <w:rPr>
          <w:rFonts w:ascii="Times New Roman" w:eastAsia="Times New Roman" w:hAnsi="Times New Roman" w:cs="Times New Roman"/>
          <w:sz w:val="24"/>
          <w:szCs w:val="24"/>
        </w:rPr>
        <w:t xml:space="preserve">plan </w:t>
      </w:r>
      <w:r w:rsidR="0097280D" w:rsidRPr="00D65A3B">
        <w:rPr>
          <w:rFonts w:ascii="Times New Roman" w:eastAsia="Times New Roman" w:hAnsi="Times New Roman" w:cs="Times New Roman"/>
          <w:sz w:val="24"/>
          <w:szCs w:val="24"/>
        </w:rPr>
        <w:t>types</w:t>
      </w:r>
      <w:r w:rsidR="00D53150">
        <w:rPr>
          <w:rFonts w:ascii="Times New Roman" w:eastAsia="Times New Roman" w:hAnsi="Times New Roman" w:cs="Times New Roman"/>
          <w:sz w:val="24"/>
          <w:szCs w:val="24"/>
        </w:rPr>
        <w:t xml:space="preserve"> that require a performance projection</w:t>
      </w:r>
      <w:r w:rsidR="0097280D" w:rsidRPr="00D65A3B">
        <w:rPr>
          <w:rFonts w:ascii="Times New Roman" w:eastAsia="Times New Roman" w:hAnsi="Times New Roman" w:cs="Times New Roman"/>
          <w:sz w:val="24"/>
          <w:szCs w:val="24"/>
        </w:rPr>
        <w:t xml:space="preserve"> </w:t>
      </w:r>
      <w:r w:rsidRPr="00D65A3B">
        <w:rPr>
          <w:rFonts w:ascii="Times New Roman" w:eastAsia="Times New Roman" w:hAnsi="Times New Roman" w:cs="Times New Roman"/>
          <w:sz w:val="24"/>
          <w:szCs w:val="24"/>
        </w:rPr>
        <w:t xml:space="preserve">will need to project the </w:t>
      </w:r>
      <w:r w:rsidR="002412E3">
        <w:rPr>
          <w:rFonts w:ascii="Times New Roman" w:eastAsia="Times New Roman" w:hAnsi="Times New Roman" w:cs="Times New Roman"/>
          <w:sz w:val="24"/>
          <w:szCs w:val="24"/>
        </w:rPr>
        <w:t xml:space="preserve">expected </w:t>
      </w:r>
      <w:r w:rsidR="00CE6329" w:rsidRPr="00D65A3B">
        <w:rPr>
          <w:rFonts w:ascii="Times New Roman" w:eastAsia="Times New Roman" w:hAnsi="Times New Roman" w:cs="Times New Roman"/>
          <w:sz w:val="24"/>
          <w:szCs w:val="24"/>
        </w:rPr>
        <w:t xml:space="preserve">incremental </w:t>
      </w:r>
      <w:r w:rsidRPr="00D65A3B">
        <w:rPr>
          <w:rFonts w:ascii="Times New Roman" w:eastAsia="Times New Roman" w:hAnsi="Times New Roman" w:cs="Times New Roman"/>
          <w:sz w:val="24"/>
          <w:szCs w:val="24"/>
        </w:rPr>
        <w:t>direct generation impacts</w:t>
      </w:r>
      <w:r w:rsidR="002A04CF">
        <w:rPr>
          <w:rFonts w:ascii="Times New Roman" w:eastAsia="Times New Roman" w:hAnsi="Times New Roman" w:cs="Times New Roman"/>
          <w:sz w:val="24"/>
          <w:szCs w:val="24"/>
        </w:rPr>
        <w:t xml:space="preserve"> </w:t>
      </w:r>
      <w:r w:rsidR="008E50DD">
        <w:rPr>
          <w:rFonts w:ascii="Times New Roman" w:eastAsia="Times New Roman" w:hAnsi="Times New Roman" w:cs="Times New Roman"/>
          <w:sz w:val="24"/>
          <w:szCs w:val="24"/>
        </w:rPr>
        <w:t xml:space="preserve">and </w:t>
      </w:r>
      <w:r w:rsidR="008E50DD" w:rsidRPr="00D65A3B">
        <w:rPr>
          <w:rFonts w:ascii="Times New Roman" w:eastAsia="Times New Roman" w:hAnsi="Times New Roman" w:cs="Times New Roman"/>
          <w:sz w:val="24"/>
          <w:szCs w:val="24"/>
        </w:rPr>
        <w:t xml:space="preserve">electricity savings </w:t>
      </w:r>
      <w:r w:rsidR="00061029">
        <w:rPr>
          <w:rFonts w:ascii="Times New Roman" w:eastAsia="Times New Roman" w:hAnsi="Times New Roman" w:cs="Times New Roman"/>
          <w:sz w:val="24"/>
          <w:szCs w:val="24"/>
        </w:rPr>
        <w:t xml:space="preserve">of </w:t>
      </w:r>
      <w:r w:rsidR="002D3924">
        <w:rPr>
          <w:rFonts w:ascii="Times New Roman" w:eastAsia="Times New Roman" w:hAnsi="Times New Roman" w:cs="Times New Roman"/>
          <w:sz w:val="24"/>
          <w:szCs w:val="24"/>
        </w:rPr>
        <w:t>RE and demand-side EE</w:t>
      </w:r>
      <w:r w:rsidRPr="00D65A3B">
        <w:rPr>
          <w:rFonts w:ascii="Times New Roman" w:eastAsia="Times New Roman" w:hAnsi="Times New Roman" w:cs="Times New Roman"/>
          <w:sz w:val="24"/>
          <w:szCs w:val="24"/>
        </w:rPr>
        <w:t>.</w:t>
      </w:r>
      <w:r w:rsidRPr="00D65A3B">
        <w:rPr>
          <w:rStyle w:val="FootnoteReference"/>
          <w:rFonts w:ascii="Times New Roman" w:eastAsia="Times New Roman" w:hAnsi="Times New Roman" w:cs="Times New Roman"/>
          <w:sz w:val="24"/>
          <w:szCs w:val="24"/>
        </w:rPr>
        <w:footnoteReference w:id="8"/>
      </w:r>
      <w:r w:rsidRPr="00D65A3B">
        <w:rPr>
          <w:rFonts w:ascii="Times New Roman" w:eastAsia="Times New Roman" w:hAnsi="Times New Roman" w:cs="Times New Roman"/>
          <w:sz w:val="24"/>
          <w:szCs w:val="24"/>
        </w:rPr>
        <w:t xml:space="preserve"> </w:t>
      </w:r>
      <w:r w:rsidR="00746C47">
        <w:rPr>
          <w:rFonts w:ascii="Times New Roman" w:eastAsia="Times New Roman" w:hAnsi="Times New Roman" w:cs="Times New Roman"/>
          <w:sz w:val="24"/>
          <w:szCs w:val="24"/>
        </w:rPr>
        <w:t xml:space="preserve">While </w:t>
      </w:r>
      <w:r w:rsidR="002D3924">
        <w:rPr>
          <w:rFonts w:ascii="Times New Roman" w:eastAsia="Times New Roman" w:hAnsi="Times New Roman" w:cs="Times New Roman"/>
          <w:sz w:val="24"/>
          <w:szCs w:val="24"/>
        </w:rPr>
        <w:t>RE and demand-side EE</w:t>
      </w:r>
      <w:r w:rsidR="002412E3">
        <w:rPr>
          <w:rFonts w:ascii="Times New Roman" w:eastAsia="Times New Roman" w:hAnsi="Times New Roman" w:cs="Times New Roman"/>
          <w:sz w:val="24"/>
          <w:szCs w:val="24"/>
        </w:rPr>
        <w:t xml:space="preserve"> measures,</w:t>
      </w:r>
      <w:r w:rsidR="002412E3" w:rsidRPr="00D65A3B">
        <w:rPr>
          <w:rFonts w:ascii="Times New Roman" w:eastAsia="Times New Roman" w:hAnsi="Times New Roman" w:cs="Times New Roman"/>
          <w:sz w:val="24"/>
          <w:szCs w:val="24"/>
        </w:rPr>
        <w:t xml:space="preserve"> </w:t>
      </w:r>
      <w:r w:rsidRPr="00D65A3B">
        <w:rPr>
          <w:rFonts w:ascii="Times New Roman" w:eastAsia="Times New Roman" w:hAnsi="Times New Roman" w:cs="Times New Roman"/>
          <w:sz w:val="24"/>
          <w:szCs w:val="24"/>
        </w:rPr>
        <w:t xml:space="preserve">programs </w:t>
      </w:r>
      <w:r w:rsidR="00F9576F" w:rsidRPr="00D65A3B">
        <w:rPr>
          <w:rFonts w:ascii="Times New Roman" w:eastAsia="Times New Roman" w:hAnsi="Times New Roman" w:cs="Times New Roman"/>
          <w:sz w:val="24"/>
          <w:szCs w:val="24"/>
        </w:rPr>
        <w:t xml:space="preserve">and policies </w:t>
      </w:r>
      <w:r w:rsidR="00BB0692" w:rsidRPr="00D65A3B">
        <w:rPr>
          <w:rFonts w:ascii="Times New Roman" w:eastAsia="Times New Roman" w:hAnsi="Times New Roman" w:cs="Times New Roman"/>
          <w:sz w:val="24"/>
          <w:szCs w:val="24"/>
        </w:rPr>
        <w:t>may</w:t>
      </w:r>
      <w:r w:rsidRPr="00D65A3B">
        <w:rPr>
          <w:rFonts w:ascii="Times New Roman" w:eastAsia="Times New Roman" w:hAnsi="Times New Roman" w:cs="Times New Roman"/>
          <w:sz w:val="24"/>
          <w:szCs w:val="24"/>
        </w:rPr>
        <w:t xml:space="preserve"> </w:t>
      </w:r>
      <w:r w:rsidR="00BB0692" w:rsidRPr="00D65A3B">
        <w:rPr>
          <w:rFonts w:ascii="Times New Roman" w:eastAsia="Times New Roman" w:hAnsi="Times New Roman" w:cs="Times New Roman"/>
          <w:sz w:val="24"/>
          <w:szCs w:val="24"/>
        </w:rPr>
        <w:t>impact</w:t>
      </w:r>
      <w:r w:rsidRPr="00D65A3B">
        <w:rPr>
          <w:rFonts w:ascii="Times New Roman" w:eastAsia="Times New Roman" w:hAnsi="Times New Roman" w:cs="Times New Roman"/>
          <w:sz w:val="24"/>
          <w:szCs w:val="24"/>
        </w:rPr>
        <w:t xml:space="preserve"> the </w:t>
      </w:r>
      <w:r w:rsidR="4B5E3941" w:rsidRPr="00D65A3B">
        <w:rPr>
          <w:rFonts w:ascii="Times New Roman" w:eastAsia="Times New Roman" w:hAnsi="Times New Roman" w:cs="Times New Roman"/>
          <w:sz w:val="24"/>
          <w:szCs w:val="24"/>
        </w:rPr>
        <w:t>generation</w:t>
      </w:r>
      <w:r w:rsidRPr="00D65A3B">
        <w:rPr>
          <w:rFonts w:ascii="Times New Roman" w:eastAsia="Times New Roman" w:hAnsi="Times New Roman" w:cs="Times New Roman"/>
          <w:sz w:val="24"/>
          <w:szCs w:val="24"/>
        </w:rPr>
        <w:t>, construction, retirement and CO</w:t>
      </w:r>
      <w:r w:rsidRPr="00D65A3B">
        <w:rPr>
          <w:rFonts w:ascii="Times New Roman" w:eastAsia="Times New Roman" w:hAnsi="Times New Roman" w:cs="Times New Roman"/>
          <w:sz w:val="24"/>
          <w:szCs w:val="24"/>
          <w:vertAlign w:val="subscript"/>
        </w:rPr>
        <w:t>2</w:t>
      </w:r>
      <w:r w:rsidRPr="00D65A3B">
        <w:rPr>
          <w:rFonts w:ascii="Times New Roman" w:eastAsia="Times New Roman" w:hAnsi="Times New Roman" w:cs="Times New Roman"/>
          <w:sz w:val="24"/>
          <w:szCs w:val="24"/>
        </w:rPr>
        <w:t xml:space="preserve"> emissions of </w:t>
      </w:r>
      <w:r w:rsidR="002412E3">
        <w:rPr>
          <w:rFonts w:ascii="Times New Roman" w:eastAsia="Times New Roman" w:hAnsi="Times New Roman" w:cs="Times New Roman"/>
          <w:sz w:val="24"/>
          <w:szCs w:val="24"/>
        </w:rPr>
        <w:t xml:space="preserve">both </w:t>
      </w:r>
      <w:r w:rsidRPr="00D65A3B">
        <w:rPr>
          <w:rFonts w:ascii="Times New Roman" w:eastAsia="Times New Roman" w:hAnsi="Times New Roman" w:cs="Times New Roman"/>
          <w:sz w:val="24"/>
          <w:szCs w:val="24"/>
        </w:rPr>
        <w:t xml:space="preserve">affected and non-affected </w:t>
      </w:r>
      <w:r w:rsidR="00BB0692" w:rsidRPr="00D65A3B">
        <w:rPr>
          <w:rFonts w:ascii="Times New Roman" w:eastAsia="Times New Roman" w:hAnsi="Times New Roman" w:cs="Times New Roman"/>
          <w:sz w:val="24"/>
          <w:szCs w:val="24"/>
        </w:rPr>
        <w:t>EGUs</w:t>
      </w:r>
      <w:r w:rsidR="00746C47">
        <w:rPr>
          <w:rFonts w:ascii="Times New Roman" w:eastAsia="Times New Roman" w:hAnsi="Times New Roman" w:cs="Times New Roman"/>
          <w:sz w:val="24"/>
          <w:szCs w:val="24"/>
        </w:rPr>
        <w:t xml:space="preserve">, a projection must demonstrate how </w:t>
      </w:r>
      <w:r w:rsidR="002D3924">
        <w:rPr>
          <w:rFonts w:ascii="Times New Roman" w:eastAsia="Times New Roman" w:hAnsi="Times New Roman" w:cs="Times New Roman"/>
          <w:sz w:val="24"/>
          <w:szCs w:val="24"/>
        </w:rPr>
        <w:t>RE and demand-side EE</w:t>
      </w:r>
      <w:r w:rsidR="00746C47">
        <w:rPr>
          <w:rFonts w:ascii="Times New Roman" w:eastAsia="Times New Roman" w:hAnsi="Times New Roman" w:cs="Times New Roman"/>
          <w:sz w:val="24"/>
          <w:szCs w:val="24"/>
        </w:rPr>
        <w:t xml:space="preserve"> will enable affected EGUs to meet the</w:t>
      </w:r>
      <w:r w:rsidR="00D53150">
        <w:rPr>
          <w:rFonts w:ascii="Times New Roman" w:eastAsia="Times New Roman" w:hAnsi="Times New Roman" w:cs="Times New Roman"/>
          <w:sz w:val="24"/>
          <w:szCs w:val="24"/>
        </w:rPr>
        <w:t xml:space="preserve"> emission</w:t>
      </w:r>
      <w:r w:rsidR="00746C47">
        <w:rPr>
          <w:rFonts w:ascii="Times New Roman" w:eastAsia="Times New Roman" w:hAnsi="Times New Roman" w:cs="Times New Roman"/>
          <w:sz w:val="24"/>
          <w:szCs w:val="24"/>
        </w:rPr>
        <w:t xml:space="preserve"> guidelines. </w:t>
      </w:r>
      <w:r w:rsidR="00CE6329" w:rsidRPr="00D65A3B">
        <w:rPr>
          <w:rFonts w:ascii="Times New Roman" w:eastAsia="Times New Roman" w:hAnsi="Times New Roman" w:cs="Times New Roman"/>
          <w:sz w:val="24"/>
          <w:szCs w:val="24"/>
        </w:rPr>
        <w:t xml:space="preserve">There are different approaches </w:t>
      </w:r>
      <w:r w:rsidRPr="00D65A3B">
        <w:rPr>
          <w:rFonts w:ascii="Times New Roman" w:eastAsia="Times New Roman" w:hAnsi="Times New Roman" w:cs="Times New Roman"/>
          <w:sz w:val="24"/>
          <w:szCs w:val="24"/>
        </w:rPr>
        <w:t xml:space="preserve">to projecting </w:t>
      </w:r>
      <w:r w:rsidR="00BB0692" w:rsidRPr="00D65A3B">
        <w:rPr>
          <w:rFonts w:ascii="Times New Roman" w:eastAsia="Times New Roman" w:hAnsi="Times New Roman" w:cs="Times New Roman"/>
          <w:sz w:val="24"/>
          <w:szCs w:val="24"/>
        </w:rPr>
        <w:t>electricity savings</w:t>
      </w:r>
      <w:r w:rsidR="00D52487">
        <w:rPr>
          <w:rFonts w:ascii="Times New Roman" w:eastAsia="Times New Roman" w:hAnsi="Times New Roman" w:cs="Times New Roman"/>
          <w:sz w:val="24"/>
          <w:szCs w:val="24"/>
        </w:rPr>
        <w:t xml:space="preserve"> and</w:t>
      </w:r>
      <w:r w:rsidRPr="00D65A3B">
        <w:rPr>
          <w:rFonts w:ascii="Times New Roman" w:eastAsia="Times New Roman" w:hAnsi="Times New Roman" w:cs="Times New Roman"/>
          <w:sz w:val="24"/>
          <w:szCs w:val="24"/>
        </w:rPr>
        <w:t xml:space="preserve"> renewable generation</w:t>
      </w:r>
      <w:r w:rsidR="00CE6329" w:rsidRPr="00D65A3B">
        <w:rPr>
          <w:rFonts w:ascii="Times New Roman" w:eastAsia="Times New Roman" w:hAnsi="Times New Roman" w:cs="Times New Roman"/>
          <w:sz w:val="24"/>
          <w:szCs w:val="24"/>
        </w:rPr>
        <w:t xml:space="preserve">, depending </w:t>
      </w:r>
      <w:r w:rsidR="00CA1E4F">
        <w:rPr>
          <w:rFonts w:ascii="Times New Roman" w:eastAsia="Times New Roman" w:hAnsi="Times New Roman" w:cs="Times New Roman"/>
          <w:sz w:val="24"/>
          <w:szCs w:val="24"/>
        </w:rPr>
        <w:t>up</w:t>
      </w:r>
      <w:r w:rsidR="00CE6329" w:rsidRPr="00D65A3B">
        <w:rPr>
          <w:rFonts w:ascii="Times New Roman" w:eastAsia="Times New Roman" w:hAnsi="Times New Roman" w:cs="Times New Roman"/>
          <w:sz w:val="24"/>
          <w:szCs w:val="24"/>
        </w:rPr>
        <w:t xml:space="preserve">on </w:t>
      </w:r>
      <w:r w:rsidR="00D52487">
        <w:rPr>
          <w:rFonts w:ascii="Times New Roman" w:eastAsia="Times New Roman" w:hAnsi="Times New Roman" w:cs="Times New Roman"/>
          <w:sz w:val="24"/>
          <w:szCs w:val="24"/>
        </w:rPr>
        <w:t>the design of</w:t>
      </w:r>
      <w:r w:rsidR="00CE6329" w:rsidRPr="00D65A3B">
        <w:rPr>
          <w:rFonts w:ascii="Times New Roman" w:eastAsia="Times New Roman" w:hAnsi="Times New Roman" w:cs="Times New Roman"/>
          <w:sz w:val="24"/>
          <w:szCs w:val="24"/>
        </w:rPr>
        <w:t xml:space="preserve"> an </w:t>
      </w:r>
      <w:r w:rsidR="002D3924">
        <w:rPr>
          <w:rFonts w:ascii="Times New Roman" w:eastAsia="Times New Roman" w:hAnsi="Times New Roman" w:cs="Times New Roman"/>
          <w:sz w:val="24"/>
          <w:szCs w:val="24"/>
        </w:rPr>
        <w:t>RE and demand-side EE</w:t>
      </w:r>
      <w:r w:rsidR="00CE6329" w:rsidRPr="00D65A3B">
        <w:rPr>
          <w:rFonts w:ascii="Times New Roman" w:eastAsia="Times New Roman" w:hAnsi="Times New Roman" w:cs="Times New Roman"/>
          <w:sz w:val="24"/>
          <w:szCs w:val="24"/>
        </w:rPr>
        <w:t xml:space="preserve"> program</w:t>
      </w:r>
      <w:r w:rsidRPr="00D65A3B">
        <w:rPr>
          <w:rFonts w:ascii="Times New Roman" w:eastAsia="Times New Roman" w:hAnsi="Times New Roman" w:cs="Times New Roman"/>
          <w:sz w:val="24"/>
          <w:szCs w:val="24"/>
        </w:rPr>
        <w:t xml:space="preserve">. Regardless of the approach chosen, a state plan that includes </w:t>
      </w:r>
      <w:r w:rsidR="002D3924">
        <w:rPr>
          <w:rFonts w:ascii="Times New Roman" w:eastAsia="Times New Roman" w:hAnsi="Times New Roman" w:cs="Times New Roman"/>
          <w:sz w:val="24"/>
          <w:szCs w:val="24"/>
        </w:rPr>
        <w:t>RE and demand-</w:t>
      </w:r>
      <w:r w:rsidR="002D3924">
        <w:rPr>
          <w:rFonts w:ascii="Times New Roman" w:eastAsia="Times New Roman" w:hAnsi="Times New Roman" w:cs="Times New Roman"/>
          <w:sz w:val="24"/>
          <w:szCs w:val="24"/>
        </w:rPr>
        <w:lastRenderedPageBreak/>
        <w:t>side EE</w:t>
      </w:r>
      <w:r w:rsidR="00A42D02" w:rsidRPr="00D65A3B">
        <w:rPr>
          <w:rFonts w:ascii="Times New Roman" w:eastAsia="Times New Roman" w:hAnsi="Times New Roman" w:cs="Times New Roman"/>
          <w:sz w:val="24"/>
          <w:szCs w:val="24"/>
        </w:rPr>
        <w:t xml:space="preserve"> </w:t>
      </w:r>
      <w:r w:rsidRPr="00D65A3B">
        <w:rPr>
          <w:rFonts w:ascii="Times New Roman" w:eastAsia="Times New Roman" w:hAnsi="Times New Roman" w:cs="Times New Roman"/>
          <w:sz w:val="24"/>
          <w:szCs w:val="24"/>
        </w:rPr>
        <w:t xml:space="preserve">must document </w:t>
      </w:r>
      <w:r w:rsidR="00BB0692" w:rsidRPr="00C50825">
        <w:rPr>
          <w:rFonts w:ascii="Times New Roman" w:eastAsia="Times New Roman" w:hAnsi="Times New Roman" w:cs="Times New Roman"/>
          <w:sz w:val="24"/>
          <w:szCs w:val="24"/>
        </w:rPr>
        <w:t>specific assumptions</w:t>
      </w:r>
      <w:r w:rsidR="00D251F0" w:rsidRPr="00C50825">
        <w:rPr>
          <w:rFonts w:ascii="Times New Roman" w:eastAsia="Times New Roman" w:hAnsi="Times New Roman" w:cs="Times New Roman"/>
          <w:sz w:val="24"/>
          <w:szCs w:val="24"/>
        </w:rPr>
        <w:t xml:space="preserve"> </w:t>
      </w:r>
      <w:r w:rsidR="00746C47">
        <w:rPr>
          <w:rFonts w:ascii="Times New Roman" w:eastAsia="Times New Roman" w:hAnsi="Times New Roman" w:cs="Times New Roman"/>
          <w:sz w:val="24"/>
          <w:szCs w:val="24"/>
        </w:rPr>
        <w:t xml:space="preserve">in their </w:t>
      </w:r>
      <w:r w:rsidR="00746C47" w:rsidRPr="00D65A3B">
        <w:rPr>
          <w:rFonts w:ascii="Times New Roman" w:eastAsia="Times New Roman" w:hAnsi="Times New Roman" w:cs="Times New Roman"/>
          <w:sz w:val="24"/>
          <w:szCs w:val="24"/>
        </w:rPr>
        <w:t>performance projections</w:t>
      </w:r>
      <w:r w:rsidR="00746C47">
        <w:rPr>
          <w:rFonts w:ascii="Times New Roman" w:eastAsia="Times New Roman" w:hAnsi="Times New Roman" w:cs="Times New Roman"/>
          <w:sz w:val="24"/>
          <w:szCs w:val="24"/>
        </w:rPr>
        <w:t>, as</w:t>
      </w:r>
      <w:r w:rsidR="00746C47" w:rsidRPr="00D65A3B">
        <w:rPr>
          <w:rFonts w:ascii="Times New Roman" w:eastAsia="Times New Roman" w:hAnsi="Times New Roman" w:cs="Times New Roman"/>
          <w:sz w:val="24"/>
          <w:szCs w:val="24"/>
        </w:rPr>
        <w:t xml:space="preserve"> </w:t>
      </w:r>
      <w:r w:rsidR="00D251F0" w:rsidRPr="00C50825">
        <w:rPr>
          <w:rFonts w:ascii="Times New Roman" w:eastAsia="Times New Roman" w:hAnsi="Times New Roman" w:cs="Times New Roman"/>
          <w:sz w:val="24"/>
          <w:szCs w:val="24"/>
        </w:rPr>
        <w:t>described below.</w:t>
      </w:r>
    </w:p>
    <w:p w14:paraId="111C7468" w14:textId="206D7018" w:rsidR="00DE3EE4" w:rsidRPr="006D4139" w:rsidRDefault="00DE3EE4" w:rsidP="006D4139">
      <w:pPr>
        <w:pStyle w:val="Heading2"/>
        <w:numPr>
          <w:ilvl w:val="0"/>
          <w:numId w:val="22"/>
        </w:numPr>
        <w:spacing w:after="240"/>
        <w:rPr>
          <w:rFonts w:ascii="Times New Roman" w:hAnsi="Times New Roman" w:cs="Times New Roman"/>
          <w:b/>
        </w:rPr>
      </w:pPr>
      <w:r w:rsidRPr="006D4139">
        <w:rPr>
          <w:rFonts w:ascii="Times New Roman" w:hAnsi="Times New Roman" w:cs="Times New Roman"/>
          <w:b/>
          <w:color w:val="auto"/>
        </w:rPr>
        <w:t xml:space="preserve">Approaches to </w:t>
      </w:r>
      <w:r w:rsidR="009D5B08">
        <w:rPr>
          <w:rFonts w:ascii="Times New Roman" w:hAnsi="Times New Roman" w:cs="Times New Roman"/>
          <w:b/>
          <w:color w:val="auto"/>
        </w:rPr>
        <w:t>E</w:t>
      </w:r>
      <w:r w:rsidRPr="006D4139">
        <w:rPr>
          <w:rFonts w:ascii="Times New Roman" w:hAnsi="Times New Roman" w:cs="Times New Roman"/>
          <w:b/>
          <w:color w:val="auto"/>
        </w:rPr>
        <w:t xml:space="preserve">stimating </w:t>
      </w:r>
      <w:r w:rsidR="009D5B08">
        <w:rPr>
          <w:rFonts w:ascii="Times New Roman" w:hAnsi="Times New Roman" w:cs="Times New Roman"/>
          <w:b/>
          <w:color w:val="auto"/>
        </w:rPr>
        <w:t>F</w:t>
      </w:r>
      <w:r w:rsidRPr="006D4139">
        <w:rPr>
          <w:rFonts w:ascii="Times New Roman" w:hAnsi="Times New Roman" w:cs="Times New Roman"/>
          <w:b/>
          <w:color w:val="auto"/>
        </w:rPr>
        <w:t xml:space="preserve">uture </w:t>
      </w:r>
      <w:r w:rsidR="009D5B08">
        <w:rPr>
          <w:rFonts w:ascii="Times New Roman" w:hAnsi="Times New Roman" w:cs="Times New Roman"/>
          <w:b/>
          <w:color w:val="auto"/>
        </w:rPr>
        <w:t>RE Generation and EE</w:t>
      </w:r>
      <w:r w:rsidRPr="006D4139">
        <w:rPr>
          <w:rFonts w:ascii="Times New Roman" w:hAnsi="Times New Roman" w:cs="Times New Roman"/>
          <w:b/>
          <w:color w:val="auto"/>
        </w:rPr>
        <w:t xml:space="preserve"> </w:t>
      </w:r>
      <w:r w:rsidR="009D5B08">
        <w:rPr>
          <w:rFonts w:ascii="Times New Roman" w:hAnsi="Times New Roman" w:cs="Times New Roman"/>
          <w:b/>
          <w:color w:val="auto"/>
        </w:rPr>
        <w:t>S</w:t>
      </w:r>
      <w:r w:rsidRPr="006D4139">
        <w:rPr>
          <w:rFonts w:ascii="Times New Roman" w:hAnsi="Times New Roman" w:cs="Times New Roman"/>
          <w:b/>
          <w:color w:val="auto"/>
        </w:rPr>
        <w:t>avings</w:t>
      </w:r>
    </w:p>
    <w:p w14:paraId="78598607" w14:textId="4D12087B" w:rsidR="00C956D8" w:rsidRPr="00D65A3B" w:rsidRDefault="00C956D8" w:rsidP="00C956D8">
      <w:pPr>
        <w:spacing w:line="360" w:lineRule="auto"/>
        <w:ind w:firstLine="360"/>
        <w:rPr>
          <w:rFonts w:ascii="Times New Roman" w:hAnsi="Times New Roman" w:cs="Times New Roman"/>
          <w:sz w:val="24"/>
          <w:szCs w:val="24"/>
        </w:rPr>
      </w:pPr>
      <w:r w:rsidRPr="00D65A3B">
        <w:rPr>
          <w:rFonts w:ascii="Times New Roman" w:eastAsia="Times New Roman" w:hAnsi="Times New Roman" w:cs="Times New Roman"/>
          <w:sz w:val="24"/>
          <w:szCs w:val="24"/>
        </w:rPr>
        <w:t xml:space="preserve">Projections of </w:t>
      </w:r>
      <w:r w:rsidR="00061029">
        <w:rPr>
          <w:rFonts w:ascii="Times New Roman" w:eastAsia="Times New Roman" w:hAnsi="Times New Roman" w:cs="Times New Roman"/>
          <w:sz w:val="24"/>
          <w:szCs w:val="24"/>
        </w:rPr>
        <w:t xml:space="preserve">expected </w:t>
      </w:r>
      <w:r w:rsidRPr="00D65A3B">
        <w:rPr>
          <w:rFonts w:ascii="Times New Roman" w:eastAsia="Times New Roman" w:hAnsi="Times New Roman" w:cs="Times New Roman"/>
          <w:sz w:val="24"/>
          <w:szCs w:val="24"/>
        </w:rPr>
        <w:t xml:space="preserve">annual electricity savings and/or renewable </w:t>
      </w:r>
      <w:r w:rsidR="00A42D02" w:rsidRPr="00D65A3B">
        <w:rPr>
          <w:rFonts w:ascii="Times New Roman" w:eastAsia="Times New Roman" w:hAnsi="Times New Roman" w:cs="Times New Roman"/>
          <w:sz w:val="24"/>
          <w:szCs w:val="24"/>
        </w:rPr>
        <w:t xml:space="preserve">energy </w:t>
      </w:r>
      <w:r w:rsidRPr="00D65A3B">
        <w:rPr>
          <w:rFonts w:ascii="Times New Roman" w:eastAsia="Times New Roman" w:hAnsi="Times New Roman" w:cs="Times New Roman"/>
          <w:sz w:val="24"/>
          <w:szCs w:val="24"/>
        </w:rPr>
        <w:t xml:space="preserve">generation are necessary inputs </w:t>
      </w:r>
      <w:r w:rsidR="00D53150">
        <w:rPr>
          <w:rFonts w:ascii="Times New Roman" w:eastAsia="Times New Roman" w:hAnsi="Times New Roman" w:cs="Times New Roman"/>
          <w:sz w:val="24"/>
          <w:szCs w:val="24"/>
        </w:rPr>
        <w:t>when</w:t>
      </w:r>
      <w:r w:rsidRPr="00D65A3B">
        <w:rPr>
          <w:rFonts w:ascii="Times New Roman" w:eastAsia="Times New Roman" w:hAnsi="Times New Roman" w:cs="Times New Roman"/>
          <w:sz w:val="24"/>
          <w:szCs w:val="24"/>
        </w:rPr>
        <w:t xml:space="preserve"> </w:t>
      </w:r>
      <w:r w:rsidR="00D53150">
        <w:rPr>
          <w:rFonts w:ascii="Times New Roman" w:eastAsia="Times New Roman" w:hAnsi="Times New Roman" w:cs="Times New Roman"/>
          <w:sz w:val="24"/>
          <w:szCs w:val="24"/>
        </w:rPr>
        <w:t>projecting</w:t>
      </w:r>
      <w:r w:rsidRPr="00D65A3B">
        <w:rPr>
          <w:rFonts w:ascii="Times New Roman" w:eastAsia="Times New Roman" w:hAnsi="Times New Roman" w:cs="Times New Roman"/>
          <w:sz w:val="24"/>
          <w:szCs w:val="24"/>
        </w:rPr>
        <w:t xml:space="preserve"> EGU CO</w:t>
      </w:r>
      <w:r w:rsidRPr="00D65A3B">
        <w:rPr>
          <w:rFonts w:ascii="Times New Roman" w:eastAsia="Times New Roman" w:hAnsi="Times New Roman" w:cs="Times New Roman"/>
          <w:sz w:val="24"/>
          <w:szCs w:val="24"/>
          <w:vertAlign w:val="subscript"/>
        </w:rPr>
        <w:t>2</w:t>
      </w:r>
      <w:r w:rsidRPr="00D65A3B">
        <w:rPr>
          <w:rFonts w:ascii="Times New Roman" w:eastAsia="Times New Roman" w:hAnsi="Times New Roman" w:cs="Times New Roman"/>
          <w:sz w:val="24"/>
          <w:szCs w:val="24"/>
        </w:rPr>
        <w:t xml:space="preserve"> emission performance. </w:t>
      </w:r>
      <w:r w:rsidR="00664A5D" w:rsidRPr="00D65A3B">
        <w:rPr>
          <w:rFonts w:ascii="Times New Roman" w:eastAsia="Times New Roman" w:hAnsi="Times New Roman" w:cs="Times New Roman"/>
          <w:sz w:val="24"/>
          <w:szCs w:val="24"/>
        </w:rPr>
        <w:t>This is because i</w:t>
      </w:r>
      <w:r w:rsidRPr="00D65A3B">
        <w:rPr>
          <w:rFonts w:ascii="Times New Roman" w:eastAsia="Times New Roman" w:hAnsi="Times New Roman" w:cs="Times New Roman"/>
          <w:sz w:val="24"/>
          <w:szCs w:val="24"/>
        </w:rPr>
        <w:t xml:space="preserve">ncreased </w:t>
      </w:r>
      <w:r w:rsidR="005638A8" w:rsidRPr="00D65A3B">
        <w:rPr>
          <w:rFonts w:ascii="Times New Roman" w:eastAsia="Times New Roman" w:hAnsi="Times New Roman" w:cs="Times New Roman"/>
          <w:sz w:val="24"/>
          <w:szCs w:val="24"/>
        </w:rPr>
        <w:t xml:space="preserve">RE </w:t>
      </w:r>
      <w:r w:rsidRPr="00D65A3B">
        <w:rPr>
          <w:rFonts w:ascii="Times New Roman" w:eastAsia="Times New Roman" w:hAnsi="Times New Roman" w:cs="Times New Roman"/>
          <w:sz w:val="24"/>
          <w:szCs w:val="24"/>
        </w:rPr>
        <w:t xml:space="preserve">generation will </w:t>
      </w:r>
      <w:r w:rsidR="00E85B99" w:rsidRPr="00D65A3B">
        <w:rPr>
          <w:rFonts w:ascii="Times New Roman" w:eastAsia="Times New Roman" w:hAnsi="Times New Roman" w:cs="Times New Roman"/>
          <w:sz w:val="24"/>
          <w:szCs w:val="24"/>
        </w:rPr>
        <w:t xml:space="preserve">impact </w:t>
      </w:r>
      <w:r w:rsidRPr="00D65A3B">
        <w:rPr>
          <w:rFonts w:ascii="Times New Roman" w:eastAsia="Times New Roman" w:hAnsi="Times New Roman" w:cs="Times New Roman"/>
          <w:sz w:val="24"/>
          <w:szCs w:val="24"/>
        </w:rPr>
        <w:t xml:space="preserve">the </w:t>
      </w:r>
      <w:r w:rsidR="00645610" w:rsidRPr="00D65A3B">
        <w:rPr>
          <w:rFonts w:ascii="Times New Roman" w:eastAsia="Times New Roman" w:hAnsi="Times New Roman" w:cs="Times New Roman"/>
          <w:sz w:val="24"/>
          <w:szCs w:val="24"/>
        </w:rPr>
        <w:t>generation</w:t>
      </w:r>
      <w:r w:rsidRPr="00D65A3B">
        <w:rPr>
          <w:rFonts w:ascii="Times New Roman" w:eastAsia="Times New Roman" w:hAnsi="Times New Roman" w:cs="Times New Roman"/>
          <w:sz w:val="24"/>
          <w:szCs w:val="24"/>
        </w:rPr>
        <w:t xml:space="preserve"> of affected EGUs and resulting CO</w:t>
      </w:r>
      <w:r w:rsidRPr="00D65A3B">
        <w:rPr>
          <w:rFonts w:ascii="Times New Roman" w:eastAsia="Times New Roman" w:hAnsi="Times New Roman" w:cs="Times New Roman"/>
          <w:sz w:val="24"/>
          <w:szCs w:val="24"/>
          <w:vertAlign w:val="subscript"/>
        </w:rPr>
        <w:t>2</w:t>
      </w:r>
      <w:r w:rsidRPr="00D65A3B">
        <w:rPr>
          <w:rFonts w:ascii="Times New Roman" w:eastAsia="Times New Roman" w:hAnsi="Times New Roman" w:cs="Times New Roman"/>
          <w:sz w:val="24"/>
          <w:szCs w:val="24"/>
        </w:rPr>
        <w:t xml:space="preserve"> emissions</w:t>
      </w:r>
      <w:r w:rsidR="00587E42">
        <w:rPr>
          <w:rFonts w:ascii="Times New Roman" w:eastAsia="Times New Roman" w:hAnsi="Times New Roman" w:cs="Times New Roman"/>
          <w:sz w:val="24"/>
          <w:szCs w:val="24"/>
        </w:rPr>
        <w:t xml:space="preserve">. </w:t>
      </w:r>
      <w:r w:rsidRPr="00D65A3B">
        <w:rPr>
          <w:rFonts w:ascii="Times New Roman" w:eastAsia="Times New Roman" w:hAnsi="Times New Roman" w:cs="Times New Roman"/>
          <w:sz w:val="24"/>
          <w:szCs w:val="24"/>
        </w:rPr>
        <w:t xml:space="preserve">Electricity savings estimates included in </w:t>
      </w:r>
      <w:r w:rsidR="005638A8" w:rsidRPr="00D65A3B">
        <w:rPr>
          <w:rFonts w:ascii="Times New Roman" w:eastAsia="Times New Roman" w:hAnsi="Times New Roman" w:cs="Times New Roman"/>
          <w:sz w:val="24"/>
          <w:szCs w:val="24"/>
        </w:rPr>
        <w:t xml:space="preserve">EE </w:t>
      </w:r>
      <w:r w:rsidRPr="00D65A3B">
        <w:rPr>
          <w:rFonts w:ascii="Times New Roman" w:eastAsia="Times New Roman" w:hAnsi="Times New Roman" w:cs="Times New Roman"/>
          <w:sz w:val="24"/>
          <w:szCs w:val="24"/>
        </w:rPr>
        <w:t>projections will lower electricity demand forecasts in the CO</w:t>
      </w:r>
      <w:r w:rsidRPr="00D65A3B">
        <w:rPr>
          <w:rFonts w:ascii="Times New Roman" w:eastAsia="Times New Roman" w:hAnsi="Times New Roman" w:cs="Times New Roman"/>
          <w:sz w:val="24"/>
          <w:szCs w:val="24"/>
          <w:vertAlign w:val="subscript"/>
        </w:rPr>
        <w:t>2</w:t>
      </w:r>
      <w:r w:rsidRPr="00D65A3B">
        <w:rPr>
          <w:rFonts w:ascii="Times New Roman" w:eastAsia="Times New Roman" w:hAnsi="Times New Roman" w:cs="Times New Roman"/>
          <w:sz w:val="24"/>
          <w:szCs w:val="24"/>
        </w:rPr>
        <w:t xml:space="preserve"> emission performance projections. The </w:t>
      </w:r>
      <w:r w:rsidR="009D5B08">
        <w:rPr>
          <w:rFonts w:ascii="Times New Roman" w:eastAsia="Times New Roman" w:hAnsi="Times New Roman" w:cs="Times New Roman"/>
          <w:sz w:val="24"/>
          <w:szCs w:val="24"/>
        </w:rPr>
        <w:t>EE</w:t>
      </w:r>
      <w:r w:rsidRPr="00D65A3B">
        <w:rPr>
          <w:rFonts w:ascii="Times New Roman" w:eastAsia="Times New Roman" w:hAnsi="Times New Roman" w:cs="Times New Roman"/>
          <w:sz w:val="24"/>
          <w:szCs w:val="24"/>
        </w:rPr>
        <w:t xml:space="preserve"> projection can be used as an input, or modifier, to various models or ot</w:t>
      </w:r>
      <w:r w:rsidR="00777265" w:rsidRPr="00D65A3B">
        <w:rPr>
          <w:rFonts w:ascii="Times New Roman" w:eastAsia="Times New Roman" w:hAnsi="Times New Roman" w:cs="Times New Roman"/>
          <w:sz w:val="24"/>
          <w:szCs w:val="24"/>
        </w:rPr>
        <w:t xml:space="preserve">her tools </w:t>
      </w:r>
      <w:r w:rsidR="00963BC8" w:rsidRPr="00D65A3B">
        <w:rPr>
          <w:rFonts w:ascii="Times New Roman" w:eastAsia="Times New Roman" w:hAnsi="Times New Roman" w:cs="Times New Roman"/>
          <w:sz w:val="24"/>
          <w:szCs w:val="24"/>
        </w:rPr>
        <w:t xml:space="preserve">in order </w:t>
      </w:r>
      <w:r w:rsidR="00777265" w:rsidRPr="00D65A3B">
        <w:rPr>
          <w:rFonts w:ascii="Times New Roman" w:eastAsia="Times New Roman" w:hAnsi="Times New Roman" w:cs="Times New Roman"/>
          <w:sz w:val="24"/>
          <w:szCs w:val="24"/>
        </w:rPr>
        <w:t>to demonstrate that the state plan will achieve emission guideline requirements.</w:t>
      </w:r>
      <w:r w:rsidRPr="00D65A3B">
        <w:rPr>
          <w:rFonts w:ascii="Times New Roman" w:eastAsia="Times New Roman" w:hAnsi="Times New Roman" w:cs="Times New Roman"/>
          <w:sz w:val="24"/>
          <w:szCs w:val="24"/>
        </w:rPr>
        <w:t xml:space="preserve"> </w:t>
      </w:r>
    </w:p>
    <w:p w14:paraId="2E2204B9" w14:textId="71514CDB" w:rsidR="00003E67" w:rsidRPr="00D65A3B" w:rsidRDefault="000A411E" w:rsidP="001D4104">
      <w:pPr>
        <w:spacing w:line="360" w:lineRule="auto"/>
        <w:ind w:firstLine="360"/>
        <w:rPr>
          <w:rFonts w:ascii="Times New Roman" w:hAnsi="Times New Roman" w:cs="Times New Roman"/>
          <w:bCs/>
          <w:sz w:val="24"/>
          <w:szCs w:val="24"/>
        </w:rPr>
      </w:pPr>
      <w:r w:rsidRPr="00D65A3B">
        <w:rPr>
          <w:rFonts w:ascii="Times New Roman" w:eastAsia="Times New Roman" w:hAnsi="Times New Roman" w:cs="Times New Roman"/>
          <w:sz w:val="24"/>
          <w:szCs w:val="24"/>
        </w:rPr>
        <w:t>A</w:t>
      </w:r>
      <w:r w:rsidRPr="00D65A3B" w:rsidDel="00D53150">
        <w:rPr>
          <w:rFonts w:ascii="Times New Roman" w:eastAsia="Times New Roman" w:hAnsi="Times New Roman" w:cs="Times New Roman"/>
          <w:sz w:val="24"/>
          <w:szCs w:val="24"/>
        </w:rPr>
        <w:t xml:space="preserve"> </w:t>
      </w:r>
      <w:r w:rsidR="009D5B08">
        <w:rPr>
          <w:rFonts w:ascii="Times New Roman" w:hAnsi="Times New Roman" w:cs="Times New Roman"/>
          <w:bCs/>
          <w:sz w:val="24"/>
          <w:szCs w:val="24"/>
        </w:rPr>
        <w:t>CO</w:t>
      </w:r>
      <w:r w:rsidR="009D5B08" w:rsidRPr="00D52487">
        <w:rPr>
          <w:rFonts w:ascii="Times New Roman" w:hAnsi="Times New Roman" w:cs="Times New Roman"/>
          <w:bCs/>
          <w:sz w:val="24"/>
          <w:szCs w:val="24"/>
          <w:vertAlign w:val="subscript"/>
        </w:rPr>
        <w:t>2</w:t>
      </w:r>
      <w:r w:rsidR="009D5B08">
        <w:rPr>
          <w:rFonts w:ascii="Times New Roman" w:hAnsi="Times New Roman" w:cs="Times New Roman"/>
          <w:bCs/>
          <w:sz w:val="24"/>
          <w:szCs w:val="24"/>
          <w:vertAlign w:val="subscript"/>
        </w:rPr>
        <w:t xml:space="preserve"> </w:t>
      </w:r>
      <w:r w:rsidR="009D5B08">
        <w:rPr>
          <w:rFonts w:ascii="Times New Roman" w:eastAsia="Times New Roman" w:hAnsi="Times New Roman" w:cs="Times New Roman"/>
          <w:sz w:val="24"/>
          <w:szCs w:val="24"/>
        </w:rPr>
        <w:t>emission pe</w:t>
      </w:r>
      <w:r w:rsidRPr="00D65A3B">
        <w:rPr>
          <w:rFonts w:ascii="Times New Roman" w:eastAsia="Times New Roman" w:hAnsi="Times New Roman" w:cs="Times New Roman"/>
          <w:sz w:val="24"/>
          <w:szCs w:val="24"/>
        </w:rPr>
        <w:t xml:space="preserve">rformance projection must include the </w:t>
      </w:r>
      <w:r w:rsidR="00F77F9F">
        <w:rPr>
          <w:rFonts w:ascii="Times New Roman" w:eastAsia="Times New Roman" w:hAnsi="Times New Roman" w:cs="Times New Roman"/>
          <w:sz w:val="24"/>
          <w:szCs w:val="24"/>
        </w:rPr>
        <w:t xml:space="preserve">potential impacts of </w:t>
      </w:r>
      <w:r w:rsidR="002D3924">
        <w:rPr>
          <w:rFonts w:ascii="Times New Roman" w:eastAsia="Times New Roman" w:hAnsi="Times New Roman" w:cs="Times New Roman"/>
          <w:sz w:val="24"/>
          <w:szCs w:val="24"/>
        </w:rPr>
        <w:t>RE and demand-side EE</w:t>
      </w:r>
      <w:r w:rsidR="002A04CF">
        <w:rPr>
          <w:rFonts w:ascii="Times New Roman" w:eastAsia="Times New Roman" w:hAnsi="Times New Roman" w:cs="Times New Roman"/>
          <w:sz w:val="24"/>
          <w:szCs w:val="24"/>
        </w:rPr>
        <w:t xml:space="preserve">, </w:t>
      </w:r>
      <w:r w:rsidR="007709DD">
        <w:rPr>
          <w:rFonts w:ascii="Times New Roman" w:eastAsia="Times New Roman" w:hAnsi="Times New Roman" w:cs="Times New Roman"/>
          <w:sz w:val="24"/>
          <w:szCs w:val="24"/>
        </w:rPr>
        <w:t xml:space="preserve">and </w:t>
      </w:r>
      <w:r w:rsidR="00E9146E">
        <w:rPr>
          <w:rFonts w:ascii="Times New Roman" w:eastAsia="Times New Roman" w:hAnsi="Times New Roman" w:cs="Times New Roman"/>
          <w:sz w:val="24"/>
          <w:szCs w:val="24"/>
        </w:rPr>
        <w:t xml:space="preserve">the state must </w:t>
      </w:r>
      <w:r w:rsidR="00003E67" w:rsidRPr="00D65A3B">
        <w:rPr>
          <w:rFonts w:ascii="Times New Roman" w:eastAsia="Times New Roman" w:hAnsi="Times New Roman" w:cs="Times New Roman"/>
          <w:sz w:val="24"/>
          <w:szCs w:val="24"/>
        </w:rPr>
        <w:t>document how th</w:t>
      </w:r>
      <w:r w:rsidRPr="00D65A3B">
        <w:rPr>
          <w:rFonts w:ascii="Times New Roman" w:eastAsia="Times New Roman" w:hAnsi="Times New Roman" w:cs="Times New Roman"/>
          <w:sz w:val="24"/>
          <w:szCs w:val="24"/>
        </w:rPr>
        <w:t xml:space="preserve">ose </w:t>
      </w:r>
      <w:r w:rsidR="002D3924">
        <w:rPr>
          <w:rFonts w:ascii="Times New Roman" w:eastAsia="Times New Roman" w:hAnsi="Times New Roman" w:cs="Times New Roman"/>
          <w:sz w:val="24"/>
          <w:szCs w:val="24"/>
        </w:rPr>
        <w:t>RE and demand-side EE</w:t>
      </w:r>
      <w:r w:rsidR="00003E67" w:rsidRPr="00D65A3B">
        <w:rPr>
          <w:rFonts w:ascii="Times New Roman" w:eastAsia="Times New Roman" w:hAnsi="Times New Roman" w:cs="Times New Roman"/>
          <w:sz w:val="24"/>
          <w:szCs w:val="24"/>
        </w:rPr>
        <w:t xml:space="preserve"> </w:t>
      </w:r>
      <w:r w:rsidR="00F77F9F">
        <w:rPr>
          <w:rFonts w:ascii="Times New Roman" w:eastAsia="Times New Roman" w:hAnsi="Times New Roman" w:cs="Times New Roman"/>
          <w:sz w:val="24"/>
          <w:szCs w:val="24"/>
        </w:rPr>
        <w:t>impacts</w:t>
      </w:r>
      <w:r w:rsidR="00003E67" w:rsidRPr="00D65A3B">
        <w:rPr>
          <w:rFonts w:ascii="Times New Roman" w:eastAsia="Times New Roman" w:hAnsi="Times New Roman" w:cs="Times New Roman"/>
          <w:sz w:val="24"/>
          <w:szCs w:val="24"/>
        </w:rPr>
        <w:t xml:space="preserve"> are </w:t>
      </w:r>
      <w:r w:rsidR="007709DD">
        <w:rPr>
          <w:rFonts w:ascii="Times New Roman" w:eastAsia="Times New Roman" w:hAnsi="Times New Roman" w:cs="Times New Roman"/>
          <w:sz w:val="24"/>
          <w:szCs w:val="24"/>
        </w:rPr>
        <w:t>reflect</w:t>
      </w:r>
      <w:r w:rsidR="007709DD" w:rsidRPr="00D65A3B">
        <w:rPr>
          <w:rFonts w:ascii="Times New Roman" w:eastAsia="Times New Roman" w:hAnsi="Times New Roman" w:cs="Times New Roman"/>
          <w:sz w:val="24"/>
          <w:szCs w:val="24"/>
        </w:rPr>
        <w:t xml:space="preserve">ed </w:t>
      </w:r>
      <w:r w:rsidR="00003E67" w:rsidRPr="00D65A3B">
        <w:rPr>
          <w:rFonts w:ascii="Times New Roman" w:eastAsia="Times New Roman" w:hAnsi="Times New Roman" w:cs="Times New Roman"/>
          <w:sz w:val="24"/>
          <w:szCs w:val="24"/>
        </w:rPr>
        <w:t xml:space="preserve">in the projection. </w:t>
      </w:r>
      <w:r w:rsidR="001D4104" w:rsidRPr="00D65A3B">
        <w:rPr>
          <w:rFonts w:ascii="Times New Roman" w:eastAsia="Times New Roman" w:hAnsi="Times New Roman" w:cs="Times New Roman"/>
          <w:color w:val="211D1E"/>
          <w:sz w:val="24"/>
          <w:szCs w:val="24"/>
        </w:rPr>
        <w:t xml:space="preserve">The state can incorporate </w:t>
      </w:r>
      <w:r w:rsidR="002D3924">
        <w:rPr>
          <w:rFonts w:ascii="Times New Roman" w:eastAsia="Times New Roman" w:hAnsi="Times New Roman" w:cs="Times New Roman"/>
          <w:color w:val="211D1E"/>
          <w:sz w:val="24"/>
          <w:szCs w:val="24"/>
        </w:rPr>
        <w:t>RE and demand-side EE</w:t>
      </w:r>
      <w:r w:rsidR="005E0EBA" w:rsidRPr="00D65A3B">
        <w:rPr>
          <w:rFonts w:ascii="Times New Roman" w:eastAsia="Times New Roman" w:hAnsi="Times New Roman" w:cs="Times New Roman"/>
          <w:color w:val="211D1E"/>
          <w:sz w:val="24"/>
          <w:szCs w:val="24"/>
        </w:rPr>
        <w:t xml:space="preserve"> impacts at the</w:t>
      </w:r>
      <w:r w:rsidR="00750EB0" w:rsidRPr="00D65A3B">
        <w:rPr>
          <w:rFonts w:ascii="Times New Roman" w:eastAsia="Times New Roman" w:hAnsi="Times New Roman" w:cs="Times New Roman"/>
          <w:color w:val="211D1E"/>
          <w:sz w:val="24"/>
          <w:szCs w:val="24"/>
        </w:rPr>
        <w:t xml:space="preserve"> individual</w:t>
      </w:r>
      <w:r w:rsidR="005E0EBA" w:rsidRPr="00D65A3B">
        <w:rPr>
          <w:rFonts w:ascii="Times New Roman" w:eastAsia="Times New Roman" w:hAnsi="Times New Roman" w:cs="Times New Roman"/>
          <w:color w:val="211D1E"/>
          <w:sz w:val="24"/>
          <w:szCs w:val="24"/>
        </w:rPr>
        <w:t xml:space="preserve"> project or </w:t>
      </w:r>
      <w:r w:rsidR="001D4104" w:rsidRPr="00D65A3B">
        <w:rPr>
          <w:rFonts w:ascii="Times New Roman" w:eastAsia="Times New Roman" w:hAnsi="Times New Roman" w:cs="Times New Roman"/>
          <w:color w:val="211D1E"/>
          <w:sz w:val="24"/>
          <w:szCs w:val="24"/>
        </w:rPr>
        <w:t>program level</w:t>
      </w:r>
      <w:r w:rsidR="005E0EBA" w:rsidRPr="00D65A3B">
        <w:rPr>
          <w:rFonts w:ascii="Times New Roman" w:eastAsia="Times New Roman" w:hAnsi="Times New Roman" w:cs="Times New Roman"/>
          <w:color w:val="211D1E"/>
          <w:sz w:val="24"/>
          <w:szCs w:val="24"/>
        </w:rPr>
        <w:t xml:space="preserve">, or it can aggregate </w:t>
      </w:r>
      <w:r w:rsidR="002D3924">
        <w:rPr>
          <w:rFonts w:ascii="Times New Roman" w:eastAsia="Times New Roman" w:hAnsi="Times New Roman" w:cs="Times New Roman"/>
          <w:color w:val="211D1E"/>
          <w:sz w:val="24"/>
          <w:szCs w:val="24"/>
        </w:rPr>
        <w:t>RE and demand-side EE</w:t>
      </w:r>
      <w:r w:rsidR="001D4104" w:rsidRPr="00D65A3B">
        <w:rPr>
          <w:rFonts w:ascii="Times New Roman" w:eastAsia="Times New Roman" w:hAnsi="Times New Roman" w:cs="Times New Roman"/>
          <w:color w:val="211D1E"/>
          <w:sz w:val="24"/>
          <w:szCs w:val="24"/>
        </w:rPr>
        <w:t xml:space="preserve"> impacts </w:t>
      </w:r>
      <w:r w:rsidR="005E0EBA" w:rsidRPr="00D65A3B">
        <w:rPr>
          <w:rFonts w:ascii="Times New Roman" w:eastAsia="Times New Roman" w:hAnsi="Times New Roman" w:cs="Times New Roman"/>
          <w:color w:val="211D1E"/>
          <w:sz w:val="24"/>
          <w:szCs w:val="24"/>
        </w:rPr>
        <w:t xml:space="preserve">across a portfolio </w:t>
      </w:r>
      <w:r w:rsidR="001D4104" w:rsidRPr="00D65A3B">
        <w:rPr>
          <w:rFonts w:ascii="Times New Roman" w:eastAsia="Times New Roman" w:hAnsi="Times New Roman" w:cs="Times New Roman"/>
          <w:color w:val="211D1E"/>
          <w:sz w:val="24"/>
          <w:szCs w:val="24"/>
        </w:rPr>
        <w:t>of programs.</w:t>
      </w:r>
      <w:r w:rsidR="002E113B">
        <w:rPr>
          <w:rStyle w:val="FootnoteReference"/>
          <w:rFonts w:ascii="Times New Roman" w:eastAsia="Times New Roman" w:hAnsi="Times New Roman" w:cs="Times New Roman"/>
          <w:color w:val="211D1E"/>
          <w:sz w:val="24"/>
          <w:szCs w:val="24"/>
        </w:rPr>
        <w:footnoteReference w:id="9"/>
      </w:r>
      <w:r w:rsidR="001D4104" w:rsidRPr="00D65A3B">
        <w:rPr>
          <w:rFonts w:ascii="Times New Roman" w:eastAsia="Times New Roman" w:hAnsi="Times New Roman" w:cs="Times New Roman"/>
          <w:color w:val="211D1E"/>
          <w:sz w:val="24"/>
          <w:szCs w:val="24"/>
        </w:rPr>
        <w:t xml:space="preserve"> The EPA </w:t>
      </w:r>
      <w:r w:rsidR="002E5549" w:rsidRPr="00D65A3B">
        <w:rPr>
          <w:rFonts w:ascii="Times New Roman" w:eastAsia="Times New Roman" w:hAnsi="Times New Roman" w:cs="Times New Roman"/>
          <w:color w:val="211D1E"/>
          <w:sz w:val="24"/>
          <w:szCs w:val="24"/>
        </w:rPr>
        <w:t xml:space="preserve">historically </w:t>
      </w:r>
      <w:r w:rsidR="001D4104" w:rsidRPr="00D65A3B">
        <w:rPr>
          <w:rFonts w:ascii="Times New Roman" w:eastAsia="Times New Roman" w:hAnsi="Times New Roman" w:cs="Times New Roman"/>
          <w:color w:val="211D1E"/>
          <w:sz w:val="24"/>
          <w:szCs w:val="24"/>
        </w:rPr>
        <w:t xml:space="preserve">has accepted the estimation of </w:t>
      </w:r>
      <w:r w:rsidR="002D3924">
        <w:rPr>
          <w:rFonts w:ascii="Times New Roman" w:eastAsia="Times New Roman" w:hAnsi="Times New Roman" w:cs="Times New Roman"/>
          <w:color w:val="211D1E"/>
          <w:sz w:val="24"/>
          <w:szCs w:val="24"/>
        </w:rPr>
        <w:t>RE and demand-side EE</w:t>
      </w:r>
      <w:r w:rsidR="001D4104" w:rsidRPr="00D65A3B">
        <w:rPr>
          <w:rFonts w:ascii="Times New Roman" w:eastAsia="Times New Roman" w:hAnsi="Times New Roman" w:cs="Times New Roman"/>
          <w:color w:val="211D1E"/>
          <w:sz w:val="24"/>
          <w:szCs w:val="24"/>
        </w:rPr>
        <w:t xml:space="preserve"> at an aggregated level as indicated in EPA’s Bundled Measures Guidance.</w:t>
      </w:r>
      <w:r w:rsidR="00003E67" w:rsidRPr="00D65A3B">
        <w:rPr>
          <w:rStyle w:val="FootnoteReference"/>
          <w:rFonts w:ascii="Times New Roman" w:eastAsia="Times New Roman" w:hAnsi="Times New Roman" w:cs="Times New Roman"/>
          <w:color w:val="211D1E"/>
          <w:sz w:val="24"/>
          <w:szCs w:val="24"/>
        </w:rPr>
        <w:footnoteReference w:id="10"/>
      </w:r>
      <w:r w:rsidR="00526F35">
        <w:rPr>
          <w:rFonts w:ascii="Times New Roman" w:eastAsia="Times New Roman" w:hAnsi="Times New Roman" w:cs="Times New Roman"/>
          <w:color w:val="211D1E"/>
          <w:sz w:val="24"/>
          <w:szCs w:val="24"/>
        </w:rPr>
        <w:t xml:space="preserve"> </w:t>
      </w:r>
      <w:r w:rsidR="00526F35" w:rsidRPr="00526F35">
        <w:rPr>
          <w:rFonts w:ascii="Times New Roman" w:eastAsia="Times New Roman" w:hAnsi="Times New Roman" w:cs="Times New Roman"/>
          <w:color w:val="211D1E"/>
          <w:sz w:val="24"/>
          <w:szCs w:val="24"/>
        </w:rPr>
        <w:t xml:space="preserve">The state must </w:t>
      </w:r>
      <w:r w:rsidR="00526F35">
        <w:rPr>
          <w:rFonts w:ascii="Times New Roman" w:eastAsia="Times New Roman" w:hAnsi="Times New Roman" w:cs="Times New Roman"/>
          <w:color w:val="211D1E"/>
          <w:sz w:val="24"/>
          <w:szCs w:val="24"/>
        </w:rPr>
        <w:t xml:space="preserve">also </w:t>
      </w:r>
      <w:r w:rsidR="00526F35" w:rsidRPr="00526F35">
        <w:rPr>
          <w:rFonts w:ascii="Times New Roman" w:eastAsia="Times New Roman" w:hAnsi="Times New Roman" w:cs="Times New Roman"/>
          <w:color w:val="211D1E"/>
          <w:sz w:val="24"/>
          <w:szCs w:val="24"/>
        </w:rPr>
        <w:t xml:space="preserve">verify that the assumptions about </w:t>
      </w:r>
      <w:r w:rsidR="002D3924">
        <w:rPr>
          <w:rFonts w:ascii="Times New Roman" w:eastAsia="Times New Roman" w:hAnsi="Times New Roman" w:cs="Times New Roman"/>
          <w:color w:val="211D1E"/>
          <w:sz w:val="24"/>
          <w:szCs w:val="24"/>
        </w:rPr>
        <w:t>RE and demand-side EE</w:t>
      </w:r>
      <w:r w:rsidR="00526F35" w:rsidRPr="00526F35">
        <w:rPr>
          <w:rFonts w:ascii="Times New Roman" w:eastAsia="Times New Roman" w:hAnsi="Times New Roman" w:cs="Times New Roman"/>
          <w:color w:val="211D1E"/>
          <w:sz w:val="24"/>
          <w:szCs w:val="24"/>
        </w:rPr>
        <w:t xml:space="preserve"> availability are reasonable</w:t>
      </w:r>
      <w:r w:rsidR="00526F35">
        <w:rPr>
          <w:rFonts w:ascii="Times New Roman" w:eastAsia="Times New Roman" w:hAnsi="Times New Roman" w:cs="Times New Roman"/>
          <w:color w:val="211D1E"/>
          <w:sz w:val="24"/>
          <w:szCs w:val="24"/>
        </w:rPr>
        <w:t xml:space="preserve">, such as based on an assessment of </w:t>
      </w:r>
      <w:r w:rsidR="002D3924">
        <w:rPr>
          <w:rFonts w:ascii="Times New Roman" w:eastAsia="Times New Roman" w:hAnsi="Times New Roman" w:cs="Times New Roman"/>
          <w:color w:val="211D1E"/>
          <w:sz w:val="24"/>
          <w:szCs w:val="24"/>
        </w:rPr>
        <w:t>RE and demand-side EE</w:t>
      </w:r>
      <w:r w:rsidR="00526F35">
        <w:rPr>
          <w:rFonts w:ascii="Times New Roman" w:eastAsia="Times New Roman" w:hAnsi="Times New Roman" w:cs="Times New Roman"/>
          <w:color w:val="211D1E"/>
          <w:sz w:val="24"/>
          <w:szCs w:val="24"/>
        </w:rPr>
        <w:t xml:space="preserve"> potential</w:t>
      </w:r>
      <w:r w:rsidR="00526F35" w:rsidRPr="00526F35">
        <w:rPr>
          <w:rFonts w:ascii="Times New Roman" w:eastAsia="Times New Roman" w:hAnsi="Times New Roman" w:cs="Times New Roman"/>
          <w:color w:val="211D1E"/>
          <w:sz w:val="24"/>
          <w:szCs w:val="24"/>
        </w:rPr>
        <w:t>.</w:t>
      </w:r>
    </w:p>
    <w:p w14:paraId="23C843A3" w14:textId="0A6D46E8" w:rsidR="0066701A" w:rsidRPr="00D65A3B" w:rsidRDefault="00C674CF" w:rsidP="001D4104">
      <w:pPr>
        <w:spacing w:line="360" w:lineRule="auto"/>
        <w:ind w:firstLine="360"/>
        <w:rPr>
          <w:rFonts w:ascii="Times New Roman" w:eastAsia="Times New Roman" w:hAnsi="Times New Roman" w:cs="Times New Roman"/>
          <w:color w:val="000000"/>
          <w:sz w:val="24"/>
          <w:szCs w:val="24"/>
        </w:rPr>
      </w:pPr>
      <w:r>
        <w:rPr>
          <w:rFonts w:ascii="Times New Roman" w:hAnsi="Times New Roman" w:cs="Times New Roman"/>
          <w:bCs/>
          <w:sz w:val="24"/>
          <w:szCs w:val="24"/>
        </w:rPr>
        <w:t>As discussed above, a</w:t>
      </w:r>
      <w:r w:rsidR="003A4E75" w:rsidRPr="00D65A3B">
        <w:rPr>
          <w:rFonts w:ascii="Times New Roman" w:hAnsi="Times New Roman" w:cs="Times New Roman"/>
          <w:bCs/>
          <w:sz w:val="24"/>
          <w:szCs w:val="24"/>
        </w:rPr>
        <w:t xml:space="preserve"> </w:t>
      </w:r>
      <w:r w:rsidR="00D53150">
        <w:rPr>
          <w:rFonts w:ascii="Times New Roman" w:hAnsi="Times New Roman" w:cs="Times New Roman"/>
          <w:bCs/>
          <w:sz w:val="24"/>
          <w:szCs w:val="24"/>
        </w:rPr>
        <w:t>state plan</w:t>
      </w:r>
      <w:r w:rsidR="00232E94">
        <w:rPr>
          <w:rFonts w:ascii="Times New Roman" w:hAnsi="Times New Roman" w:cs="Times New Roman"/>
          <w:bCs/>
          <w:sz w:val="24"/>
          <w:szCs w:val="24"/>
        </w:rPr>
        <w:t xml:space="preserve"> CO</w:t>
      </w:r>
      <w:r w:rsidR="00232E94" w:rsidRPr="007C079C">
        <w:rPr>
          <w:rFonts w:ascii="Times New Roman" w:hAnsi="Times New Roman" w:cs="Times New Roman"/>
          <w:bCs/>
          <w:sz w:val="24"/>
          <w:szCs w:val="24"/>
          <w:vertAlign w:val="subscript"/>
        </w:rPr>
        <w:t>2</w:t>
      </w:r>
      <w:r w:rsidR="00232E94">
        <w:rPr>
          <w:rFonts w:ascii="Times New Roman" w:hAnsi="Times New Roman" w:cs="Times New Roman"/>
          <w:bCs/>
          <w:sz w:val="24"/>
          <w:szCs w:val="24"/>
        </w:rPr>
        <w:t xml:space="preserve"> emission</w:t>
      </w:r>
      <w:r w:rsidR="00D53150">
        <w:rPr>
          <w:rFonts w:ascii="Times New Roman" w:hAnsi="Times New Roman" w:cs="Times New Roman"/>
          <w:bCs/>
          <w:sz w:val="24"/>
          <w:szCs w:val="24"/>
        </w:rPr>
        <w:t xml:space="preserve"> </w:t>
      </w:r>
      <w:r w:rsidR="003A4E75" w:rsidRPr="00D65A3B">
        <w:rPr>
          <w:rFonts w:ascii="Times New Roman" w:hAnsi="Times New Roman" w:cs="Times New Roman"/>
          <w:bCs/>
          <w:sz w:val="24"/>
          <w:szCs w:val="24"/>
        </w:rPr>
        <w:t xml:space="preserve">performance projection </w:t>
      </w:r>
      <w:r w:rsidR="00D53150">
        <w:rPr>
          <w:rFonts w:ascii="Times New Roman" w:hAnsi="Times New Roman" w:cs="Times New Roman"/>
          <w:bCs/>
          <w:sz w:val="24"/>
          <w:szCs w:val="24"/>
        </w:rPr>
        <w:t>must</w:t>
      </w:r>
      <w:r w:rsidR="00D53150" w:rsidRPr="00D65A3B">
        <w:rPr>
          <w:rFonts w:ascii="Times New Roman" w:hAnsi="Times New Roman" w:cs="Times New Roman"/>
          <w:bCs/>
          <w:sz w:val="24"/>
          <w:szCs w:val="24"/>
        </w:rPr>
        <w:t xml:space="preserve"> </w:t>
      </w:r>
      <w:r w:rsidR="003A4E75" w:rsidRPr="00D65A3B">
        <w:rPr>
          <w:rFonts w:ascii="Times New Roman" w:hAnsi="Times New Roman" w:cs="Times New Roman"/>
          <w:bCs/>
          <w:sz w:val="24"/>
          <w:szCs w:val="24"/>
        </w:rPr>
        <w:t xml:space="preserve">not include </w:t>
      </w:r>
      <w:r w:rsidR="002D3924">
        <w:rPr>
          <w:rFonts w:ascii="Times New Roman" w:hAnsi="Times New Roman" w:cs="Times New Roman"/>
          <w:bCs/>
          <w:sz w:val="24"/>
          <w:szCs w:val="24"/>
        </w:rPr>
        <w:t>RE and demand-side EE</w:t>
      </w:r>
      <w:r w:rsidR="003A4E75" w:rsidRPr="00D65A3B">
        <w:rPr>
          <w:rFonts w:ascii="Times New Roman" w:hAnsi="Times New Roman" w:cs="Times New Roman"/>
          <w:bCs/>
          <w:sz w:val="24"/>
          <w:szCs w:val="24"/>
        </w:rPr>
        <w:t xml:space="preserve"> impacts captured in the </w:t>
      </w:r>
      <w:r w:rsidR="003A4E75">
        <w:rPr>
          <w:rFonts w:ascii="Times New Roman" w:hAnsi="Times New Roman" w:cs="Times New Roman"/>
          <w:bCs/>
          <w:sz w:val="24"/>
          <w:szCs w:val="24"/>
        </w:rPr>
        <w:t>base case</w:t>
      </w:r>
      <w:r w:rsidR="003A4E75" w:rsidRPr="00D65A3B">
        <w:rPr>
          <w:rFonts w:ascii="Times New Roman" w:hAnsi="Times New Roman" w:cs="Times New Roman"/>
          <w:bCs/>
          <w:sz w:val="24"/>
          <w:szCs w:val="24"/>
        </w:rPr>
        <w:t xml:space="preserve"> electricity demand forecast. Consequently, </w:t>
      </w:r>
      <w:r w:rsidR="002D3924">
        <w:rPr>
          <w:rFonts w:ascii="Times New Roman" w:hAnsi="Times New Roman" w:cs="Times New Roman"/>
          <w:bCs/>
          <w:sz w:val="24"/>
          <w:szCs w:val="24"/>
        </w:rPr>
        <w:t>RE and demand-side EE</w:t>
      </w:r>
      <w:r w:rsidR="003A4E75" w:rsidRPr="00D65A3B">
        <w:rPr>
          <w:rFonts w:ascii="Times New Roman" w:hAnsi="Times New Roman" w:cs="Times New Roman"/>
          <w:bCs/>
          <w:sz w:val="24"/>
          <w:szCs w:val="24"/>
        </w:rPr>
        <w:t xml:space="preserve"> impacts included in the </w:t>
      </w:r>
      <w:r w:rsidR="00232E94">
        <w:rPr>
          <w:rFonts w:ascii="Times New Roman" w:hAnsi="Times New Roman" w:cs="Times New Roman"/>
          <w:bCs/>
          <w:sz w:val="24"/>
          <w:szCs w:val="24"/>
        </w:rPr>
        <w:t>CO</w:t>
      </w:r>
      <w:r w:rsidR="00232E94" w:rsidRPr="007C079C">
        <w:rPr>
          <w:rFonts w:ascii="Times New Roman" w:hAnsi="Times New Roman" w:cs="Times New Roman"/>
          <w:bCs/>
          <w:sz w:val="24"/>
          <w:szCs w:val="24"/>
          <w:vertAlign w:val="subscript"/>
        </w:rPr>
        <w:t>2</w:t>
      </w:r>
      <w:r w:rsidR="00232E94">
        <w:rPr>
          <w:rFonts w:ascii="Times New Roman" w:hAnsi="Times New Roman" w:cs="Times New Roman"/>
          <w:bCs/>
          <w:sz w:val="24"/>
          <w:szCs w:val="24"/>
        </w:rPr>
        <w:t xml:space="preserve"> emission</w:t>
      </w:r>
      <w:r w:rsidR="003A4E75">
        <w:rPr>
          <w:rFonts w:ascii="Times New Roman" w:hAnsi="Times New Roman" w:cs="Times New Roman"/>
          <w:bCs/>
          <w:sz w:val="24"/>
          <w:szCs w:val="24"/>
        </w:rPr>
        <w:t xml:space="preserve"> </w:t>
      </w:r>
      <w:r w:rsidR="003A4E75" w:rsidRPr="00D65A3B">
        <w:rPr>
          <w:rFonts w:ascii="Times New Roman" w:hAnsi="Times New Roman" w:cs="Times New Roman"/>
          <w:bCs/>
          <w:sz w:val="24"/>
          <w:szCs w:val="24"/>
        </w:rPr>
        <w:t xml:space="preserve">performance projection must be incremental to and non-duplicative of impacts included in the </w:t>
      </w:r>
      <w:r w:rsidR="003A4E75">
        <w:rPr>
          <w:rFonts w:ascii="Times New Roman" w:hAnsi="Times New Roman" w:cs="Times New Roman"/>
          <w:bCs/>
          <w:sz w:val="24"/>
          <w:szCs w:val="24"/>
        </w:rPr>
        <w:t>base case</w:t>
      </w:r>
      <w:r w:rsidR="003A4E75" w:rsidRPr="00D65A3B">
        <w:rPr>
          <w:rFonts w:ascii="Times New Roman" w:hAnsi="Times New Roman" w:cs="Times New Roman"/>
          <w:bCs/>
          <w:sz w:val="24"/>
          <w:szCs w:val="24"/>
        </w:rPr>
        <w:t xml:space="preserve"> </w:t>
      </w:r>
      <w:r w:rsidR="003A4E75" w:rsidRPr="00D65A3B">
        <w:rPr>
          <w:rFonts w:ascii="Times New Roman" w:hAnsi="Times New Roman" w:cs="Times New Roman"/>
          <w:bCs/>
          <w:sz w:val="24"/>
          <w:szCs w:val="24"/>
        </w:rPr>
        <w:lastRenderedPageBreak/>
        <w:t xml:space="preserve">demand forecast. The performance projections, for example, could include impacts from </w:t>
      </w:r>
      <w:r w:rsidR="002D3924">
        <w:rPr>
          <w:rFonts w:ascii="Times New Roman" w:hAnsi="Times New Roman" w:cs="Times New Roman"/>
          <w:bCs/>
          <w:sz w:val="24"/>
          <w:szCs w:val="24"/>
        </w:rPr>
        <w:t>RE and demand-side EE</w:t>
      </w:r>
      <w:r w:rsidR="003A4E75" w:rsidRPr="00D65A3B">
        <w:rPr>
          <w:rFonts w:ascii="Times New Roman" w:hAnsi="Times New Roman" w:cs="Times New Roman"/>
          <w:bCs/>
          <w:sz w:val="24"/>
          <w:szCs w:val="24"/>
        </w:rPr>
        <w:t xml:space="preserve"> programs not reflected in the </w:t>
      </w:r>
      <w:r w:rsidR="003A4E75">
        <w:rPr>
          <w:rFonts w:ascii="Times New Roman" w:hAnsi="Times New Roman" w:cs="Times New Roman"/>
          <w:bCs/>
          <w:sz w:val="24"/>
          <w:szCs w:val="24"/>
        </w:rPr>
        <w:t>base case</w:t>
      </w:r>
      <w:r w:rsidR="003A4E75" w:rsidRPr="00D65A3B">
        <w:rPr>
          <w:rFonts w:ascii="Times New Roman" w:hAnsi="Times New Roman" w:cs="Times New Roman"/>
          <w:bCs/>
          <w:sz w:val="24"/>
          <w:szCs w:val="24"/>
        </w:rPr>
        <w:t xml:space="preserve"> forecast or </w:t>
      </w:r>
      <w:r w:rsidR="006A4F9C">
        <w:rPr>
          <w:rFonts w:ascii="Times New Roman" w:hAnsi="Times New Roman" w:cs="Times New Roman"/>
          <w:bCs/>
          <w:sz w:val="24"/>
          <w:szCs w:val="24"/>
        </w:rPr>
        <w:t xml:space="preserve">from </w:t>
      </w:r>
      <w:r w:rsidR="003A4E75" w:rsidRPr="00D65A3B">
        <w:rPr>
          <w:rFonts w:ascii="Times New Roman" w:hAnsi="Times New Roman" w:cs="Times New Roman"/>
          <w:bCs/>
          <w:sz w:val="24"/>
          <w:szCs w:val="24"/>
        </w:rPr>
        <w:t xml:space="preserve">the expansion of existing programs beyond levels reflected in the </w:t>
      </w:r>
      <w:r w:rsidR="003A4E75">
        <w:rPr>
          <w:rFonts w:ascii="Times New Roman" w:hAnsi="Times New Roman" w:cs="Times New Roman"/>
          <w:bCs/>
          <w:sz w:val="24"/>
          <w:szCs w:val="24"/>
        </w:rPr>
        <w:t>base case</w:t>
      </w:r>
      <w:r w:rsidR="003A4E75" w:rsidRPr="00D65A3B">
        <w:rPr>
          <w:rFonts w:ascii="Times New Roman" w:hAnsi="Times New Roman" w:cs="Times New Roman"/>
          <w:bCs/>
          <w:sz w:val="24"/>
          <w:szCs w:val="24"/>
        </w:rPr>
        <w:t xml:space="preserve"> forecast</w:t>
      </w:r>
      <w:r w:rsidR="003A4E75">
        <w:rPr>
          <w:rFonts w:ascii="Times New Roman" w:hAnsi="Times New Roman" w:cs="Times New Roman"/>
          <w:bCs/>
          <w:sz w:val="24"/>
          <w:szCs w:val="24"/>
        </w:rPr>
        <w:t xml:space="preserve">. </w:t>
      </w:r>
      <w:r w:rsidR="003A4E75" w:rsidRPr="00D65A3B">
        <w:rPr>
          <w:rFonts w:ascii="Times New Roman" w:eastAsia="Times New Roman" w:hAnsi="Times New Roman" w:cs="Times New Roman"/>
          <w:color w:val="000000"/>
          <w:sz w:val="24"/>
          <w:szCs w:val="24"/>
        </w:rPr>
        <w:t xml:space="preserve">A </w:t>
      </w:r>
      <w:r w:rsidR="003A4E75" w:rsidRPr="00447C0B">
        <w:rPr>
          <w:rFonts w:ascii="Times New Roman" w:eastAsia="Times New Roman" w:hAnsi="Times New Roman" w:cs="Times New Roman"/>
          <w:color w:val="000000"/>
          <w:sz w:val="24"/>
          <w:szCs w:val="24"/>
        </w:rPr>
        <w:t xml:space="preserve">state must </w:t>
      </w:r>
      <w:r w:rsidR="003A4E75">
        <w:rPr>
          <w:rFonts w:ascii="Times New Roman" w:eastAsia="Times New Roman" w:hAnsi="Times New Roman" w:cs="Times New Roman"/>
          <w:color w:val="000000"/>
          <w:sz w:val="24"/>
          <w:szCs w:val="24"/>
        </w:rPr>
        <w:t>use</w:t>
      </w:r>
      <w:r w:rsidR="003A4E75" w:rsidRPr="00447C0B">
        <w:rPr>
          <w:rFonts w:ascii="Times New Roman" w:eastAsia="Times New Roman" w:hAnsi="Times New Roman" w:cs="Times New Roman"/>
          <w:color w:val="000000"/>
          <w:sz w:val="24"/>
          <w:szCs w:val="24"/>
        </w:rPr>
        <w:t xml:space="preserve"> the following general equations to quantify the </w:t>
      </w:r>
      <w:r w:rsidR="003A4E75">
        <w:rPr>
          <w:rFonts w:ascii="Times New Roman" w:eastAsia="Times New Roman" w:hAnsi="Times New Roman" w:cs="Times New Roman"/>
          <w:color w:val="000000"/>
          <w:sz w:val="24"/>
          <w:szCs w:val="24"/>
        </w:rPr>
        <w:t xml:space="preserve">expected </w:t>
      </w:r>
      <w:r w:rsidR="003A4E75" w:rsidRPr="00447C0B">
        <w:rPr>
          <w:rFonts w:ascii="Times New Roman" w:eastAsia="Times New Roman" w:hAnsi="Times New Roman" w:cs="Times New Roman"/>
          <w:color w:val="000000"/>
          <w:sz w:val="24"/>
          <w:szCs w:val="24"/>
        </w:rPr>
        <w:t xml:space="preserve">incremental impacts of </w:t>
      </w:r>
      <w:r w:rsidR="002D3924">
        <w:rPr>
          <w:rFonts w:ascii="Times New Roman" w:eastAsia="Times New Roman" w:hAnsi="Times New Roman" w:cs="Times New Roman"/>
          <w:color w:val="000000"/>
          <w:sz w:val="24"/>
          <w:szCs w:val="24"/>
        </w:rPr>
        <w:t>RE and demand-side EE</w:t>
      </w:r>
      <w:r w:rsidR="003A4E75" w:rsidRPr="00447C0B">
        <w:rPr>
          <w:rFonts w:ascii="Times New Roman" w:eastAsia="Times New Roman" w:hAnsi="Times New Roman" w:cs="Times New Roman"/>
          <w:color w:val="000000"/>
          <w:sz w:val="24"/>
          <w:szCs w:val="24"/>
        </w:rPr>
        <w:t xml:space="preserve"> during the </w:t>
      </w:r>
      <w:r w:rsidR="003A4E75">
        <w:rPr>
          <w:rFonts w:ascii="Times New Roman" w:eastAsia="Times New Roman" w:hAnsi="Times New Roman" w:cs="Times New Roman"/>
          <w:color w:val="000000"/>
          <w:sz w:val="24"/>
          <w:szCs w:val="24"/>
        </w:rPr>
        <w:t xml:space="preserve">future interim and final </w:t>
      </w:r>
      <w:r w:rsidR="006A4F9C">
        <w:rPr>
          <w:rFonts w:ascii="Times New Roman" w:eastAsia="Times New Roman" w:hAnsi="Times New Roman" w:cs="Times New Roman"/>
          <w:color w:val="000000"/>
          <w:sz w:val="24"/>
          <w:szCs w:val="24"/>
        </w:rPr>
        <w:t xml:space="preserve">performance </w:t>
      </w:r>
      <w:r w:rsidR="003A4E75">
        <w:rPr>
          <w:rFonts w:ascii="Times New Roman" w:eastAsia="Times New Roman" w:hAnsi="Times New Roman" w:cs="Times New Roman"/>
          <w:color w:val="000000"/>
          <w:sz w:val="24"/>
          <w:szCs w:val="24"/>
        </w:rPr>
        <w:t>periods</w:t>
      </w:r>
      <w:r w:rsidR="001D4104" w:rsidRPr="00447C0B">
        <w:rPr>
          <w:rFonts w:ascii="Times New Roman" w:eastAsia="Times New Roman" w:hAnsi="Times New Roman" w:cs="Times New Roman"/>
          <w:color w:val="000000"/>
          <w:sz w:val="24"/>
          <w:szCs w:val="24"/>
        </w:rPr>
        <w:t>.</w:t>
      </w:r>
      <w:r w:rsidR="00E96751">
        <w:rPr>
          <w:rStyle w:val="FootnoteReference"/>
          <w:rFonts w:ascii="Times New Roman" w:eastAsia="Times New Roman" w:hAnsi="Times New Roman" w:cs="Times New Roman"/>
          <w:color w:val="000000"/>
          <w:sz w:val="24"/>
          <w:szCs w:val="24"/>
        </w:rPr>
        <w:footnoteReference w:id="11"/>
      </w:r>
    </w:p>
    <w:p w14:paraId="43679D52" w14:textId="77777777" w:rsidR="0066701A" w:rsidRPr="00D65A3B" w:rsidRDefault="0066701A" w:rsidP="0066701A">
      <w:pPr>
        <w:spacing w:line="360" w:lineRule="auto"/>
        <w:ind w:firstLine="360"/>
        <w:rPr>
          <w:rFonts w:ascii="Times New Roman" w:eastAsia="Times New Roman" w:hAnsi="Times New Roman" w:cs="Times New Roman"/>
          <w:color w:val="000000"/>
          <w:sz w:val="24"/>
          <w:szCs w:val="24"/>
        </w:rPr>
      </w:pPr>
      <w:r w:rsidRPr="00D65A3B">
        <w:rPr>
          <w:rFonts w:ascii="Times New Roman" w:eastAsia="Times New Roman" w:hAnsi="Times New Roman" w:cs="Times New Roman"/>
          <w:color w:val="000000"/>
          <w:sz w:val="24"/>
          <w:szCs w:val="24"/>
        </w:rPr>
        <w:t>Energy Efficiency:</w:t>
      </w:r>
    </w:p>
    <w:p w14:paraId="790B2F53" w14:textId="6D3E6BC8" w:rsidR="0066701A" w:rsidRPr="00D65A3B" w:rsidRDefault="00D54039" w:rsidP="0066701A">
      <w:pPr>
        <w:pStyle w:val="ListParagraph"/>
        <w:numPr>
          <w:ilvl w:val="0"/>
          <w:numId w:val="19"/>
        </w:numPr>
        <w:spacing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rPr>
        <w:t>(Incremental first-</w:t>
      </w:r>
      <w:r w:rsidR="0066701A" w:rsidRPr="00D65A3B">
        <w:rPr>
          <w:rFonts w:ascii="Times New Roman" w:eastAsia="Times New Roman" w:hAnsi="Times New Roman" w:cs="Times New Roman"/>
          <w:color w:val="000000"/>
          <w:sz w:val="24"/>
          <w:szCs w:val="24"/>
        </w:rPr>
        <w:t xml:space="preserve">year annual </w:t>
      </w:r>
      <w:r w:rsidR="0094196C">
        <w:rPr>
          <w:rFonts w:ascii="Times New Roman" w:eastAsia="Times New Roman" w:hAnsi="Times New Roman" w:cs="Times New Roman"/>
          <w:color w:val="000000"/>
          <w:sz w:val="24"/>
          <w:szCs w:val="24"/>
        </w:rPr>
        <w:t>plus</w:t>
      </w:r>
      <w:r w:rsidR="0094196C" w:rsidRPr="00D65A3B">
        <w:rPr>
          <w:rFonts w:ascii="Times New Roman" w:eastAsia="Times New Roman" w:hAnsi="Times New Roman" w:cs="Times New Roman"/>
          <w:color w:val="000000"/>
          <w:sz w:val="24"/>
          <w:szCs w:val="24"/>
        </w:rPr>
        <w:t xml:space="preserve"> </w:t>
      </w:r>
      <w:r w:rsidR="0066701A" w:rsidRPr="00D65A3B">
        <w:rPr>
          <w:rFonts w:ascii="Times New Roman" w:eastAsia="Times New Roman" w:hAnsi="Times New Roman" w:cs="Times New Roman"/>
          <w:color w:val="000000"/>
          <w:sz w:val="24"/>
          <w:szCs w:val="24"/>
        </w:rPr>
        <w:t>cumulative savings of EE program</w:t>
      </w:r>
      <w:r w:rsidR="00311B87">
        <w:rPr>
          <w:rStyle w:val="FootnoteReference"/>
          <w:rFonts w:ascii="Times New Roman" w:eastAsia="Times New Roman" w:hAnsi="Times New Roman" w:cs="Times New Roman"/>
          <w:color w:val="000000"/>
          <w:sz w:val="24"/>
          <w:szCs w:val="24"/>
        </w:rPr>
        <w:footnoteReference w:id="12"/>
      </w:r>
      <w:r w:rsidR="0066701A" w:rsidRPr="00D65A3B">
        <w:rPr>
          <w:rFonts w:ascii="Times New Roman" w:eastAsia="Times New Roman" w:hAnsi="Times New Roman" w:cs="Times New Roman"/>
          <w:color w:val="000000"/>
          <w:sz w:val="24"/>
          <w:szCs w:val="24"/>
        </w:rPr>
        <w:t>) x (</w:t>
      </w:r>
      <w:r>
        <w:rPr>
          <w:rFonts w:ascii="Times New Roman" w:eastAsia="Times New Roman" w:hAnsi="Times New Roman" w:cs="Times New Roman"/>
          <w:color w:val="000000"/>
          <w:sz w:val="24"/>
          <w:szCs w:val="24"/>
        </w:rPr>
        <w:t>effective useful</w:t>
      </w:r>
      <w:r w:rsidR="0066701A" w:rsidRPr="00D65A3B">
        <w:rPr>
          <w:rFonts w:ascii="Times New Roman" w:eastAsia="Times New Roman" w:hAnsi="Times New Roman" w:cs="Times New Roman"/>
          <w:color w:val="000000"/>
          <w:sz w:val="24"/>
          <w:szCs w:val="24"/>
        </w:rPr>
        <w:t xml:space="preserve"> life) for each interim period and final period. Determine persistent level of savings for final period and beyond.</w:t>
      </w:r>
    </w:p>
    <w:p w14:paraId="3D236981" w14:textId="77777777" w:rsidR="0066701A" w:rsidRPr="00D65A3B" w:rsidRDefault="0066701A" w:rsidP="0066701A">
      <w:pPr>
        <w:autoSpaceDE w:val="0"/>
        <w:autoSpaceDN w:val="0"/>
        <w:adjustRightInd w:val="0"/>
        <w:spacing w:before="120" w:after="120" w:line="360" w:lineRule="auto"/>
        <w:ind w:firstLine="360"/>
        <w:rPr>
          <w:rFonts w:ascii="Times New Roman" w:hAnsi="Times New Roman" w:cs="Times New Roman"/>
          <w:color w:val="211D1E"/>
          <w:sz w:val="24"/>
          <w:szCs w:val="24"/>
        </w:rPr>
      </w:pPr>
      <w:r w:rsidRPr="00D65A3B">
        <w:rPr>
          <w:rFonts w:ascii="Times New Roman" w:hAnsi="Times New Roman" w:cs="Times New Roman"/>
          <w:color w:val="211D1E"/>
          <w:sz w:val="24"/>
          <w:szCs w:val="24"/>
        </w:rPr>
        <w:t xml:space="preserve">Renewable Energy: </w:t>
      </w:r>
    </w:p>
    <w:p w14:paraId="12935880" w14:textId="4FD11E52" w:rsidR="0066701A" w:rsidRPr="00D65A3B" w:rsidRDefault="0066701A" w:rsidP="0066701A">
      <w:pPr>
        <w:pStyle w:val="ListParagraph"/>
        <w:numPr>
          <w:ilvl w:val="0"/>
          <w:numId w:val="19"/>
        </w:numPr>
        <w:autoSpaceDE w:val="0"/>
        <w:autoSpaceDN w:val="0"/>
        <w:adjustRightInd w:val="0"/>
        <w:spacing w:before="120" w:after="120" w:line="360" w:lineRule="auto"/>
        <w:rPr>
          <w:rFonts w:ascii="Times New Roman" w:hAnsi="Times New Roman" w:cs="Times New Roman"/>
          <w:color w:val="211D1E"/>
          <w:sz w:val="24"/>
          <w:szCs w:val="24"/>
        </w:rPr>
      </w:pPr>
      <w:r w:rsidRPr="00D65A3B">
        <w:rPr>
          <w:rFonts w:ascii="Times New Roman" w:hAnsi="Times New Roman" w:cs="Times New Roman"/>
          <w:color w:val="211D1E"/>
          <w:sz w:val="24"/>
          <w:szCs w:val="24"/>
        </w:rPr>
        <w:t>(Incremental MW installed capacity) x (</w:t>
      </w:r>
      <w:r w:rsidRPr="00D65A3B">
        <w:rPr>
          <w:rFonts w:ascii="Times New Roman" w:hAnsi="Times New Roman" w:cs="Times New Roman"/>
          <w:sz w:val="24"/>
          <w:szCs w:val="24"/>
        </w:rPr>
        <w:t>location-</w:t>
      </w:r>
      <w:r w:rsidR="00D856B0">
        <w:rPr>
          <w:rStyle w:val="FootnoteReference"/>
          <w:rFonts w:ascii="Times New Roman" w:hAnsi="Times New Roman" w:cs="Times New Roman"/>
          <w:sz w:val="24"/>
          <w:szCs w:val="24"/>
        </w:rPr>
        <w:footnoteReference w:id="13"/>
      </w:r>
      <w:r w:rsidRPr="00D65A3B">
        <w:rPr>
          <w:rFonts w:ascii="Times New Roman" w:hAnsi="Times New Roman" w:cs="Times New Roman"/>
          <w:sz w:val="24"/>
          <w:szCs w:val="24"/>
        </w:rPr>
        <w:t xml:space="preserve"> and technology</w:t>
      </w:r>
      <w:r w:rsidR="00B2603F">
        <w:rPr>
          <w:rFonts w:ascii="Times New Roman" w:hAnsi="Times New Roman" w:cs="Times New Roman"/>
          <w:sz w:val="24"/>
          <w:szCs w:val="24"/>
        </w:rPr>
        <w:t>-</w:t>
      </w:r>
      <w:r w:rsidR="00B2603F" w:rsidRPr="00D65A3B">
        <w:rPr>
          <w:rFonts w:ascii="Times New Roman" w:hAnsi="Times New Roman" w:cs="Times New Roman"/>
          <w:sz w:val="24"/>
          <w:szCs w:val="24"/>
        </w:rPr>
        <w:t>specific</w:t>
      </w:r>
      <w:r w:rsidRPr="00D65A3B">
        <w:rPr>
          <w:rFonts w:ascii="Times New Roman" w:hAnsi="Times New Roman" w:cs="Times New Roman"/>
          <w:sz w:val="24"/>
          <w:szCs w:val="24"/>
        </w:rPr>
        <w:t xml:space="preserve"> capacity factors)</w:t>
      </w:r>
      <w:r>
        <w:rPr>
          <w:rFonts w:ascii="Times New Roman" w:hAnsi="Times New Roman" w:cs="Times New Roman"/>
          <w:sz w:val="24"/>
          <w:szCs w:val="24"/>
        </w:rPr>
        <w:t xml:space="preserve"> </w:t>
      </w:r>
      <w:r w:rsidR="00B76473">
        <w:rPr>
          <w:rFonts w:ascii="Times New Roman" w:hAnsi="Times New Roman" w:cs="Times New Roman"/>
          <w:sz w:val="24"/>
          <w:szCs w:val="24"/>
        </w:rPr>
        <w:t>x (8760 hours)</w:t>
      </w:r>
      <w:r w:rsidRPr="00D65A3B">
        <w:rPr>
          <w:rFonts w:ascii="Times New Roman" w:eastAsia="Times New Roman" w:hAnsi="Times New Roman" w:cs="Times New Roman"/>
          <w:color w:val="000000"/>
          <w:sz w:val="24"/>
          <w:szCs w:val="24"/>
        </w:rPr>
        <w:t xml:space="preserve"> for each interim period and final period. Determine persistent level of renewable energy generation for final period and beyond.</w:t>
      </w:r>
    </w:p>
    <w:p w14:paraId="15EAD9D0" w14:textId="7C5C9F3A" w:rsidR="00317AF4" w:rsidRPr="001C370A" w:rsidRDefault="00DE3EE4" w:rsidP="00CE6329">
      <w:pPr>
        <w:autoSpaceDE w:val="0"/>
        <w:autoSpaceDN w:val="0"/>
        <w:adjustRightInd w:val="0"/>
        <w:spacing w:before="120" w:after="120" w:line="360" w:lineRule="auto"/>
        <w:ind w:firstLine="360"/>
        <w:rPr>
          <w:sz w:val="24"/>
          <w:szCs w:val="24"/>
        </w:rPr>
      </w:pPr>
      <w:r w:rsidRPr="001C370A">
        <w:rPr>
          <w:rFonts w:ascii="Times New Roman" w:eastAsia="Times New Roman" w:hAnsi="Times New Roman" w:cs="Times New Roman"/>
          <w:color w:val="211D1E"/>
          <w:sz w:val="24"/>
          <w:szCs w:val="24"/>
        </w:rPr>
        <w:t xml:space="preserve">Several tools and methods are available to help states estimate the potential direct energy impacts of </w:t>
      </w:r>
      <w:r w:rsidR="002D3924">
        <w:rPr>
          <w:rFonts w:ascii="Times New Roman" w:eastAsia="Times New Roman" w:hAnsi="Times New Roman" w:cs="Times New Roman"/>
          <w:color w:val="211D1E"/>
          <w:sz w:val="24"/>
          <w:szCs w:val="24"/>
        </w:rPr>
        <w:t>RE and demand-side EE</w:t>
      </w:r>
      <w:r w:rsidRPr="001C370A">
        <w:rPr>
          <w:rFonts w:ascii="Times New Roman" w:eastAsia="Times New Roman" w:hAnsi="Times New Roman" w:cs="Times New Roman"/>
          <w:color w:val="211D1E"/>
          <w:sz w:val="24"/>
          <w:szCs w:val="24"/>
        </w:rPr>
        <w:t xml:space="preserve"> that will be used to adjus</w:t>
      </w:r>
      <w:r w:rsidR="00C23ABE" w:rsidRPr="001C370A">
        <w:rPr>
          <w:rFonts w:ascii="Times New Roman" w:eastAsia="Times New Roman" w:hAnsi="Times New Roman" w:cs="Times New Roman"/>
          <w:color w:val="211D1E"/>
          <w:sz w:val="24"/>
          <w:szCs w:val="24"/>
        </w:rPr>
        <w:t xml:space="preserve">t a state’s electricity demand </w:t>
      </w:r>
      <w:r w:rsidRPr="001C370A">
        <w:rPr>
          <w:rFonts w:ascii="Times New Roman" w:eastAsia="Times New Roman" w:hAnsi="Times New Roman" w:cs="Times New Roman"/>
          <w:color w:val="211D1E"/>
          <w:sz w:val="24"/>
          <w:szCs w:val="24"/>
        </w:rPr>
        <w:t xml:space="preserve">and supply forecast. States can base their electricity savings projections on past evaluation, measurement and verification (EM&amp;V) reports </w:t>
      </w:r>
      <w:r w:rsidR="001C302A" w:rsidRPr="001C370A">
        <w:rPr>
          <w:rFonts w:ascii="Times New Roman" w:eastAsia="Times New Roman" w:hAnsi="Times New Roman" w:cs="Times New Roman"/>
          <w:color w:val="211D1E"/>
          <w:sz w:val="24"/>
          <w:szCs w:val="24"/>
        </w:rPr>
        <w:t xml:space="preserve">that </w:t>
      </w:r>
      <w:r w:rsidRPr="001C370A">
        <w:rPr>
          <w:rFonts w:ascii="Times New Roman" w:eastAsia="Times New Roman" w:hAnsi="Times New Roman" w:cs="Times New Roman"/>
          <w:color w:val="211D1E"/>
          <w:sz w:val="24"/>
          <w:szCs w:val="24"/>
        </w:rPr>
        <w:t xml:space="preserve">document impacts of similar projects or programs </w:t>
      </w:r>
      <w:r w:rsidR="001C302A" w:rsidRPr="001C370A">
        <w:rPr>
          <w:rFonts w:ascii="Times New Roman" w:eastAsia="Times New Roman" w:hAnsi="Times New Roman" w:cs="Times New Roman"/>
          <w:color w:val="211D1E"/>
          <w:sz w:val="24"/>
          <w:szCs w:val="24"/>
        </w:rPr>
        <w:t xml:space="preserve">and </w:t>
      </w:r>
      <w:r w:rsidRPr="001C370A">
        <w:rPr>
          <w:rFonts w:ascii="Times New Roman" w:eastAsia="Times New Roman" w:hAnsi="Times New Roman" w:cs="Times New Roman"/>
          <w:color w:val="211D1E"/>
          <w:sz w:val="24"/>
          <w:szCs w:val="24"/>
        </w:rPr>
        <w:t>that have been submitted to public service commissions</w:t>
      </w:r>
      <w:r w:rsidR="009671C0" w:rsidRPr="001C370A">
        <w:rPr>
          <w:rFonts w:ascii="Times New Roman" w:eastAsia="Times New Roman" w:hAnsi="Times New Roman" w:cs="Times New Roman"/>
          <w:color w:val="211D1E"/>
          <w:sz w:val="24"/>
          <w:szCs w:val="24"/>
        </w:rPr>
        <w:t xml:space="preserve"> or evaluated by third parties</w:t>
      </w:r>
      <w:r w:rsidR="00587E42">
        <w:rPr>
          <w:rFonts w:ascii="Times New Roman" w:eastAsia="Times New Roman" w:hAnsi="Times New Roman" w:cs="Times New Roman"/>
          <w:color w:val="211D1E"/>
          <w:sz w:val="24"/>
          <w:szCs w:val="24"/>
        </w:rPr>
        <w:t xml:space="preserve">. </w:t>
      </w:r>
      <w:r w:rsidRPr="001C370A">
        <w:rPr>
          <w:rFonts w:ascii="Times New Roman" w:eastAsia="Times New Roman" w:hAnsi="Times New Roman" w:cs="Times New Roman"/>
          <w:color w:val="211D1E"/>
          <w:sz w:val="24"/>
          <w:szCs w:val="24"/>
        </w:rPr>
        <w:t xml:space="preserve">States </w:t>
      </w:r>
      <w:r w:rsidR="001C302A" w:rsidRPr="001C370A">
        <w:rPr>
          <w:rFonts w:ascii="Times New Roman" w:eastAsia="Times New Roman" w:hAnsi="Times New Roman" w:cs="Times New Roman"/>
          <w:color w:val="211D1E"/>
          <w:sz w:val="24"/>
          <w:szCs w:val="24"/>
        </w:rPr>
        <w:t xml:space="preserve">also </w:t>
      </w:r>
      <w:r w:rsidRPr="001C370A">
        <w:rPr>
          <w:rFonts w:ascii="Times New Roman" w:eastAsia="Times New Roman" w:hAnsi="Times New Roman" w:cs="Times New Roman"/>
          <w:color w:val="211D1E"/>
          <w:sz w:val="24"/>
          <w:szCs w:val="24"/>
        </w:rPr>
        <w:t xml:space="preserve">can conduct their own surveys or studies to estimate the direct energy impacts </w:t>
      </w:r>
      <w:r w:rsidRPr="001C370A">
        <w:rPr>
          <w:rFonts w:ascii="Times New Roman" w:eastAsia="Times New Roman" w:hAnsi="Times New Roman" w:cs="Times New Roman"/>
          <w:color w:val="211D1E"/>
          <w:sz w:val="24"/>
          <w:szCs w:val="24"/>
        </w:rPr>
        <w:lastRenderedPageBreak/>
        <w:t xml:space="preserve">of </w:t>
      </w:r>
      <w:r w:rsidR="00D54039">
        <w:rPr>
          <w:rFonts w:ascii="Times New Roman" w:eastAsia="Times New Roman" w:hAnsi="Times New Roman" w:cs="Times New Roman"/>
          <w:color w:val="211D1E"/>
          <w:sz w:val="24"/>
          <w:szCs w:val="24"/>
        </w:rPr>
        <w:t>EE</w:t>
      </w:r>
      <w:r w:rsidRPr="001C370A">
        <w:rPr>
          <w:rFonts w:ascii="Times New Roman" w:eastAsia="Times New Roman" w:hAnsi="Times New Roman" w:cs="Times New Roman"/>
          <w:color w:val="211D1E"/>
          <w:sz w:val="24"/>
          <w:szCs w:val="24"/>
        </w:rPr>
        <w:t xml:space="preserve"> policies and/or use sophisticated methods, such as building simulation tools, vintaging models, production costing</w:t>
      </w:r>
      <w:r w:rsidR="006A4BE7" w:rsidRPr="001C370A">
        <w:rPr>
          <w:rFonts w:ascii="Times New Roman" w:eastAsia="Times New Roman" w:hAnsi="Times New Roman" w:cs="Times New Roman"/>
          <w:color w:val="211D1E"/>
          <w:sz w:val="24"/>
          <w:szCs w:val="24"/>
        </w:rPr>
        <w:t>, and</w:t>
      </w:r>
      <w:r w:rsidRPr="001C370A">
        <w:rPr>
          <w:rFonts w:ascii="Times New Roman" w:eastAsia="Times New Roman" w:hAnsi="Times New Roman" w:cs="Times New Roman"/>
          <w:color w:val="211D1E"/>
          <w:sz w:val="24"/>
          <w:szCs w:val="24"/>
        </w:rPr>
        <w:t xml:space="preserve"> cost-of-energy analysis models.</w:t>
      </w:r>
      <w:r w:rsidRPr="001C370A">
        <w:rPr>
          <w:rFonts w:ascii="Times New Roman" w:hAnsi="Times New Roman" w:cs="Times New Roman"/>
          <w:color w:val="211D1E"/>
          <w:sz w:val="24"/>
          <w:szCs w:val="24"/>
          <w:vertAlign w:val="superscript"/>
        </w:rPr>
        <w:footnoteReference w:id="14"/>
      </w:r>
      <w:r w:rsidRPr="001C370A">
        <w:rPr>
          <w:rFonts w:ascii="Times New Roman" w:hAnsi="Times New Roman" w:cs="Times New Roman"/>
          <w:color w:val="211D1E"/>
          <w:sz w:val="24"/>
          <w:szCs w:val="24"/>
        </w:rPr>
        <w:t xml:space="preserve">  </w:t>
      </w:r>
      <w:r w:rsidR="00852199" w:rsidRPr="001C370A">
        <w:rPr>
          <w:rFonts w:ascii="Times New Roman" w:eastAsia="Times New Roman" w:hAnsi="Times New Roman" w:cs="Times New Roman"/>
          <w:color w:val="000000"/>
          <w:sz w:val="24"/>
          <w:szCs w:val="24"/>
        </w:rPr>
        <w:t>Any methodology used must be EPA-approved, and each state is encouraged to consult with the EPA early during the plan development process about the tools and methods it intends to employ.</w:t>
      </w:r>
    </w:p>
    <w:p w14:paraId="7EA2545A" w14:textId="620979C1" w:rsidR="00CE6329" w:rsidRPr="00D65A3B" w:rsidRDefault="00CE6329" w:rsidP="00CE6329">
      <w:pPr>
        <w:autoSpaceDE w:val="0"/>
        <w:autoSpaceDN w:val="0"/>
        <w:adjustRightInd w:val="0"/>
        <w:spacing w:before="120" w:after="120" w:line="36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Assessing the potential </w:t>
      </w:r>
      <w:r w:rsidR="002D3924">
        <w:rPr>
          <w:rFonts w:ascii="Times New Roman" w:hAnsi="Times New Roman" w:cs="Times New Roman"/>
          <w:sz w:val="24"/>
          <w:szCs w:val="24"/>
        </w:rPr>
        <w:t>RE and demand-side EE</w:t>
      </w:r>
      <w:r w:rsidRPr="00D65A3B">
        <w:rPr>
          <w:rFonts w:ascii="Times New Roman" w:hAnsi="Times New Roman" w:cs="Times New Roman"/>
          <w:sz w:val="24"/>
          <w:szCs w:val="24"/>
        </w:rPr>
        <w:t xml:space="preserve"> </w:t>
      </w:r>
      <w:r w:rsidR="00D856B0">
        <w:rPr>
          <w:rFonts w:ascii="Times New Roman" w:hAnsi="Times New Roman" w:cs="Times New Roman"/>
          <w:sz w:val="24"/>
          <w:szCs w:val="24"/>
        </w:rPr>
        <w:t xml:space="preserve">impacts of measures, policies or </w:t>
      </w:r>
      <w:r w:rsidRPr="00D65A3B">
        <w:rPr>
          <w:rFonts w:ascii="Times New Roman" w:hAnsi="Times New Roman" w:cs="Times New Roman"/>
          <w:sz w:val="24"/>
          <w:szCs w:val="24"/>
        </w:rPr>
        <w:t xml:space="preserve">programs can involve bottom-up economic and/or engineering-based estimation techniques </w:t>
      </w:r>
      <w:r w:rsidR="00A443FC" w:rsidRPr="00D65A3B">
        <w:rPr>
          <w:rFonts w:ascii="Times New Roman" w:hAnsi="Times New Roman" w:cs="Times New Roman"/>
          <w:sz w:val="24"/>
          <w:szCs w:val="24"/>
        </w:rPr>
        <w:t xml:space="preserve">that are </w:t>
      </w:r>
      <w:r w:rsidRPr="00D65A3B">
        <w:rPr>
          <w:rFonts w:ascii="Times New Roman" w:hAnsi="Times New Roman" w:cs="Times New Roman"/>
          <w:sz w:val="24"/>
          <w:szCs w:val="24"/>
        </w:rPr>
        <w:t xml:space="preserve">based </w:t>
      </w:r>
      <w:r w:rsidR="00A443FC" w:rsidRPr="00D65A3B">
        <w:rPr>
          <w:rFonts w:ascii="Times New Roman" w:hAnsi="Times New Roman" w:cs="Times New Roman"/>
          <w:sz w:val="24"/>
          <w:szCs w:val="24"/>
        </w:rPr>
        <w:t>up</w:t>
      </w:r>
      <w:r w:rsidRPr="00D65A3B">
        <w:rPr>
          <w:rFonts w:ascii="Times New Roman" w:hAnsi="Times New Roman" w:cs="Times New Roman"/>
          <w:sz w:val="24"/>
          <w:szCs w:val="24"/>
        </w:rPr>
        <w:t>on a representation of the fundamentals of the technology and economic behavior. These bottom-up approaches estimate potential energy savings at a very detailed level and roll these estimates up to the statewide level</w:t>
      </w:r>
      <w:r w:rsidR="00587E42">
        <w:rPr>
          <w:rFonts w:ascii="Times New Roman" w:hAnsi="Times New Roman" w:cs="Times New Roman"/>
          <w:sz w:val="24"/>
          <w:szCs w:val="24"/>
        </w:rPr>
        <w:t xml:space="preserve">. </w:t>
      </w:r>
      <w:r w:rsidRPr="00D65A3B">
        <w:rPr>
          <w:rFonts w:ascii="Times New Roman" w:hAnsi="Times New Roman" w:cs="Times New Roman"/>
          <w:sz w:val="24"/>
          <w:szCs w:val="24"/>
        </w:rPr>
        <w:t xml:space="preserve">Alternatively, the potential impacts of </w:t>
      </w:r>
      <w:r w:rsidR="002D3924">
        <w:rPr>
          <w:rFonts w:ascii="Times New Roman" w:hAnsi="Times New Roman" w:cs="Times New Roman"/>
          <w:sz w:val="24"/>
          <w:szCs w:val="24"/>
        </w:rPr>
        <w:t>RE and demand-side EE</w:t>
      </w:r>
      <w:r w:rsidR="00A443FC" w:rsidRPr="00D65A3B">
        <w:rPr>
          <w:rFonts w:ascii="Times New Roman" w:hAnsi="Times New Roman" w:cs="Times New Roman"/>
          <w:sz w:val="24"/>
          <w:szCs w:val="24"/>
        </w:rPr>
        <w:t xml:space="preserve"> </w:t>
      </w:r>
      <w:r w:rsidRPr="00D65A3B">
        <w:rPr>
          <w:rFonts w:ascii="Times New Roman" w:hAnsi="Times New Roman" w:cs="Times New Roman"/>
          <w:sz w:val="24"/>
          <w:szCs w:val="24"/>
        </w:rPr>
        <w:t xml:space="preserve">can be quantified based </w:t>
      </w:r>
      <w:r w:rsidR="006573B9">
        <w:rPr>
          <w:rFonts w:ascii="Times New Roman" w:hAnsi="Times New Roman" w:cs="Times New Roman"/>
          <w:sz w:val="24"/>
          <w:szCs w:val="24"/>
        </w:rPr>
        <w:t>up</w:t>
      </w:r>
      <w:r w:rsidRPr="00D65A3B">
        <w:rPr>
          <w:rFonts w:ascii="Times New Roman" w:hAnsi="Times New Roman" w:cs="Times New Roman"/>
          <w:sz w:val="24"/>
          <w:szCs w:val="24"/>
        </w:rPr>
        <w:t xml:space="preserve">on the design and requirements </w:t>
      </w:r>
      <w:r w:rsidR="00D856B0">
        <w:rPr>
          <w:rFonts w:ascii="Times New Roman" w:hAnsi="Times New Roman" w:cs="Times New Roman"/>
          <w:sz w:val="24"/>
          <w:szCs w:val="24"/>
        </w:rPr>
        <w:t xml:space="preserve">of state-level </w:t>
      </w:r>
      <w:r w:rsidR="00D856B0" w:rsidRPr="00D65A3B">
        <w:rPr>
          <w:rFonts w:ascii="Times New Roman" w:hAnsi="Times New Roman" w:cs="Times New Roman"/>
          <w:sz w:val="24"/>
          <w:szCs w:val="24"/>
        </w:rPr>
        <w:t xml:space="preserve">policies and regulations </w:t>
      </w:r>
      <w:r w:rsidRPr="00D65A3B">
        <w:rPr>
          <w:rFonts w:ascii="Times New Roman" w:hAnsi="Times New Roman" w:cs="Times New Roman"/>
          <w:sz w:val="24"/>
          <w:szCs w:val="24"/>
        </w:rPr>
        <w:t>specified over a future time</w:t>
      </w:r>
      <w:r w:rsidR="009D5B08">
        <w:rPr>
          <w:rFonts w:ascii="Times New Roman" w:hAnsi="Times New Roman" w:cs="Times New Roman"/>
          <w:sz w:val="24"/>
          <w:szCs w:val="24"/>
        </w:rPr>
        <w:t xml:space="preserve"> </w:t>
      </w:r>
      <w:r w:rsidRPr="00D65A3B">
        <w:rPr>
          <w:rFonts w:ascii="Times New Roman" w:hAnsi="Times New Roman" w:cs="Times New Roman"/>
          <w:sz w:val="24"/>
          <w:szCs w:val="24"/>
        </w:rPr>
        <w:t xml:space="preserve">frame. The next two sections describe how </w:t>
      </w:r>
      <w:r w:rsidR="00A443FC" w:rsidRPr="00D65A3B">
        <w:rPr>
          <w:rFonts w:ascii="Times New Roman" w:hAnsi="Times New Roman" w:cs="Times New Roman"/>
          <w:sz w:val="24"/>
          <w:szCs w:val="24"/>
        </w:rPr>
        <w:t>a state plan CO</w:t>
      </w:r>
      <w:r w:rsidR="00A443FC" w:rsidRPr="00D65A3B">
        <w:rPr>
          <w:rFonts w:ascii="Times New Roman" w:hAnsi="Times New Roman" w:cs="Times New Roman"/>
          <w:sz w:val="24"/>
          <w:szCs w:val="24"/>
          <w:vertAlign w:val="subscript"/>
        </w:rPr>
        <w:t>2</w:t>
      </w:r>
      <w:r w:rsidR="00A443FC" w:rsidRPr="00D65A3B">
        <w:rPr>
          <w:rFonts w:ascii="Times New Roman" w:hAnsi="Times New Roman" w:cs="Times New Roman"/>
          <w:sz w:val="24"/>
          <w:szCs w:val="24"/>
        </w:rPr>
        <w:t xml:space="preserve"> performance projection </w:t>
      </w:r>
      <w:r w:rsidRPr="00D65A3B">
        <w:rPr>
          <w:rFonts w:ascii="Times New Roman" w:hAnsi="Times New Roman" w:cs="Times New Roman"/>
          <w:sz w:val="24"/>
          <w:szCs w:val="24"/>
        </w:rPr>
        <w:t xml:space="preserve">would calculate the </w:t>
      </w:r>
      <w:r w:rsidR="00A443FC" w:rsidRPr="00D65A3B">
        <w:rPr>
          <w:rFonts w:ascii="Times New Roman" w:hAnsi="Times New Roman" w:cs="Times New Roman"/>
          <w:sz w:val="24"/>
          <w:szCs w:val="24"/>
        </w:rPr>
        <w:t>generation</w:t>
      </w:r>
      <w:r w:rsidRPr="00D65A3B">
        <w:rPr>
          <w:rFonts w:ascii="Times New Roman" w:hAnsi="Times New Roman" w:cs="Times New Roman"/>
          <w:sz w:val="24"/>
          <w:szCs w:val="24"/>
        </w:rPr>
        <w:t xml:space="preserve"> impacts of</w:t>
      </w:r>
      <w:r w:rsidR="006A4BE7">
        <w:rPr>
          <w:rFonts w:ascii="Times New Roman" w:hAnsi="Times New Roman" w:cs="Times New Roman"/>
          <w:sz w:val="24"/>
          <w:szCs w:val="24"/>
        </w:rPr>
        <w:t xml:space="preserve"> two</w:t>
      </w:r>
      <w:r w:rsidRPr="00D65A3B">
        <w:rPr>
          <w:rFonts w:ascii="Times New Roman" w:hAnsi="Times New Roman" w:cs="Times New Roman"/>
          <w:sz w:val="24"/>
          <w:szCs w:val="24"/>
        </w:rPr>
        <w:t xml:space="preserve"> common state policies</w:t>
      </w:r>
      <w:r w:rsidR="006A4BE7">
        <w:rPr>
          <w:rFonts w:ascii="Times New Roman" w:hAnsi="Times New Roman" w:cs="Times New Roman"/>
          <w:sz w:val="24"/>
          <w:szCs w:val="24"/>
        </w:rPr>
        <w:t>: energy efficiency resource standards and renewable portfolio standards.</w:t>
      </w:r>
      <w:r w:rsidRPr="00D65A3B">
        <w:rPr>
          <w:rFonts w:ascii="Times New Roman" w:hAnsi="Times New Roman" w:cs="Times New Roman"/>
          <w:sz w:val="24"/>
          <w:szCs w:val="24"/>
        </w:rPr>
        <w:t xml:space="preserve"> </w:t>
      </w:r>
    </w:p>
    <w:p w14:paraId="33AF2B75" w14:textId="029942F6" w:rsidR="00DE3EE4" w:rsidRPr="006D4139" w:rsidRDefault="00CA2FE5" w:rsidP="006D4139">
      <w:pPr>
        <w:pStyle w:val="Heading2"/>
        <w:numPr>
          <w:ilvl w:val="0"/>
          <w:numId w:val="22"/>
        </w:numPr>
        <w:spacing w:after="240"/>
        <w:rPr>
          <w:rFonts w:ascii="Times New Roman" w:hAnsi="Times New Roman" w:cs="Times New Roman"/>
          <w:b/>
        </w:rPr>
      </w:pPr>
      <w:r w:rsidRPr="006D4139">
        <w:rPr>
          <w:rFonts w:ascii="Times New Roman" w:hAnsi="Times New Roman" w:cs="Times New Roman"/>
          <w:b/>
          <w:color w:val="auto"/>
        </w:rPr>
        <w:t xml:space="preserve">Projecting Energy Savings from </w:t>
      </w:r>
      <w:r w:rsidR="00DE3EE4" w:rsidRPr="006D4139">
        <w:rPr>
          <w:rFonts w:ascii="Times New Roman" w:hAnsi="Times New Roman" w:cs="Times New Roman"/>
          <w:b/>
          <w:color w:val="auto"/>
        </w:rPr>
        <w:t>Energy Efficiency Resource Standards</w:t>
      </w:r>
    </w:p>
    <w:p w14:paraId="7270703A" w14:textId="4A560BA4" w:rsidR="00DE3EE4" w:rsidRPr="00D65A3B" w:rsidRDefault="00DE3EE4" w:rsidP="00CA2FE5">
      <w:pPr>
        <w:spacing w:line="36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Many states have adopted an </w:t>
      </w:r>
      <w:r w:rsidR="00551A86">
        <w:rPr>
          <w:rFonts w:ascii="Times New Roman" w:hAnsi="Times New Roman" w:cs="Times New Roman"/>
          <w:sz w:val="24"/>
          <w:szCs w:val="24"/>
        </w:rPr>
        <w:t>EERS</w:t>
      </w:r>
      <w:r w:rsidR="00963BC8" w:rsidRPr="00D65A3B">
        <w:rPr>
          <w:rFonts w:ascii="Times New Roman" w:hAnsi="Times New Roman" w:cs="Times New Roman"/>
          <w:sz w:val="24"/>
          <w:szCs w:val="24"/>
        </w:rPr>
        <w:t>,</w:t>
      </w:r>
      <w:r w:rsidRPr="00D65A3B">
        <w:rPr>
          <w:rFonts w:ascii="Times New Roman" w:hAnsi="Times New Roman" w:cs="Times New Roman"/>
          <w:sz w:val="24"/>
          <w:szCs w:val="24"/>
        </w:rPr>
        <w:t xml:space="preserve"> which is a policy that sets targets for energy savings over a specified time</w:t>
      </w:r>
      <w:r w:rsidR="009D5B08">
        <w:rPr>
          <w:rFonts w:ascii="Times New Roman" w:hAnsi="Times New Roman" w:cs="Times New Roman"/>
          <w:sz w:val="24"/>
          <w:szCs w:val="24"/>
        </w:rPr>
        <w:t xml:space="preserve"> </w:t>
      </w:r>
      <w:r w:rsidRPr="00D65A3B">
        <w:rPr>
          <w:rFonts w:ascii="Times New Roman" w:hAnsi="Times New Roman" w:cs="Times New Roman"/>
          <w:sz w:val="24"/>
          <w:szCs w:val="24"/>
        </w:rPr>
        <w:t xml:space="preserve">frame from </w:t>
      </w:r>
      <w:r w:rsidR="00071912">
        <w:rPr>
          <w:rFonts w:ascii="Times New Roman" w:hAnsi="Times New Roman" w:cs="Times New Roman"/>
          <w:sz w:val="24"/>
          <w:szCs w:val="24"/>
        </w:rPr>
        <w:t>demand-side</w:t>
      </w:r>
      <w:r w:rsidRPr="00D65A3B">
        <w:rPr>
          <w:rFonts w:ascii="Times New Roman" w:hAnsi="Times New Roman" w:cs="Times New Roman"/>
          <w:sz w:val="24"/>
          <w:szCs w:val="24"/>
        </w:rPr>
        <w:t xml:space="preserve"> EE programs operated by utilities or other program administrators</w:t>
      </w:r>
      <w:r w:rsidR="00587E42">
        <w:rPr>
          <w:rFonts w:ascii="Times New Roman" w:hAnsi="Times New Roman" w:cs="Times New Roman"/>
          <w:sz w:val="24"/>
          <w:szCs w:val="24"/>
        </w:rPr>
        <w:t xml:space="preserve">. </w:t>
      </w:r>
      <w:r w:rsidRPr="00D65A3B">
        <w:rPr>
          <w:rFonts w:ascii="Times New Roman" w:hAnsi="Times New Roman" w:cs="Times New Roman"/>
          <w:sz w:val="24"/>
          <w:szCs w:val="24"/>
        </w:rPr>
        <w:t>States typically specify annual first-year or cumulative targets as percentages of electricity sales or as absolute energy savings</w:t>
      </w:r>
      <w:r w:rsidR="00587E42">
        <w:rPr>
          <w:rFonts w:ascii="Times New Roman" w:hAnsi="Times New Roman" w:cs="Times New Roman"/>
          <w:sz w:val="24"/>
          <w:szCs w:val="24"/>
        </w:rPr>
        <w:t xml:space="preserve">. </w:t>
      </w:r>
      <w:r w:rsidR="00071912">
        <w:rPr>
          <w:rFonts w:ascii="Times New Roman" w:hAnsi="Times New Roman" w:cs="Times New Roman"/>
          <w:sz w:val="24"/>
          <w:szCs w:val="24"/>
        </w:rPr>
        <w:t>States</w:t>
      </w:r>
      <w:r w:rsidRPr="00D65A3B">
        <w:rPr>
          <w:rFonts w:ascii="Times New Roman" w:hAnsi="Times New Roman" w:cs="Times New Roman"/>
          <w:sz w:val="24"/>
          <w:szCs w:val="24"/>
        </w:rPr>
        <w:t xml:space="preserve"> use different</w:t>
      </w:r>
      <w:r w:rsidR="00071912">
        <w:rPr>
          <w:rFonts w:ascii="Times New Roman" w:hAnsi="Times New Roman" w:cs="Times New Roman"/>
          <w:sz w:val="24"/>
          <w:szCs w:val="24"/>
        </w:rPr>
        <w:t xml:space="preserve"> bases for specifying EERS goals. S</w:t>
      </w:r>
      <w:r w:rsidRPr="00D65A3B">
        <w:rPr>
          <w:rFonts w:ascii="Times New Roman" w:hAnsi="Times New Roman" w:cs="Times New Roman"/>
          <w:sz w:val="24"/>
          <w:szCs w:val="24"/>
        </w:rPr>
        <w:t xml:space="preserve">ome specify goals based on </w:t>
      </w:r>
      <w:r w:rsidR="004C0398">
        <w:rPr>
          <w:rFonts w:ascii="Times New Roman" w:hAnsi="Times New Roman" w:cs="Times New Roman"/>
          <w:sz w:val="24"/>
          <w:szCs w:val="24"/>
        </w:rPr>
        <w:t xml:space="preserve">electricity </w:t>
      </w:r>
      <w:r w:rsidRPr="00D65A3B">
        <w:rPr>
          <w:rFonts w:ascii="Times New Roman" w:hAnsi="Times New Roman" w:cs="Times New Roman"/>
          <w:sz w:val="24"/>
          <w:szCs w:val="24"/>
        </w:rPr>
        <w:t xml:space="preserve">sales </w:t>
      </w:r>
      <w:r w:rsidR="00483D50">
        <w:rPr>
          <w:rFonts w:ascii="Times New Roman" w:hAnsi="Times New Roman" w:cs="Times New Roman"/>
          <w:sz w:val="24"/>
          <w:szCs w:val="24"/>
        </w:rPr>
        <w:t>(in MWhs)</w:t>
      </w:r>
      <w:r w:rsidRPr="00D65A3B">
        <w:rPr>
          <w:rFonts w:ascii="Times New Roman" w:hAnsi="Times New Roman" w:cs="Times New Roman"/>
          <w:sz w:val="24"/>
          <w:szCs w:val="24"/>
        </w:rPr>
        <w:t xml:space="preserve"> from investor-owned utilities, whil</w:t>
      </w:r>
      <w:r w:rsidR="00BD6C52">
        <w:rPr>
          <w:rFonts w:ascii="Times New Roman" w:hAnsi="Times New Roman" w:cs="Times New Roman"/>
          <w:sz w:val="24"/>
          <w:szCs w:val="24"/>
        </w:rPr>
        <w:t xml:space="preserve">e others have mandated energy savings </w:t>
      </w:r>
      <w:r w:rsidRPr="00D65A3B">
        <w:rPr>
          <w:rFonts w:ascii="Times New Roman" w:hAnsi="Times New Roman" w:cs="Times New Roman"/>
          <w:sz w:val="24"/>
          <w:szCs w:val="24"/>
        </w:rPr>
        <w:t xml:space="preserve">targets based on total </w:t>
      </w:r>
      <w:r w:rsidR="00483D50">
        <w:rPr>
          <w:rFonts w:ascii="Times New Roman" w:hAnsi="Times New Roman" w:cs="Times New Roman"/>
          <w:sz w:val="24"/>
          <w:szCs w:val="24"/>
        </w:rPr>
        <w:t>MWh</w:t>
      </w:r>
      <w:r w:rsidR="004C0398">
        <w:rPr>
          <w:rFonts w:ascii="Times New Roman" w:hAnsi="Times New Roman" w:cs="Times New Roman"/>
          <w:sz w:val="24"/>
          <w:szCs w:val="24"/>
        </w:rPr>
        <w:t xml:space="preserve"> </w:t>
      </w:r>
      <w:r w:rsidRPr="00D65A3B">
        <w:rPr>
          <w:rFonts w:ascii="Times New Roman" w:hAnsi="Times New Roman" w:cs="Times New Roman"/>
          <w:sz w:val="24"/>
          <w:szCs w:val="24"/>
        </w:rPr>
        <w:t xml:space="preserve">sales or a subset of total </w:t>
      </w:r>
      <w:r w:rsidR="00483D50">
        <w:rPr>
          <w:rFonts w:ascii="Times New Roman" w:hAnsi="Times New Roman" w:cs="Times New Roman"/>
          <w:sz w:val="24"/>
          <w:szCs w:val="24"/>
        </w:rPr>
        <w:t>MWh</w:t>
      </w:r>
      <w:r w:rsidR="004C0398">
        <w:rPr>
          <w:rFonts w:ascii="Times New Roman" w:hAnsi="Times New Roman" w:cs="Times New Roman"/>
          <w:sz w:val="24"/>
          <w:szCs w:val="24"/>
        </w:rPr>
        <w:t xml:space="preserve"> </w:t>
      </w:r>
      <w:r w:rsidRPr="00D65A3B">
        <w:rPr>
          <w:rFonts w:ascii="Times New Roman" w:hAnsi="Times New Roman" w:cs="Times New Roman"/>
          <w:sz w:val="24"/>
          <w:szCs w:val="24"/>
        </w:rPr>
        <w:t>sales.</w:t>
      </w:r>
      <w:r w:rsidR="001B01BE">
        <w:rPr>
          <w:rFonts w:ascii="Times New Roman" w:hAnsi="Times New Roman" w:cs="Times New Roman"/>
          <w:sz w:val="24"/>
          <w:szCs w:val="24"/>
        </w:rPr>
        <w:t xml:space="preserve"> </w:t>
      </w:r>
    </w:p>
    <w:p w14:paraId="5E8E51D6" w14:textId="028B9A01" w:rsidR="00DE3EE4" w:rsidRPr="00D65A3B" w:rsidRDefault="003A4E75" w:rsidP="00CA2FE5">
      <w:pPr>
        <w:spacing w:line="36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A state can quantify energy savings </w:t>
      </w:r>
      <w:r w:rsidR="00994305">
        <w:rPr>
          <w:rFonts w:ascii="Times New Roman" w:hAnsi="Times New Roman" w:cs="Times New Roman"/>
          <w:sz w:val="24"/>
          <w:szCs w:val="24"/>
        </w:rPr>
        <w:t xml:space="preserve">for use in </w:t>
      </w:r>
      <w:r w:rsidR="006573B9">
        <w:rPr>
          <w:rFonts w:ascii="Times New Roman" w:hAnsi="Times New Roman" w:cs="Times New Roman"/>
          <w:sz w:val="24"/>
          <w:szCs w:val="24"/>
        </w:rPr>
        <w:t>its</w:t>
      </w:r>
      <w:r w:rsidR="001417F5">
        <w:rPr>
          <w:rFonts w:ascii="Times New Roman" w:hAnsi="Times New Roman" w:cs="Times New Roman"/>
          <w:sz w:val="24"/>
          <w:szCs w:val="24"/>
        </w:rPr>
        <w:t xml:space="preserve"> CO</w:t>
      </w:r>
      <w:r w:rsidR="001417F5" w:rsidRPr="00CD08C7">
        <w:rPr>
          <w:rFonts w:ascii="Times New Roman" w:hAnsi="Times New Roman" w:cs="Times New Roman"/>
          <w:sz w:val="24"/>
          <w:szCs w:val="24"/>
          <w:vertAlign w:val="subscript"/>
        </w:rPr>
        <w:t>2</w:t>
      </w:r>
      <w:r w:rsidR="001417F5">
        <w:rPr>
          <w:rFonts w:ascii="Times New Roman" w:hAnsi="Times New Roman" w:cs="Times New Roman"/>
          <w:sz w:val="24"/>
          <w:szCs w:val="24"/>
        </w:rPr>
        <w:t xml:space="preserve"> emission performance</w:t>
      </w:r>
      <w:r w:rsidR="00994305">
        <w:rPr>
          <w:rFonts w:ascii="Times New Roman" w:hAnsi="Times New Roman" w:cs="Times New Roman"/>
          <w:sz w:val="24"/>
          <w:szCs w:val="24"/>
        </w:rPr>
        <w:t xml:space="preserve"> projection </w:t>
      </w:r>
      <w:r w:rsidRPr="00D65A3B">
        <w:rPr>
          <w:rFonts w:ascii="Times New Roman" w:hAnsi="Times New Roman" w:cs="Times New Roman"/>
          <w:sz w:val="24"/>
          <w:szCs w:val="24"/>
        </w:rPr>
        <w:t>using formulas specific to the state’s EERS, as described below</w:t>
      </w:r>
      <w:r>
        <w:rPr>
          <w:rFonts w:ascii="Times New Roman" w:hAnsi="Times New Roman" w:cs="Times New Roman"/>
          <w:sz w:val="24"/>
          <w:szCs w:val="24"/>
        </w:rPr>
        <w:t>.</w:t>
      </w:r>
      <w:r w:rsidR="00994305">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Pr="00D65A3B">
        <w:rPr>
          <w:rFonts w:ascii="Times New Roman" w:hAnsi="Times New Roman" w:cs="Times New Roman"/>
          <w:sz w:val="24"/>
          <w:szCs w:val="24"/>
        </w:rPr>
        <w:t xml:space="preserve">For this approach a state would </w:t>
      </w:r>
      <w:r w:rsidRPr="00D65A3B">
        <w:rPr>
          <w:rFonts w:ascii="Times New Roman" w:hAnsi="Times New Roman" w:cs="Times New Roman"/>
          <w:sz w:val="24"/>
          <w:szCs w:val="24"/>
        </w:rPr>
        <w:lastRenderedPageBreak/>
        <w:t>select the appropriate sales basis</w:t>
      </w:r>
      <w:r w:rsidR="001417F5">
        <w:rPr>
          <w:rFonts w:ascii="Times New Roman" w:hAnsi="Times New Roman" w:cs="Times New Roman"/>
          <w:sz w:val="24"/>
          <w:szCs w:val="24"/>
        </w:rPr>
        <w:t>,</w:t>
      </w:r>
      <w:r w:rsidRPr="00D65A3B">
        <w:rPr>
          <w:rFonts w:ascii="Times New Roman" w:hAnsi="Times New Roman" w:cs="Times New Roman"/>
          <w:sz w:val="24"/>
          <w:szCs w:val="24"/>
        </w:rPr>
        <w:t xml:space="preserve"> and if the basis is not total sales, a state could u</w:t>
      </w:r>
      <w:r w:rsidR="006573B9">
        <w:rPr>
          <w:rFonts w:ascii="Times New Roman" w:hAnsi="Times New Roman" w:cs="Times New Roman"/>
          <w:sz w:val="24"/>
          <w:szCs w:val="24"/>
        </w:rPr>
        <w:t>se</w:t>
      </w:r>
      <w:r w:rsidRPr="00D65A3B">
        <w:rPr>
          <w:rFonts w:ascii="Times New Roman" w:hAnsi="Times New Roman" w:cs="Times New Roman"/>
          <w:sz w:val="24"/>
          <w:szCs w:val="24"/>
        </w:rPr>
        <w:t xml:space="preserve"> recent year utility-level sales data from EIA and growth rates from EIA,</w:t>
      </w:r>
      <w:r w:rsidR="008D6F66">
        <w:rPr>
          <w:rFonts w:ascii="Times New Roman" w:hAnsi="Times New Roman" w:cs="Times New Roman"/>
          <w:sz w:val="24"/>
          <w:szCs w:val="24"/>
        </w:rPr>
        <w:t xml:space="preserve"> an</w:t>
      </w:r>
      <w:r w:rsidRPr="00D65A3B">
        <w:rPr>
          <w:rFonts w:ascii="Times New Roman" w:hAnsi="Times New Roman" w:cs="Times New Roman"/>
          <w:sz w:val="24"/>
          <w:szCs w:val="24"/>
        </w:rPr>
        <w:t xml:space="preserve"> </w:t>
      </w:r>
      <w:r w:rsidR="008D6F66">
        <w:rPr>
          <w:rFonts w:ascii="Times New Roman" w:hAnsi="Times New Roman" w:cs="Times New Roman"/>
          <w:sz w:val="24"/>
          <w:szCs w:val="24"/>
        </w:rPr>
        <w:t>RTO/</w:t>
      </w:r>
      <w:r w:rsidR="008162A7">
        <w:rPr>
          <w:rFonts w:ascii="Times New Roman" w:hAnsi="Times New Roman" w:cs="Times New Roman"/>
          <w:sz w:val="24"/>
          <w:szCs w:val="24"/>
        </w:rPr>
        <w:t>ISO, NERC or other publicl</w:t>
      </w:r>
      <w:r w:rsidRPr="00D65A3B">
        <w:rPr>
          <w:rFonts w:ascii="Times New Roman" w:hAnsi="Times New Roman" w:cs="Times New Roman"/>
          <w:sz w:val="24"/>
          <w:szCs w:val="24"/>
        </w:rPr>
        <w:t xml:space="preserve">y available sources to develop </w:t>
      </w:r>
      <w:r>
        <w:rPr>
          <w:rFonts w:ascii="Times New Roman" w:hAnsi="Times New Roman" w:cs="Times New Roman"/>
          <w:sz w:val="24"/>
          <w:szCs w:val="24"/>
        </w:rPr>
        <w:t>base case</w:t>
      </w:r>
      <w:r w:rsidRPr="00D65A3B">
        <w:rPr>
          <w:rFonts w:ascii="Times New Roman" w:hAnsi="Times New Roman" w:cs="Times New Roman"/>
          <w:sz w:val="24"/>
          <w:szCs w:val="24"/>
        </w:rPr>
        <w:t xml:space="preserve"> forecasts of sales of the utilities required to comply with the EERS</w:t>
      </w:r>
      <w:r>
        <w:rPr>
          <w:rFonts w:ascii="Times New Roman" w:hAnsi="Times New Roman" w:cs="Times New Roman"/>
          <w:sz w:val="24"/>
          <w:szCs w:val="24"/>
        </w:rPr>
        <w:t xml:space="preserve">. </w:t>
      </w:r>
      <w:r w:rsidRPr="00D65A3B">
        <w:rPr>
          <w:rFonts w:ascii="Times New Roman" w:hAnsi="Times New Roman" w:cs="Times New Roman"/>
          <w:sz w:val="24"/>
          <w:szCs w:val="24"/>
        </w:rPr>
        <w:t>The design of the EERS will affect whether a state</w:t>
      </w:r>
      <w:r w:rsidR="00703F8E">
        <w:rPr>
          <w:rFonts w:ascii="Times New Roman" w:hAnsi="Times New Roman" w:cs="Times New Roman"/>
          <w:sz w:val="24"/>
          <w:szCs w:val="24"/>
        </w:rPr>
        <w:t xml:space="preserve">, for purposes </w:t>
      </w:r>
      <w:r w:rsidR="00483D50">
        <w:rPr>
          <w:rFonts w:ascii="Times New Roman" w:hAnsi="Times New Roman" w:cs="Times New Roman"/>
          <w:sz w:val="24"/>
          <w:szCs w:val="24"/>
        </w:rPr>
        <w:t>of</w:t>
      </w:r>
      <w:r w:rsidR="00703F8E">
        <w:rPr>
          <w:rFonts w:ascii="Times New Roman" w:hAnsi="Times New Roman" w:cs="Times New Roman"/>
          <w:sz w:val="24"/>
          <w:szCs w:val="24"/>
        </w:rPr>
        <w:t xml:space="preserve"> its CO</w:t>
      </w:r>
      <w:r w:rsidR="00703F8E" w:rsidRPr="00C541E9">
        <w:rPr>
          <w:rFonts w:ascii="Times New Roman" w:hAnsi="Times New Roman" w:cs="Times New Roman"/>
          <w:sz w:val="24"/>
          <w:szCs w:val="24"/>
          <w:vertAlign w:val="subscript"/>
        </w:rPr>
        <w:t>2</w:t>
      </w:r>
      <w:r w:rsidR="00703F8E">
        <w:rPr>
          <w:rFonts w:ascii="Times New Roman" w:hAnsi="Times New Roman" w:cs="Times New Roman"/>
          <w:sz w:val="24"/>
          <w:szCs w:val="24"/>
        </w:rPr>
        <w:t xml:space="preserve"> emission performance projection,</w:t>
      </w:r>
      <w:r w:rsidRPr="00D65A3B">
        <w:rPr>
          <w:rFonts w:ascii="Times New Roman" w:hAnsi="Times New Roman" w:cs="Times New Roman"/>
          <w:sz w:val="24"/>
          <w:szCs w:val="24"/>
        </w:rPr>
        <w:t xml:space="preserve"> should assume</w:t>
      </w:r>
      <w:r w:rsidR="00C541E9">
        <w:rPr>
          <w:rFonts w:ascii="Times New Roman" w:hAnsi="Times New Roman" w:cs="Times New Roman"/>
          <w:sz w:val="24"/>
          <w:szCs w:val="24"/>
        </w:rPr>
        <w:t xml:space="preserve"> </w:t>
      </w:r>
      <w:r w:rsidR="00076957">
        <w:rPr>
          <w:rFonts w:ascii="Times New Roman" w:hAnsi="Times New Roman" w:cs="Times New Roman"/>
          <w:sz w:val="24"/>
          <w:szCs w:val="24"/>
        </w:rPr>
        <w:t>energy savings at the EERS target level.</w:t>
      </w:r>
      <w:r>
        <w:rPr>
          <w:rFonts w:ascii="Times New Roman" w:hAnsi="Times New Roman" w:cs="Times New Roman"/>
          <w:sz w:val="24"/>
          <w:szCs w:val="24"/>
        </w:rPr>
        <w:t xml:space="preserve"> For example, it may not be appropriate to assume full achievement </w:t>
      </w:r>
      <w:r w:rsidR="008D6F66">
        <w:rPr>
          <w:rFonts w:ascii="Times New Roman" w:hAnsi="Times New Roman" w:cs="Times New Roman"/>
          <w:sz w:val="24"/>
          <w:szCs w:val="24"/>
        </w:rPr>
        <w:t xml:space="preserve">of </w:t>
      </w:r>
      <w:r w:rsidR="00D41351">
        <w:rPr>
          <w:rFonts w:ascii="Times New Roman" w:hAnsi="Times New Roman" w:cs="Times New Roman"/>
          <w:sz w:val="24"/>
          <w:szCs w:val="24"/>
        </w:rPr>
        <w:t>energy saving</w:t>
      </w:r>
      <w:r w:rsidR="008D6F66">
        <w:rPr>
          <w:rFonts w:ascii="Times New Roman" w:hAnsi="Times New Roman" w:cs="Times New Roman"/>
          <w:sz w:val="24"/>
          <w:szCs w:val="24"/>
        </w:rPr>
        <w:t>s</w:t>
      </w:r>
      <w:r w:rsidR="00D41351">
        <w:rPr>
          <w:rFonts w:ascii="Times New Roman" w:hAnsi="Times New Roman" w:cs="Times New Roman"/>
          <w:sz w:val="24"/>
          <w:szCs w:val="24"/>
        </w:rPr>
        <w:t xml:space="preserve"> goals in </w:t>
      </w:r>
      <w:r w:rsidRPr="00D65A3B">
        <w:rPr>
          <w:rFonts w:ascii="Times New Roman" w:hAnsi="Times New Roman" w:cs="Times New Roman"/>
          <w:sz w:val="24"/>
          <w:szCs w:val="24"/>
        </w:rPr>
        <w:t xml:space="preserve">an EERS that includes cost/rate caps or other design features that may not lead to incremental energy savings relative to the </w:t>
      </w:r>
      <w:r>
        <w:rPr>
          <w:rFonts w:ascii="Times New Roman" w:hAnsi="Times New Roman" w:cs="Times New Roman"/>
          <w:sz w:val="24"/>
          <w:szCs w:val="24"/>
        </w:rPr>
        <w:t xml:space="preserve">base case demand </w:t>
      </w:r>
      <w:r w:rsidRPr="00D65A3B">
        <w:rPr>
          <w:rFonts w:ascii="Times New Roman" w:hAnsi="Times New Roman" w:cs="Times New Roman"/>
          <w:sz w:val="24"/>
          <w:szCs w:val="24"/>
        </w:rPr>
        <w:t>forecast</w:t>
      </w:r>
      <w:r>
        <w:rPr>
          <w:rFonts w:ascii="Times New Roman" w:hAnsi="Times New Roman" w:cs="Times New Roman"/>
          <w:sz w:val="24"/>
          <w:szCs w:val="24"/>
        </w:rPr>
        <w:t xml:space="preserve"> </w:t>
      </w:r>
      <w:r w:rsidRPr="00D65A3B">
        <w:rPr>
          <w:rFonts w:ascii="Times New Roman" w:hAnsi="Times New Roman" w:cs="Times New Roman"/>
          <w:sz w:val="24"/>
          <w:szCs w:val="24"/>
        </w:rPr>
        <w:t>(e.g., counting savings from building energy codes or historical EE programs)</w:t>
      </w:r>
      <w:r>
        <w:rPr>
          <w:rFonts w:ascii="Times New Roman" w:hAnsi="Times New Roman" w:cs="Times New Roman"/>
          <w:sz w:val="24"/>
          <w:szCs w:val="24"/>
        </w:rPr>
        <w:t xml:space="preserve">. </w:t>
      </w:r>
    </w:p>
    <w:p w14:paraId="6603453A" w14:textId="15D7C780" w:rsidR="00DE3EE4" w:rsidRPr="00D65A3B" w:rsidRDefault="007709DD" w:rsidP="00B000E5">
      <w:pPr>
        <w:spacing w:line="360" w:lineRule="auto"/>
        <w:ind w:firstLine="360"/>
        <w:rPr>
          <w:rFonts w:ascii="Times New Roman" w:hAnsi="Times New Roman" w:cs="Times New Roman"/>
          <w:sz w:val="24"/>
          <w:szCs w:val="24"/>
        </w:rPr>
      </w:pPr>
      <w:r w:rsidRPr="00865989">
        <w:rPr>
          <w:rFonts w:ascii="Times New Roman" w:hAnsi="Times New Roman" w:cs="Times New Roman"/>
          <w:sz w:val="24"/>
          <w:szCs w:val="24"/>
        </w:rPr>
        <w:t xml:space="preserve">The general formulas a state must use to quantify </w:t>
      </w:r>
      <w:r>
        <w:rPr>
          <w:rFonts w:ascii="Times New Roman" w:hAnsi="Times New Roman" w:cs="Times New Roman"/>
          <w:sz w:val="24"/>
          <w:szCs w:val="24"/>
        </w:rPr>
        <w:t xml:space="preserve">first-year and cumulative energy savings from </w:t>
      </w:r>
      <w:r w:rsidRPr="00865989">
        <w:rPr>
          <w:rFonts w:ascii="Times New Roman" w:hAnsi="Times New Roman" w:cs="Times New Roman"/>
          <w:sz w:val="24"/>
          <w:szCs w:val="24"/>
        </w:rPr>
        <w:t xml:space="preserve">an </w:t>
      </w:r>
      <w:r>
        <w:rPr>
          <w:rFonts w:ascii="Times New Roman" w:hAnsi="Times New Roman" w:cs="Times New Roman"/>
          <w:sz w:val="24"/>
          <w:szCs w:val="24"/>
        </w:rPr>
        <w:t>EER</w:t>
      </w:r>
      <w:r w:rsidRPr="00865989">
        <w:rPr>
          <w:rFonts w:ascii="Times New Roman" w:hAnsi="Times New Roman" w:cs="Times New Roman"/>
          <w:sz w:val="24"/>
          <w:szCs w:val="24"/>
        </w:rPr>
        <w:t>S policy for each year (t) are shown below</w:t>
      </w:r>
      <w:r>
        <w:rPr>
          <w:rFonts w:ascii="Times New Roman" w:hAnsi="Times New Roman" w:cs="Times New Roman"/>
          <w:sz w:val="24"/>
          <w:szCs w:val="24"/>
        </w:rPr>
        <w:t xml:space="preserve">, though a state </w:t>
      </w:r>
      <w:r w:rsidRPr="00865989">
        <w:rPr>
          <w:rFonts w:ascii="Times New Roman" w:hAnsi="Times New Roman" w:cs="Times New Roman"/>
          <w:sz w:val="24"/>
          <w:szCs w:val="24"/>
        </w:rPr>
        <w:t xml:space="preserve">may propose a different methodology if it better represents the </w:t>
      </w:r>
      <w:r>
        <w:rPr>
          <w:rFonts w:ascii="Times New Roman" w:hAnsi="Times New Roman" w:cs="Times New Roman"/>
          <w:sz w:val="24"/>
          <w:szCs w:val="24"/>
        </w:rPr>
        <w:t>state’s EER</w:t>
      </w:r>
      <w:r w:rsidRPr="00865989">
        <w:rPr>
          <w:rFonts w:ascii="Times New Roman" w:hAnsi="Times New Roman" w:cs="Times New Roman"/>
          <w:sz w:val="24"/>
          <w:szCs w:val="24"/>
        </w:rPr>
        <w:t>S.</w:t>
      </w:r>
      <w:r>
        <w:rPr>
          <w:rFonts w:ascii="Times New Roman" w:hAnsi="Times New Roman" w:cs="Times New Roman"/>
          <w:sz w:val="24"/>
          <w:szCs w:val="24"/>
        </w:rPr>
        <w:t xml:space="preserve"> </w:t>
      </w:r>
      <w:r w:rsidR="00086214">
        <w:rPr>
          <w:rFonts w:ascii="Times New Roman" w:hAnsi="Times New Roman" w:cs="Times New Roman"/>
          <w:sz w:val="24"/>
          <w:szCs w:val="24"/>
        </w:rPr>
        <w:t xml:space="preserve">Once these </w:t>
      </w:r>
      <w:r w:rsidR="007B02A6">
        <w:rPr>
          <w:rFonts w:ascii="Times New Roman" w:hAnsi="Times New Roman" w:cs="Times New Roman"/>
          <w:sz w:val="24"/>
          <w:szCs w:val="24"/>
        </w:rPr>
        <w:t>first</w:t>
      </w:r>
      <w:r w:rsidR="00AB6FDC">
        <w:rPr>
          <w:rFonts w:ascii="Times New Roman" w:hAnsi="Times New Roman" w:cs="Times New Roman"/>
          <w:sz w:val="24"/>
          <w:szCs w:val="24"/>
        </w:rPr>
        <w:t>-</w:t>
      </w:r>
      <w:r w:rsidR="007B02A6">
        <w:rPr>
          <w:rFonts w:ascii="Times New Roman" w:hAnsi="Times New Roman" w:cs="Times New Roman"/>
          <w:sz w:val="24"/>
          <w:szCs w:val="24"/>
        </w:rPr>
        <w:t xml:space="preserve">year </w:t>
      </w:r>
      <w:r w:rsidR="00180A22">
        <w:rPr>
          <w:rFonts w:ascii="Times New Roman" w:hAnsi="Times New Roman" w:cs="Times New Roman"/>
          <w:sz w:val="24"/>
          <w:szCs w:val="24"/>
        </w:rPr>
        <w:t>and</w:t>
      </w:r>
      <w:r w:rsidR="007B02A6">
        <w:rPr>
          <w:rFonts w:ascii="Times New Roman" w:hAnsi="Times New Roman" w:cs="Times New Roman"/>
          <w:sz w:val="24"/>
          <w:szCs w:val="24"/>
        </w:rPr>
        <w:t xml:space="preserve"> cumulative</w:t>
      </w:r>
      <w:r w:rsidR="00086214">
        <w:rPr>
          <w:rFonts w:ascii="Times New Roman" w:hAnsi="Times New Roman" w:cs="Times New Roman"/>
          <w:sz w:val="24"/>
          <w:szCs w:val="24"/>
        </w:rPr>
        <w:t xml:space="preserve"> energy savings are quantified, the state can incorporate them into </w:t>
      </w:r>
      <w:r w:rsidR="001C4324">
        <w:rPr>
          <w:rFonts w:ascii="Times New Roman" w:hAnsi="Times New Roman" w:cs="Times New Roman"/>
          <w:sz w:val="24"/>
          <w:szCs w:val="24"/>
        </w:rPr>
        <w:t>the demand forecast</w:t>
      </w:r>
      <w:r w:rsidR="00086214">
        <w:rPr>
          <w:rFonts w:ascii="Times New Roman" w:hAnsi="Times New Roman" w:cs="Times New Roman"/>
          <w:sz w:val="24"/>
          <w:szCs w:val="24"/>
        </w:rPr>
        <w:t xml:space="preserve"> </w:t>
      </w:r>
      <w:r w:rsidR="00203CEF">
        <w:rPr>
          <w:rFonts w:ascii="Times New Roman" w:hAnsi="Times New Roman" w:cs="Times New Roman"/>
          <w:sz w:val="24"/>
          <w:szCs w:val="24"/>
        </w:rPr>
        <w:t>of</w:t>
      </w:r>
      <w:r w:rsidR="00086214">
        <w:rPr>
          <w:rFonts w:ascii="Times New Roman" w:hAnsi="Times New Roman" w:cs="Times New Roman"/>
          <w:sz w:val="24"/>
          <w:szCs w:val="24"/>
        </w:rPr>
        <w:t xml:space="preserve"> its</w:t>
      </w:r>
      <w:r w:rsidR="00B83A33">
        <w:rPr>
          <w:rFonts w:ascii="Times New Roman" w:hAnsi="Times New Roman" w:cs="Times New Roman"/>
          <w:sz w:val="24"/>
          <w:szCs w:val="24"/>
        </w:rPr>
        <w:t xml:space="preserve"> CO</w:t>
      </w:r>
      <w:r w:rsidR="00B83A33" w:rsidRPr="00797E5F">
        <w:rPr>
          <w:rFonts w:ascii="Times New Roman" w:hAnsi="Times New Roman" w:cs="Times New Roman"/>
          <w:sz w:val="24"/>
          <w:szCs w:val="24"/>
          <w:vertAlign w:val="subscript"/>
        </w:rPr>
        <w:t>2</w:t>
      </w:r>
      <w:r w:rsidR="00B83A33">
        <w:rPr>
          <w:rFonts w:ascii="Times New Roman" w:hAnsi="Times New Roman" w:cs="Times New Roman"/>
          <w:sz w:val="24"/>
          <w:szCs w:val="24"/>
        </w:rPr>
        <w:t xml:space="preserve"> emission performance projection</w:t>
      </w:r>
      <w:r w:rsidR="00086214">
        <w:rPr>
          <w:rFonts w:ascii="Times New Roman" w:hAnsi="Times New Roman" w:cs="Times New Roman"/>
          <w:sz w:val="24"/>
          <w:szCs w:val="24"/>
        </w:rPr>
        <w:t>.</w:t>
      </w:r>
      <w:r w:rsidR="002B0BD7">
        <w:rPr>
          <w:rStyle w:val="FootnoteReference"/>
          <w:rFonts w:ascii="Times New Roman" w:hAnsi="Times New Roman" w:cs="Times New Roman"/>
          <w:sz w:val="24"/>
          <w:szCs w:val="24"/>
        </w:rPr>
        <w:footnoteReference w:id="16"/>
      </w:r>
      <w:r w:rsidR="00B83A33">
        <w:rPr>
          <w:rFonts w:ascii="Times New Roman" w:hAnsi="Times New Roman" w:cs="Times New Roman"/>
          <w:sz w:val="24"/>
          <w:szCs w:val="24"/>
        </w:rPr>
        <w:t xml:space="preserve"> </w:t>
      </w:r>
    </w:p>
    <w:p w14:paraId="2683B217" w14:textId="2A9AB1DE" w:rsidR="00DE3EE4" w:rsidRPr="00D65A3B" w:rsidRDefault="00CA2FE5" w:rsidP="00CA2FE5">
      <w:pPr>
        <w:spacing w:after="0" w:line="240" w:lineRule="auto"/>
        <w:ind w:firstLine="720"/>
        <w:rPr>
          <w:rFonts w:ascii="Times New Roman" w:hAnsi="Times New Roman" w:cs="Times New Roman"/>
          <w:b/>
          <w:sz w:val="24"/>
          <w:szCs w:val="24"/>
        </w:rPr>
      </w:pPr>
      <w:r w:rsidRPr="00D65A3B">
        <w:rPr>
          <w:rFonts w:ascii="Times New Roman" w:eastAsia="Times New Roman" w:hAnsi="Times New Roman" w:cs="Times New Roman"/>
          <w:b/>
          <w:sz w:val="24"/>
          <w:szCs w:val="24"/>
        </w:rPr>
        <w:t xml:space="preserve">1. </w:t>
      </w:r>
      <w:r w:rsidR="00DE3EE4" w:rsidRPr="00D65A3B">
        <w:rPr>
          <w:rFonts w:ascii="Times New Roman" w:eastAsia="Times New Roman" w:hAnsi="Times New Roman" w:cs="Times New Roman"/>
          <w:b/>
          <w:sz w:val="24"/>
          <w:szCs w:val="24"/>
        </w:rPr>
        <w:t>EERS with Annual First-Year EE Savings Targets Specified in Percent Terms</w:t>
      </w:r>
    </w:p>
    <w:p w14:paraId="2553E50A" w14:textId="77777777" w:rsidR="00DE3EE4" w:rsidRPr="00D65A3B" w:rsidRDefault="00DE3EE4" w:rsidP="00DE3EE4">
      <w:pPr>
        <w:spacing w:after="0" w:line="240" w:lineRule="auto"/>
        <w:ind w:firstLine="720"/>
        <w:rPr>
          <w:rFonts w:ascii="Times New Roman" w:hAnsi="Times New Roman" w:cs="Times New Roman"/>
          <w:sz w:val="24"/>
          <w:szCs w:val="24"/>
        </w:rPr>
      </w:pPr>
    </w:p>
    <w:p w14:paraId="1E866B74" w14:textId="386ACE45" w:rsidR="00DE3EE4" w:rsidRPr="00D65A3B" w:rsidRDefault="00D34C55" w:rsidP="00722BD1">
      <w:pPr>
        <w:spacing w:after="0" w:line="240" w:lineRule="auto"/>
        <w:ind w:firstLine="360"/>
        <w:rPr>
          <w:rFonts w:ascii="Times New Roman" w:hAnsi="Times New Roman" w:cs="Times New Roman"/>
          <w:sz w:val="24"/>
          <w:szCs w:val="24"/>
        </w:rPr>
      </w:pPr>
      <w:r>
        <w:rPr>
          <w:rFonts w:ascii="Times New Roman" w:eastAsia="Times New Roman" w:hAnsi="Times New Roman" w:cs="Times New Roman"/>
          <w:sz w:val="24"/>
          <w:szCs w:val="24"/>
        </w:rPr>
        <w:t xml:space="preserve">A(t) = r(t) </w:t>
      </w:r>
      <w:r w:rsidR="00DE3EE4" w:rsidRPr="00D65A3B">
        <w:rPr>
          <w:rFonts w:ascii="Times New Roman" w:eastAsia="Times New Roman" w:hAnsi="Times New Roman" w:cs="Times New Roman"/>
          <w:sz w:val="24"/>
          <w:szCs w:val="24"/>
        </w:rPr>
        <w:t xml:space="preserve"> Z(t-1)</w:t>
      </w:r>
    </w:p>
    <w:p w14:paraId="25D50B2C"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C(t) = A(t) + A(t-1) + … + A(t-L+1)</w:t>
      </w:r>
    </w:p>
    <w:p w14:paraId="791A5C24"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I(t) = C(t) - E(t)</w:t>
      </w:r>
    </w:p>
    <w:p w14:paraId="034DC406"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Z(t) = B(t) - I(t) </w:t>
      </w:r>
    </w:p>
    <w:p w14:paraId="5965BFDE" w14:textId="77777777" w:rsidR="00DE3EE4" w:rsidRPr="00D65A3B" w:rsidRDefault="00DE3EE4" w:rsidP="00722BD1">
      <w:pPr>
        <w:spacing w:after="0" w:line="240" w:lineRule="auto"/>
        <w:ind w:firstLine="360"/>
        <w:rPr>
          <w:rFonts w:ascii="Times New Roman" w:hAnsi="Times New Roman" w:cs="Times New Roman"/>
          <w:sz w:val="24"/>
          <w:szCs w:val="24"/>
        </w:rPr>
      </w:pPr>
    </w:p>
    <w:p w14:paraId="2F7E8F81"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Where:</w:t>
      </w:r>
    </w:p>
    <w:p w14:paraId="255408E7"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 r is the annual first-year percent savings target, </w:t>
      </w:r>
    </w:p>
    <w:p w14:paraId="23E652DF"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A is the annual first-year energy savings, </w:t>
      </w:r>
    </w:p>
    <w:p w14:paraId="5605FD64"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L is the measure lifetime, </w:t>
      </w:r>
    </w:p>
    <w:p w14:paraId="3ED6D100" w14:textId="42A4F63E"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B is the </w:t>
      </w:r>
      <w:r w:rsidR="003A4E75">
        <w:rPr>
          <w:rFonts w:ascii="Times New Roman" w:hAnsi="Times New Roman" w:cs="Times New Roman"/>
          <w:sz w:val="24"/>
          <w:szCs w:val="24"/>
        </w:rPr>
        <w:t xml:space="preserve">base case </w:t>
      </w:r>
      <w:r w:rsidRPr="00D65A3B">
        <w:rPr>
          <w:rFonts w:ascii="Times New Roman" w:hAnsi="Times New Roman" w:cs="Times New Roman"/>
          <w:sz w:val="24"/>
          <w:szCs w:val="24"/>
        </w:rPr>
        <w:t xml:space="preserve">sales of utilities affected by these specific policies, </w:t>
      </w:r>
    </w:p>
    <w:p w14:paraId="521CC783"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C is the cumulative energy savings, </w:t>
      </w:r>
    </w:p>
    <w:p w14:paraId="351ED69D" w14:textId="6058D172" w:rsidR="00DE3EE4" w:rsidRPr="00D65A3B" w:rsidRDefault="00DE3EE4" w:rsidP="00483D50">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E is the cumulative savings embedded in the </w:t>
      </w:r>
      <w:r w:rsidR="00873A08">
        <w:rPr>
          <w:rFonts w:ascii="Times New Roman" w:hAnsi="Times New Roman" w:cs="Times New Roman"/>
          <w:sz w:val="24"/>
          <w:szCs w:val="24"/>
        </w:rPr>
        <w:t xml:space="preserve">base case demand </w:t>
      </w:r>
      <w:r w:rsidRPr="00D65A3B">
        <w:rPr>
          <w:rFonts w:ascii="Times New Roman" w:hAnsi="Times New Roman" w:cs="Times New Roman"/>
          <w:sz w:val="24"/>
          <w:szCs w:val="24"/>
        </w:rPr>
        <w:t>forecast,</w:t>
      </w:r>
      <w:r w:rsidR="00873A08">
        <w:rPr>
          <w:rStyle w:val="FootnoteReference"/>
          <w:rFonts w:ascii="Times New Roman" w:hAnsi="Times New Roman" w:cs="Times New Roman"/>
          <w:sz w:val="24"/>
          <w:szCs w:val="24"/>
        </w:rPr>
        <w:footnoteReference w:id="17"/>
      </w:r>
      <w:r w:rsidRPr="00D65A3B">
        <w:rPr>
          <w:rFonts w:ascii="Times New Roman" w:hAnsi="Times New Roman" w:cs="Times New Roman"/>
          <w:sz w:val="24"/>
          <w:szCs w:val="24"/>
        </w:rPr>
        <w:t xml:space="preserve"> </w:t>
      </w:r>
    </w:p>
    <w:p w14:paraId="7B1C1FB2" w14:textId="5206A4B3" w:rsidR="00DE3EE4" w:rsidRPr="00D65A3B" w:rsidRDefault="00DE3EE4" w:rsidP="0035489D">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I is the cumulative savings incremental to </w:t>
      </w:r>
      <w:r w:rsidR="00483D50">
        <w:rPr>
          <w:rFonts w:ascii="Times New Roman" w:hAnsi="Times New Roman" w:cs="Times New Roman"/>
          <w:sz w:val="24"/>
          <w:szCs w:val="24"/>
        </w:rPr>
        <w:t>the</w:t>
      </w:r>
      <w:r w:rsidR="00483D50" w:rsidRPr="00D65A3B">
        <w:rPr>
          <w:rFonts w:ascii="Times New Roman" w:hAnsi="Times New Roman" w:cs="Times New Roman"/>
          <w:sz w:val="24"/>
          <w:szCs w:val="24"/>
        </w:rPr>
        <w:t xml:space="preserve"> </w:t>
      </w:r>
      <w:r w:rsidR="0035489D">
        <w:rPr>
          <w:rFonts w:ascii="Times New Roman" w:hAnsi="Times New Roman" w:cs="Times New Roman"/>
          <w:sz w:val="24"/>
          <w:szCs w:val="24"/>
        </w:rPr>
        <w:t xml:space="preserve">base case demand </w:t>
      </w:r>
      <w:r w:rsidRPr="00D65A3B">
        <w:rPr>
          <w:rFonts w:ascii="Times New Roman" w:hAnsi="Times New Roman" w:cs="Times New Roman"/>
          <w:sz w:val="24"/>
          <w:szCs w:val="24"/>
        </w:rPr>
        <w:t xml:space="preserve">forecast, and </w:t>
      </w:r>
    </w:p>
    <w:p w14:paraId="00F8E7A1" w14:textId="77777777" w:rsidR="00DE3EE4"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Z is the adjusted sales after application of cumulative incremental savings.</w:t>
      </w:r>
    </w:p>
    <w:p w14:paraId="3A086FFC" w14:textId="0C55931B" w:rsidR="00453893" w:rsidRDefault="00453893" w:rsidP="00722BD1">
      <w:pPr>
        <w:spacing w:after="0" w:line="240" w:lineRule="auto"/>
        <w:ind w:firstLine="360"/>
        <w:rPr>
          <w:rFonts w:ascii="Times New Roman" w:hAnsi="Times New Roman" w:cs="Times New Roman"/>
          <w:sz w:val="24"/>
          <w:szCs w:val="24"/>
        </w:rPr>
      </w:pPr>
    </w:p>
    <w:p w14:paraId="796804AF" w14:textId="3F2C093D" w:rsidR="00453893" w:rsidRDefault="00242F1D" w:rsidP="00242F1D">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lastRenderedPageBreak/>
        <w:t>For example, a</w:t>
      </w:r>
      <w:r w:rsidR="00453893" w:rsidRPr="005C6873">
        <w:rPr>
          <w:rFonts w:ascii="Times New Roman" w:hAnsi="Times New Roman" w:cs="Times New Roman"/>
          <w:sz w:val="24"/>
          <w:szCs w:val="24"/>
        </w:rPr>
        <w:t xml:space="preserve"> representative state has an </w:t>
      </w:r>
      <w:r w:rsidR="00453893">
        <w:rPr>
          <w:rFonts w:ascii="Times New Roman" w:hAnsi="Times New Roman" w:cs="Times New Roman"/>
          <w:sz w:val="24"/>
          <w:szCs w:val="24"/>
        </w:rPr>
        <w:t xml:space="preserve">EERS first-year target of 2% for each year 2016-2018. </w:t>
      </w:r>
      <w:r w:rsidR="00453893" w:rsidRPr="005C6873">
        <w:rPr>
          <w:rFonts w:ascii="Times New Roman" w:hAnsi="Times New Roman" w:cs="Times New Roman"/>
          <w:sz w:val="24"/>
          <w:szCs w:val="24"/>
        </w:rPr>
        <w:t xml:space="preserve">Forecasted </w:t>
      </w:r>
      <w:r w:rsidR="00453893" w:rsidRPr="0011148A">
        <w:rPr>
          <w:rFonts w:ascii="Times New Roman" w:hAnsi="Times New Roman" w:cs="Times New Roman"/>
          <w:sz w:val="24"/>
          <w:szCs w:val="24"/>
        </w:rPr>
        <w:t xml:space="preserve">baseline sales of utilities </w:t>
      </w:r>
      <w:r w:rsidR="00453893">
        <w:rPr>
          <w:rFonts w:ascii="Times New Roman" w:hAnsi="Times New Roman" w:cs="Times New Roman"/>
          <w:sz w:val="24"/>
          <w:szCs w:val="24"/>
        </w:rPr>
        <w:t xml:space="preserve">in </w:t>
      </w:r>
      <w:r w:rsidR="00453893" w:rsidRPr="005C6873">
        <w:rPr>
          <w:rFonts w:ascii="Times New Roman" w:hAnsi="Times New Roman" w:cs="Times New Roman"/>
          <w:sz w:val="24"/>
          <w:szCs w:val="24"/>
        </w:rPr>
        <w:t xml:space="preserve">2015 are </w:t>
      </w:r>
      <w:r w:rsidR="00453893">
        <w:rPr>
          <w:rFonts w:ascii="Times New Roman" w:hAnsi="Times New Roman" w:cs="Times New Roman"/>
          <w:sz w:val="24"/>
          <w:szCs w:val="24"/>
        </w:rPr>
        <w:t>50</w:t>
      </w:r>
      <w:r w:rsidR="00453893" w:rsidRPr="005C6873">
        <w:rPr>
          <w:rFonts w:ascii="Times New Roman" w:hAnsi="Times New Roman" w:cs="Times New Roman"/>
          <w:sz w:val="24"/>
          <w:szCs w:val="24"/>
        </w:rPr>
        <w:t xml:space="preserve">,000 GWh, </w:t>
      </w:r>
      <w:r w:rsidR="00453893">
        <w:rPr>
          <w:rFonts w:ascii="Times New Roman" w:hAnsi="Times New Roman" w:cs="Times New Roman"/>
          <w:sz w:val="24"/>
          <w:szCs w:val="24"/>
        </w:rPr>
        <w:t>growing by 1% each year of the forecast period</w:t>
      </w:r>
      <w:r w:rsidR="00453893" w:rsidRPr="005C6873">
        <w:rPr>
          <w:rFonts w:ascii="Times New Roman" w:hAnsi="Times New Roman" w:cs="Times New Roman"/>
          <w:sz w:val="24"/>
          <w:szCs w:val="24"/>
        </w:rPr>
        <w:t xml:space="preserve">. </w:t>
      </w:r>
      <w:r w:rsidR="00453893">
        <w:rPr>
          <w:rFonts w:ascii="Times New Roman" w:hAnsi="Times New Roman" w:cs="Times New Roman"/>
          <w:sz w:val="24"/>
          <w:szCs w:val="24"/>
        </w:rPr>
        <w:t>Embedded savings are 50 GWh per year, applied to years in which first-year energy savings are realized. The measure lifetime assumed for both first-year energy savings and embedded savings is four years.</w:t>
      </w:r>
      <w:r w:rsidR="003A6791">
        <w:rPr>
          <w:rFonts w:ascii="Times New Roman" w:hAnsi="Times New Roman" w:cs="Times New Roman"/>
          <w:sz w:val="24"/>
          <w:szCs w:val="24"/>
        </w:rPr>
        <w:t xml:space="preserve"> </w:t>
      </w:r>
      <w:r w:rsidR="00453B05">
        <w:rPr>
          <w:rFonts w:ascii="Times New Roman" w:hAnsi="Times New Roman" w:cs="Times New Roman"/>
          <w:sz w:val="24"/>
          <w:szCs w:val="24"/>
        </w:rPr>
        <w:t>Table 1</w:t>
      </w:r>
      <w:r w:rsidR="00086214">
        <w:rPr>
          <w:rFonts w:ascii="Times New Roman" w:hAnsi="Times New Roman" w:cs="Times New Roman"/>
          <w:sz w:val="24"/>
          <w:szCs w:val="24"/>
        </w:rPr>
        <w:t xml:space="preserve"> applies</w:t>
      </w:r>
      <w:r w:rsidR="00B83A33">
        <w:rPr>
          <w:rFonts w:ascii="Times New Roman" w:hAnsi="Times New Roman" w:cs="Times New Roman"/>
          <w:sz w:val="24"/>
          <w:szCs w:val="24"/>
        </w:rPr>
        <w:t xml:space="preserve"> this example to the above formula</w:t>
      </w:r>
      <w:r w:rsidR="00086214">
        <w:rPr>
          <w:rFonts w:ascii="Times New Roman" w:hAnsi="Times New Roman" w:cs="Times New Roman"/>
          <w:sz w:val="24"/>
          <w:szCs w:val="24"/>
        </w:rPr>
        <w:t>.</w:t>
      </w:r>
      <w:r w:rsidR="00357BE8">
        <w:rPr>
          <w:rFonts w:ascii="Times New Roman" w:hAnsi="Times New Roman" w:cs="Times New Roman"/>
          <w:sz w:val="24"/>
          <w:szCs w:val="24"/>
        </w:rPr>
        <w:t xml:space="preserve"> </w:t>
      </w:r>
      <w:r w:rsidR="00453893" w:rsidRPr="00614FD6">
        <w:rPr>
          <w:rFonts w:ascii="Times New Roman" w:hAnsi="Times New Roman" w:cs="Times New Roman"/>
          <w:sz w:val="24"/>
          <w:szCs w:val="24"/>
        </w:rPr>
        <w:t xml:space="preserve">This is </w:t>
      </w:r>
      <w:r w:rsidR="00453893">
        <w:rPr>
          <w:rFonts w:ascii="Times New Roman" w:hAnsi="Times New Roman" w:cs="Times New Roman"/>
          <w:sz w:val="24"/>
          <w:szCs w:val="24"/>
        </w:rPr>
        <w:t xml:space="preserve">the most </w:t>
      </w:r>
      <w:r w:rsidR="00453893" w:rsidRPr="00614FD6">
        <w:rPr>
          <w:rFonts w:ascii="Times New Roman" w:hAnsi="Times New Roman" w:cs="Times New Roman"/>
          <w:sz w:val="24"/>
          <w:szCs w:val="24"/>
        </w:rPr>
        <w:t xml:space="preserve">common type of </w:t>
      </w:r>
      <w:r w:rsidR="00453893">
        <w:rPr>
          <w:rFonts w:ascii="Times New Roman" w:hAnsi="Times New Roman" w:cs="Times New Roman"/>
          <w:sz w:val="24"/>
          <w:szCs w:val="24"/>
        </w:rPr>
        <w:t xml:space="preserve">EERS structure, and states having adopted some version of it include Arizona, Illinois, Indiana, and Ohio. </w:t>
      </w:r>
    </w:p>
    <w:p w14:paraId="26889DD2" w14:textId="77777777" w:rsidR="00453893" w:rsidRDefault="00453893" w:rsidP="00453893">
      <w:pPr>
        <w:spacing w:after="0" w:line="240" w:lineRule="auto"/>
        <w:ind w:firstLine="360"/>
        <w:rPr>
          <w:rFonts w:ascii="Times New Roman" w:hAnsi="Times New Roman" w:cs="Times New Roman"/>
          <w:sz w:val="24"/>
          <w:szCs w:val="24"/>
        </w:rPr>
      </w:pPr>
    </w:p>
    <w:tbl>
      <w:tblPr>
        <w:tblW w:w="9352" w:type="dxa"/>
        <w:tblLook w:val="04A0" w:firstRow="1" w:lastRow="0" w:firstColumn="1" w:lastColumn="0" w:noHBand="0" w:noVBand="1"/>
      </w:tblPr>
      <w:tblGrid>
        <w:gridCol w:w="2430"/>
        <w:gridCol w:w="944"/>
        <w:gridCol w:w="854"/>
        <w:gridCol w:w="854"/>
        <w:gridCol w:w="854"/>
        <w:gridCol w:w="854"/>
        <w:gridCol w:w="854"/>
        <w:gridCol w:w="854"/>
        <w:gridCol w:w="854"/>
      </w:tblGrid>
      <w:tr w:rsidR="008407A3" w:rsidRPr="0004333C" w14:paraId="5AFAADF9" w14:textId="77777777" w:rsidTr="00826D6D">
        <w:trPr>
          <w:trHeight w:val="405"/>
        </w:trPr>
        <w:tc>
          <w:tcPr>
            <w:tcW w:w="9352" w:type="dxa"/>
            <w:gridSpan w:val="9"/>
            <w:tcBorders>
              <w:top w:val="nil"/>
              <w:left w:val="nil"/>
              <w:bottom w:val="nil"/>
              <w:right w:val="nil"/>
            </w:tcBorders>
            <w:shd w:val="clear" w:color="auto" w:fill="auto"/>
            <w:noWrap/>
            <w:hideMark/>
          </w:tcPr>
          <w:p w14:paraId="0BAF3115" w14:textId="6A6D3EF2" w:rsidR="008407A3" w:rsidRPr="008407A3" w:rsidRDefault="008407A3" w:rsidP="00453893">
            <w:pPr>
              <w:spacing w:after="0" w:line="240" w:lineRule="auto"/>
              <w:rPr>
                <w:rFonts w:ascii="Times New Roman" w:eastAsia="Times New Roman" w:hAnsi="Times New Roman" w:cs="Times New Roman"/>
                <w:szCs w:val="20"/>
              </w:rPr>
            </w:pPr>
            <w:r w:rsidRPr="008407A3">
              <w:rPr>
                <w:rFonts w:ascii="Calibri" w:eastAsia="Times New Roman" w:hAnsi="Calibri" w:cs="Times New Roman"/>
                <w:i/>
                <w:iCs/>
                <w:color w:val="000000"/>
                <w:szCs w:val="18"/>
              </w:rPr>
              <w:t>Table 1: Example EERS with Annual First-Year EE Savings Targets Specified in Percent Terms</w:t>
            </w:r>
          </w:p>
        </w:tc>
      </w:tr>
      <w:tr w:rsidR="00453893" w:rsidRPr="0004333C" w14:paraId="2B2B4672" w14:textId="77777777" w:rsidTr="00453893">
        <w:trPr>
          <w:trHeight w:val="405"/>
        </w:trPr>
        <w:tc>
          <w:tcPr>
            <w:tcW w:w="2430" w:type="dxa"/>
            <w:tcBorders>
              <w:top w:val="single" w:sz="4" w:space="0" w:color="auto"/>
              <w:left w:val="nil"/>
              <w:bottom w:val="single" w:sz="4" w:space="0" w:color="auto"/>
              <w:right w:val="nil"/>
            </w:tcBorders>
            <w:shd w:val="clear" w:color="auto" w:fill="auto"/>
            <w:noWrap/>
            <w:hideMark/>
          </w:tcPr>
          <w:p w14:paraId="5DF0FDE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944" w:type="dxa"/>
            <w:tcBorders>
              <w:top w:val="single" w:sz="4" w:space="0" w:color="auto"/>
              <w:left w:val="nil"/>
              <w:bottom w:val="single" w:sz="4" w:space="0" w:color="auto"/>
              <w:right w:val="nil"/>
            </w:tcBorders>
            <w:shd w:val="clear" w:color="auto" w:fill="auto"/>
            <w:noWrap/>
            <w:hideMark/>
          </w:tcPr>
          <w:p w14:paraId="01495599"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2015</w:t>
            </w:r>
          </w:p>
        </w:tc>
        <w:tc>
          <w:tcPr>
            <w:tcW w:w="854" w:type="dxa"/>
            <w:tcBorders>
              <w:top w:val="single" w:sz="4" w:space="0" w:color="auto"/>
              <w:left w:val="nil"/>
              <w:bottom w:val="single" w:sz="4" w:space="0" w:color="auto"/>
              <w:right w:val="nil"/>
            </w:tcBorders>
            <w:shd w:val="clear" w:color="auto" w:fill="auto"/>
            <w:noWrap/>
            <w:hideMark/>
          </w:tcPr>
          <w:p w14:paraId="7565776A"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2016</w:t>
            </w:r>
          </w:p>
        </w:tc>
        <w:tc>
          <w:tcPr>
            <w:tcW w:w="854" w:type="dxa"/>
            <w:tcBorders>
              <w:top w:val="single" w:sz="4" w:space="0" w:color="auto"/>
              <w:left w:val="nil"/>
              <w:bottom w:val="single" w:sz="4" w:space="0" w:color="auto"/>
              <w:right w:val="nil"/>
            </w:tcBorders>
            <w:shd w:val="clear" w:color="auto" w:fill="auto"/>
            <w:noWrap/>
            <w:hideMark/>
          </w:tcPr>
          <w:p w14:paraId="50A31D7C"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2017</w:t>
            </w:r>
          </w:p>
        </w:tc>
        <w:tc>
          <w:tcPr>
            <w:tcW w:w="854" w:type="dxa"/>
            <w:tcBorders>
              <w:top w:val="single" w:sz="4" w:space="0" w:color="auto"/>
              <w:left w:val="nil"/>
              <w:bottom w:val="single" w:sz="4" w:space="0" w:color="auto"/>
              <w:right w:val="nil"/>
            </w:tcBorders>
            <w:shd w:val="clear" w:color="auto" w:fill="auto"/>
            <w:noWrap/>
            <w:hideMark/>
          </w:tcPr>
          <w:p w14:paraId="1CAF0CB8"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2018</w:t>
            </w:r>
          </w:p>
        </w:tc>
        <w:tc>
          <w:tcPr>
            <w:tcW w:w="854" w:type="dxa"/>
            <w:tcBorders>
              <w:top w:val="single" w:sz="4" w:space="0" w:color="auto"/>
              <w:left w:val="nil"/>
              <w:bottom w:val="single" w:sz="4" w:space="0" w:color="auto"/>
              <w:right w:val="nil"/>
            </w:tcBorders>
            <w:shd w:val="clear" w:color="auto" w:fill="auto"/>
            <w:noWrap/>
            <w:hideMark/>
          </w:tcPr>
          <w:p w14:paraId="0287AD30"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2019</w:t>
            </w:r>
          </w:p>
        </w:tc>
        <w:tc>
          <w:tcPr>
            <w:tcW w:w="854" w:type="dxa"/>
            <w:tcBorders>
              <w:top w:val="single" w:sz="4" w:space="0" w:color="auto"/>
              <w:left w:val="nil"/>
              <w:bottom w:val="single" w:sz="4" w:space="0" w:color="auto"/>
              <w:right w:val="nil"/>
            </w:tcBorders>
            <w:shd w:val="clear" w:color="auto" w:fill="auto"/>
            <w:noWrap/>
            <w:hideMark/>
          </w:tcPr>
          <w:p w14:paraId="2A0BC2B6"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2020</w:t>
            </w:r>
          </w:p>
        </w:tc>
        <w:tc>
          <w:tcPr>
            <w:tcW w:w="854" w:type="dxa"/>
            <w:tcBorders>
              <w:top w:val="single" w:sz="4" w:space="0" w:color="auto"/>
              <w:left w:val="nil"/>
              <w:bottom w:val="single" w:sz="4" w:space="0" w:color="auto"/>
              <w:right w:val="nil"/>
            </w:tcBorders>
            <w:shd w:val="clear" w:color="auto" w:fill="auto"/>
            <w:noWrap/>
            <w:hideMark/>
          </w:tcPr>
          <w:p w14:paraId="20398368"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2021</w:t>
            </w:r>
          </w:p>
        </w:tc>
        <w:tc>
          <w:tcPr>
            <w:tcW w:w="854" w:type="dxa"/>
            <w:tcBorders>
              <w:top w:val="single" w:sz="4" w:space="0" w:color="auto"/>
              <w:left w:val="nil"/>
              <w:bottom w:val="single" w:sz="4" w:space="0" w:color="auto"/>
              <w:right w:val="nil"/>
            </w:tcBorders>
            <w:shd w:val="clear" w:color="auto" w:fill="auto"/>
            <w:noWrap/>
            <w:hideMark/>
          </w:tcPr>
          <w:p w14:paraId="5972FB9B"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2022</w:t>
            </w:r>
          </w:p>
        </w:tc>
      </w:tr>
      <w:tr w:rsidR="00453893" w:rsidRPr="0004333C" w14:paraId="74C3E26E" w14:textId="77777777" w:rsidTr="00453893">
        <w:trPr>
          <w:trHeight w:val="405"/>
        </w:trPr>
        <w:tc>
          <w:tcPr>
            <w:tcW w:w="2430" w:type="dxa"/>
            <w:tcBorders>
              <w:top w:val="nil"/>
              <w:left w:val="nil"/>
              <w:bottom w:val="single" w:sz="4" w:space="0" w:color="auto"/>
              <w:right w:val="nil"/>
            </w:tcBorders>
            <w:shd w:val="clear" w:color="auto" w:fill="auto"/>
            <w:hideMark/>
          </w:tcPr>
          <w:p w14:paraId="363A54CA"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Baseline sales of </w:t>
            </w:r>
            <w:r>
              <w:rPr>
                <w:rFonts w:ascii="Calibri" w:eastAsia="Times New Roman" w:hAnsi="Calibri" w:cs="Times New Roman"/>
                <w:color w:val="000000"/>
                <w:sz w:val="18"/>
                <w:szCs w:val="18"/>
              </w:rPr>
              <w:t xml:space="preserve">affected </w:t>
            </w:r>
            <w:r w:rsidRPr="0004333C">
              <w:rPr>
                <w:rFonts w:ascii="Calibri" w:eastAsia="Times New Roman" w:hAnsi="Calibri" w:cs="Times New Roman"/>
                <w:color w:val="000000"/>
                <w:sz w:val="18"/>
                <w:szCs w:val="18"/>
              </w:rPr>
              <w:t>utilities (GWh) (B)</w:t>
            </w:r>
          </w:p>
        </w:tc>
        <w:tc>
          <w:tcPr>
            <w:tcW w:w="944" w:type="dxa"/>
            <w:tcBorders>
              <w:top w:val="nil"/>
              <w:left w:val="nil"/>
              <w:bottom w:val="single" w:sz="4" w:space="0" w:color="auto"/>
              <w:right w:val="nil"/>
            </w:tcBorders>
            <w:shd w:val="clear" w:color="auto" w:fill="auto"/>
            <w:noWrap/>
            <w:hideMark/>
          </w:tcPr>
          <w:p w14:paraId="76D386E5"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50,000.0</w:t>
            </w:r>
          </w:p>
        </w:tc>
        <w:tc>
          <w:tcPr>
            <w:tcW w:w="854" w:type="dxa"/>
            <w:tcBorders>
              <w:top w:val="nil"/>
              <w:left w:val="nil"/>
              <w:bottom w:val="single" w:sz="4" w:space="0" w:color="auto"/>
              <w:right w:val="nil"/>
            </w:tcBorders>
            <w:shd w:val="clear" w:color="auto" w:fill="auto"/>
            <w:noWrap/>
            <w:hideMark/>
          </w:tcPr>
          <w:p w14:paraId="2BEB0444"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50,500.0</w:t>
            </w:r>
          </w:p>
        </w:tc>
        <w:tc>
          <w:tcPr>
            <w:tcW w:w="854" w:type="dxa"/>
            <w:tcBorders>
              <w:top w:val="nil"/>
              <w:left w:val="nil"/>
              <w:bottom w:val="single" w:sz="4" w:space="0" w:color="auto"/>
              <w:right w:val="nil"/>
            </w:tcBorders>
            <w:shd w:val="clear" w:color="auto" w:fill="auto"/>
            <w:noWrap/>
            <w:hideMark/>
          </w:tcPr>
          <w:p w14:paraId="720F6EF4"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51,005.0</w:t>
            </w:r>
          </w:p>
        </w:tc>
        <w:tc>
          <w:tcPr>
            <w:tcW w:w="854" w:type="dxa"/>
            <w:tcBorders>
              <w:top w:val="nil"/>
              <w:left w:val="nil"/>
              <w:bottom w:val="single" w:sz="4" w:space="0" w:color="auto"/>
              <w:right w:val="nil"/>
            </w:tcBorders>
            <w:shd w:val="clear" w:color="auto" w:fill="auto"/>
            <w:noWrap/>
            <w:hideMark/>
          </w:tcPr>
          <w:p w14:paraId="5520871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51,515.1</w:t>
            </w:r>
          </w:p>
        </w:tc>
        <w:tc>
          <w:tcPr>
            <w:tcW w:w="854" w:type="dxa"/>
            <w:tcBorders>
              <w:top w:val="nil"/>
              <w:left w:val="nil"/>
              <w:bottom w:val="single" w:sz="4" w:space="0" w:color="auto"/>
              <w:right w:val="nil"/>
            </w:tcBorders>
            <w:shd w:val="clear" w:color="auto" w:fill="auto"/>
            <w:noWrap/>
            <w:hideMark/>
          </w:tcPr>
          <w:p w14:paraId="5BEA7DE7"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52,030.2</w:t>
            </w:r>
          </w:p>
        </w:tc>
        <w:tc>
          <w:tcPr>
            <w:tcW w:w="854" w:type="dxa"/>
            <w:tcBorders>
              <w:top w:val="nil"/>
              <w:left w:val="nil"/>
              <w:bottom w:val="single" w:sz="4" w:space="0" w:color="auto"/>
              <w:right w:val="nil"/>
            </w:tcBorders>
            <w:shd w:val="clear" w:color="auto" w:fill="auto"/>
            <w:noWrap/>
            <w:hideMark/>
          </w:tcPr>
          <w:p w14:paraId="4DECE1E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52,550.5</w:t>
            </w:r>
          </w:p>
        </w:tc>
        <w:tc>
          <w:tcPr>
            <w:tcW w:w="854" w:type="dxa"/>
            <w:tcBorders>
              <w:top w:val="nil"/>
              <w:left w:val="nil"/>
              <w:bottom w:val="single" w:sz="4" w:space="0" w:color="auto"/>
              <w:right w:val="nil"/>
            </w:tcBorders>
            <w:shd w:val="clear" w:color="auto" w:fill="auto"/>
            <w:noWrap/>
            <w:hideMark/>
          </w:tcPr>
          <w:p w14:paraId="13A2623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53,076.0</w:t>
            </w:r>
          </w:p>
        </w:tc>
        <w:tc>
          <w:tcPr>
            <w:tcW w:w="854" w:type="dxa"/>
            <w:tcBorders>
              <w:top w:val="nil"/>
              <w:left w:val="nil"/>
              <w:bottom w:val="single" w:sz="4" w:space="0" w:color="auto"/>
              <w:right w:val="nil"/>
            </w:tcBorders>
            <w:shd w:val="clear" w:color="auto" w:fill="auto"/>
            <w:noWrap/>
            <w:hideMark/>
          </w:tcPr>
          <w:p w14:paraId="579E738E"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53,606.8</w:t>
            </w:r>
          </w:p>
        </w:tc>
      </w:tr>
      <w:tr w:rsidR="00453893" w:rsidRPr="0004333C" w14:paraId="6F8FE56D" w14:textId="77777777" w:rsidTr="00453893">
        <w:trPr>
          <w:trHeight w:val="405"/>
        </w:trPr>
        <w:tc>
          <w:tcPr>
            <w:tcW w:w="2430" w:type="dxa"/>
            <w:tcBorders>
              <w:top w:val="nil"/>
              <w:left w:val="nil"/>
              <w:bottom w:val="single" w:sz="4" w:space="0" w:color="auto"/>
              <w:right w:val="nil"/>
            </w:tcBorders>
            <w:shd w:val="clear" w:color="auto" w:fill="auto"/>
            <w:hideMark/>
          </w:tcPr>
          <w:p w14:paraId="19D2799E"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First-year percent savings target (%) (r) </w:t>
            </w:r>
          </w:p>
        </w:tc>
        <w:tc>
          <w:tcPr>
            <w:tcW w:w="944" w:type="dxa"/>
            <w:tcBorders>
              <w:top w:val="nil"/>
              <w:left w:val="nil"/>
              <w:bottom w:val="single" w:sz="4" w:space="0" w:color="auto"/>
              <w:right w:val="nil"/>
            </w:tcBorders>
            <w:shd w:val="clear" w:color="auto" w:fill="auto"/>
            <w:noWrap/>
            <w:hideMark/>
          </w:tcPr>
          <w:p w14:paraId="3A906C5A"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51999D4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w:t>
            </w:r>
          </w:p>
        </w:tc>
        <w:tc>
          <w:tcPr>
            <w:tcW w:w="854" w:type="dxa"/>
            <w:tcBorders>
              <w:top w:val="nil"/>
              <w:left w:val="nil"/>
              <w:bottom w:val="single" w:sz="4" w:space="0" w:color="auto"/>
              <w:right w:val="nil"/>
            </w:tcBorders>
            <w:shd w:val="clear" w:color="auto" w:fill="auto"/>
            <w:noWrap/>
            <w:hideMark/>
          </w:tcPr>
          <w:p w14:paraId="0D3270F4"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w:t>
            </w:r>
          </w:p>
        </w:tc>
        <w:tc>
          <w:tcPr>
            <w:tcW w:w="854" w:type="dxa"/>
            <w:tcBorders>
              <w:top w:val="nil"/>
              <w:left w:val="nil"/>
              <w:bottom w:val="single" w:sz="4" w:space="0" w:color="auto"/>
              <w:right w:val="nil"/>
            </w:tcBorders>
            <w:shd w:val="clear" w:color="auto" w:fill="auto"/>
            <w:noWrap/>
            <w:hideMark/>
          </w:tcPr>
          <w:p w14:paraId="6323E5CE"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w:t>
            </w:r>
          </w:p>
        </w:tc>
        <w:tc>
          <w:tcPr>
            <w:tcW w:w="854" w:type="dxa"/>
            <w:tcBorders>
              <w:top w:val="nil"/>
              <w:left w:val="nil"/>
              <w:bottom w:val="single" w:sz="4" w:space="0" w:color="auto"/>
              <w:right w:val="nil"/>
            </w:tcBorders>
            <w:shd w:val="clear" w:color="000000" w:fill="D9D9D9"/>
            <w:noWrap/>
            <w:hideMark/>
          </w:tcPr>
          <w:p w14:paraId="7333ED45"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2A225D5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0362999D"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78ABBD73"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r>
      <w:tr w:rsidR="00453893" w:rsidRPr="0004333C" w14:paraId="4D01EF14" w14:textId="77777777" w:rsidTr="00453893">
        <w:trPr>
          <w:trHeight w:val="405"/>
        </w:trPr>
        <w:tc>
          <w:tcPr>
            <w:tcW w:w="2430" w:type="dxa"/>
            <w:tcBorders>
              <w:top w:val="nil"/>
              <w:left w:val="nil"/>
              <w:bottom w:val="single" w:sz="4" w:space="0" w:color="auto"/>
              <w:right w:val="nil"/>
            </w:tcBorders>
            <w:shd w:val="clear" w:color="auto" w:fill="auto"/>
            <w:hideMark/>
          </w:tcPr>
          <w:p w14:paraId="7E618227"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First-year energy savings (GWh) (A)</w:t>
            </w:r>
          </w:p>
        </w:tc>
        <w:tc>
          <w:tcPr>
            <w:tcW w:w="944" w:type="dxa"/>
            <w:tcBorders>
              <w:top w:val="nil"/>
              <w:left w:val="nil"/>
              <w:bottom w:val="single" w:sz="4" w:space="0" w:color="auto"/>
              <w:right w:val="nil"/>
            </w:tcBorders>
            <w:shd w:val="clear" w:color="auto" w:fill="auto"/>
            <w:noWrap/>
            <w:hideMark/>
          </w:tcPr>
          <w:p w14:paraId="7DCB003C"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6FD4F78E"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1,000.0</w:t>
            </w:r>
          </w:p>
        </w:tc>
        <w:tc>
          <w:tcPr>
            <w:tcW w:w="854" w:type="dxa"/>
            <w:tcBorders>
              <w:top w:val="nil"/>
              <w:left w:val="nil"/>
              <w:bottom w:val="single" w:sz="4" w:space="0" w:color="auto"/>
              <w:right w:val="nil"/>
            </w:tcBorders>
            <w:shd w:val="clear" w:color="auto" w:fill="auto"/>
            <w:noWrap/>
            <w:hideMark/>
          </w:tcPr>
          <w:p w14:paraId="5829E2DE"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991.0</w:t>
            </w:r>
          </w:p>
        </w:tc>
        <w:tc>
          <w:tcPr>
            <w:tcW w:w="854" w:type="dxa"/>
            <w:tcBorders>
              <w:top w:val="nil"/>
              <w:left w:val="nil"/>
              <w:bottom w:val="single" w:sz="4" w:space="0" w:color="auto"/>
              <w:right w:val="nil"/>
            </w:tcBorders>
            <w:shd w:val="clear" w:color="auto" w:fill="auto"/>
            <w:noWrap/>
            <w:hideMark/>
          </w:tcPr>
          <w:p w14:paraId="59F14839"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982.3</w:t>
            </w:r>
          </w:p>
        </w:tc>
        <w:tc>
          <w:tcPr>
            <w:tcW w:w="854" w:type="dxa"/>
            <w:tcBorders>
              <w:top w:val="nil"/>
              <w:left w:val="nil"/>
              <w:bottom w:val="single" w:sz="4" w:space="0" w:color="auto"/>
              <w:right w:val="nil"/>
            </w:tcBorders>
            <w:shd w:val="clear" w:color="000000" w:fill="D9D9D9"/>
            <w:noWrap/>
            <w:hideMark/>
          </w:tcPr>
          <w:p w14:paraId="186C89ED"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16F40D0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2BA5C8A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120E633E"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r>
      <w:tr w:rsidR="00453893" w:rsidRPr="0004333C" w14:paraId="72454D09" w14:textId="77777777" w:rsidTr="00453893">
        <w:trPr>
          <w:trHeight w:val="405"/>
        </w:trPr>
        <w:tc>
          <w:tcPr>
            <w:tcW w:w="2430" w:type="dxa"/>
            <w:tcBorders>
              <w:top w:val="nil"/>
              <w:left w:val="nil"/>
              <w:bottom w:val="single" w:sz="4" w:space="0" w:color="auto"/>
              <w:right w:val="nil"/>
            </w:tcBorders>
            <w:shd w:val="clear" w:color="auto" w:fill="auto"/>
            <w:hideMark/>
          </w:tcPr>
          <w:p w14:paraId="5E3DBCE3"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Cumulative energy savings (GWh) (C) </w:t>
            </w:r>
          </w:p>
        </w:tc>
        <w:tc>
          <w:tcPr>
            <w:tcW w:w="944" w:type="dxa"/>
            <w:tcBorders>
              <w:top w:val="nil"/>
              <w:left w:val="nil"/>
              <w:bottom w:val="single" w:sz="4" w:space="0" w:color="auto"/>
              <w:right w:val="nil"/>
            </w:tcBorders>
            <w:shd w:val="clear" w:color="auto" w:fill="auto"/>
            <w:noWrap/>
            <w:hideMark/>
          </w:tcPr>
          <w:p w14:paraId="01843C84"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49124495"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1,000.0</w:t>
            </w:r>
          </w:p>
        </w:tc>
        <w:tc>
          <w:tcPr>
            <w:tcW w:w="854" w:type="dxa"/>
            <w:tcBorders>
              <w:top w:val="nil"/>
              <w:left w:val="nil"/>
              <w:bottom w:val="single" w:sz="4" w:space="0" w:color="auto"/>
              <w:right w:val="nil"/>
            </w:tcBorders>
            <w:shd w:val="clear" w:color="auto" w:fill="auto"/>
            <w:noWrap/>
            <w:hideMark/>
          </w:tcPr>
          <w:p w14:paraId="5CDDDD8C"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1,991.0</w:t>
            </w:r>
          </w:p>
        </w:tc>
        <w:tc>
          <w:tcPr>
            <w:tcW w:w="854" w:type="dxa"/>
            <w:tcBorders>
              <w:top w:val="nil"/>
              <w:left w:val="nil"/>
              <w:bottom w:val="single" w:sz="4" w:space="0" w:color="auto"/>
              <w:right w:val="nil"/>
            </w:tcBorders>
            <w:shd w:val="clear" w:color="auto" w:fill="auto"/>
            <w:noWrap/>
            <w:hideMark/>
          </w:tcPr>
          <w:p w14:paraId="46892BDC"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2,973.3</w:t>
            </w:r>
          </w:p>
        </w:tc>
        <w:tc>
          <w:tcPr>
            <w:tcW w:w="854" w:type="dxa"/>
            <w:tcBorders>
              <w:top w:val="nil"/>
              <w:left w:val="nil"/>
              <w:bottom w:val="single" w:sz="4" w:space="0" w:color="auto"/>
              <w:right w:val="nil"/>
            </w:tcBorders>
            <w:shd w:val="clear" w:color="auto" w:fill="auto"/>
            <w:noWrap/>
            <w:hideMark/>
          </w:tcPr>
          <w:p w14:paraId="17647542"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2,973.3</w:t>
            </w:r>
          </w:p>
        </w:tc>
        <w:tc>
          <w:tcPr>
            <w:tcW w:w="854" w:type="dxa"/>
            <w:tcBorders>
              <w:top w:val="nil"/>
              <w:left w:val="nil"/>
              <w:bottom w:val="single" w:sz="4" w:space="0" w:color="auto"/>
              <w:right w:val="nil"/>
            </w:tcBorders>
            <w:shd w:val="clear" w:color="auto" w:fill="auto"/>
            <w:noWrap/>
            <w:hideMark/>
          </w:tcPr>
          <w:p w14:paraId="03F332C2"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1,973.3</w:t>
            </w:r>
          </w:p>
        </w:tc>
        <w:tc>
          <w:tcPr>
            <w:tcW w:w="854" w:type="dxa"/>
            <w:tcBorders>
              <w:top w:val="nil"/>
              <w:left w:val="nil"/>
              <w:bottom w:val="single" w:sz="4" w:space="0" w:color="auto"/>
              <w:right w:val="nil"/>
            </w:tcBorders>
            <w:shd w:val="clear" w:color="auto" w:fill="auto"/>
            <w:noWrap/>
            <w:hideMark/>
          </w:tcPr>
          <w:p w14:paraId="23EEDE6C"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982.3</w:t>
            </w:r>
          </w:p>
        </w:tc>
        <w:tc>
          <w:tcPr>
            <w:tcW w:w="854" w:type="dxa"/>
            <w:tcBorders>
              <w:top w:val="nil"/>
              <w:left w:val="nil"/>
              <w:bottom w:val="single" w:sz="4" w:space="0" w:color="auto"/>
              <w:right w:val="nil"/>
            </w:tcBorders>
            <w:shd w:val="clear" w:color="auto" w:fill="auto"/>
            <w:noWrap/>
            <w:hideMark/>
          </w:tcPr>
          <w:p w14:paraId="1DD79394"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0.0</w:t>
            </w:r>
          </w:p>
        </w:tc>
      </w:tr>
      <w:tr w:rsidR="00453893" w:rsidRPr="0004333C" w14:paraId="637F3E60" w14:textId="77777777" w:rsidTr="00453893">
        <w:trPr>
          <w:trHeight w:val="405"/>
        </w:trPr>
        <w:tc>
          <w:tcPr>
            <w:tcW w:w="2430" w:type="dxa"/>
            <w:tcBorders>
              <w:top w:val="nil"/>
              <w:left w:val="nil"/>
              <w:bottom w:val="single" w:sz="4" w:space="0" w:color="auto"/>
              <w:right w:val="nil"/>
            </w:tcBorders>
            <w:shd w:val="clear" w:color="auto" w:fill="auto"/>
            <w:hideMark/>
          </w:tcPr>
          <w:p w14:paraId="67A93BEB"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Cumulative savings embedded (GWh) (E) </w:t>
            </w:r>
          </w:p>
        </w:tc>
        <w:tc>
          <w:tcPr>
            <w:tcW w:w="944" w:type="dxa"/>
            <w:tcBorders>
              <w:top w:val="nil"/>
              <w:left w:val="nil"/>
              <w:bottom w:val="single" w:sz="4" w:space="0" w:color="auto"/>
              <w:right w:val="nil"/>
            </w:tcBorders>
            <w:shd w:val="clear" w:color="auto" w:fill="auto"/>
            <w:noWrap/>
            <w:hideMark/>
          </w:tcPr>
          <w:p w14:paraId="626C84B4"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782BE187"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50.0</w:t>
            </w:r>
          </w:p>
        </w:tc>
        <w:tc>
          <w:tcPr>
            <w:tcW w:w="854" w:type="dxa"/>
            <w:tcBorders>
              <w:top w:val="nil"/>
              <w:left w:val="nil"/>
              <w:bottom w:val="single" w:sz="4" w:space="0" w:color="auto"/>
              <w:right w:val="nil"/>
            </w:tcBorders>
            <w:shd w:val="clear" w:color="auto" w:fill="auto"/>
            <w:noWrap/>
            <w:hideMark/>
          </w:tcPr>
          <w:p w14:paraId="4677E6B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100.0</w:t>
            </w:r>
          </w:p>
        </w:tc>
        <w:tc>
          <w:tcPr>
            <w:tcW w:w="854" w:type="dxa"/>
            <w:tcBorders>
              <w:top w:val="nil"/>
              <w:left w:val="nil"/>
              <w:bottom w:val="single" w:sz="4" w:space="0" w:color="auto"/>
              <w:right w:val="nil"/>
            </w:tcBorders>
            <w:shd w:val="clear" w:color="auto" w:fill="auto"/>
            <w:noWrap/>
            <w:hideMark/>
          </w:tcPr>
          <w:p w14:paraId="00DAB8E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150.0</w:t>
            </w:r>
          </w:p>
        </w:tc>
        <w:tc>
          <w:tcPr>
            <w:tcW w:w="854" w:type="dxa"/>
            <w:tcBorders>
              <w:top w:val="nil"/>
              <w:left w:val="nil"/>
              <w:bottom w:val="single" w:sz="4" w:space="0" w:color="auto"/>
              <w:right w:val="nil"/>
            </w:tcBorders>
            <w:shd w:val="clear" w:color="auto" w:fill="auto"/>
            <w:noWrap/>
            <w:hideMark/>
          </w:tcPr>
          <w:p w14:paraId="61F40ECB"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150.0</w:t>
            </w:r>
          </w:p>
        </w:tc>
        <w:tc>
          <w:tcPr>
            <w:tcW w:w="854" w:type="dxa"/>
            <w:tcBorders>
              <w:top w:val="nil"/>
              <w:left w:val="nil"/>
              <w:bottom w:val="single" w:sz="4" w:space="0" w:color="auto"/>
              <w:right w:val="nil"/>
            </w:tcBorders>
            <w:shd w:val="clear" w:color="auto" w:fill="auto"/>
            <w:noWrap/>
            <w:hideMark/>
          </w:tcPr>
          <w:p w14:paraId="6AE8674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100.0</w:t>
            </w:r>
          </w:p>
        </w:tc>
        <w:tc>
          <w:tcPr>
            <w:tcW w:w="854" w:type="dxa"/>
            <w:tcBorders>
              <w:top w:val="nil"/>
              <w:left w:val="nil"/>
              <w:bottom w:val="single" w:sz="4" w:space="0" w:color="auto"/>
              <w:right w:val="nil"/>
            </w:tcBorders>
            <w:shd w:val="clear" w:color="auto" w:fill="auto"/>
            <w:noWrap/>
            <w:hideMark/>
          </w:tcPr>
          <w:p w14:paraId="70CED273"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50.0</w:t>
            </w:r>
          </w:p>
        </w:tc>
        <w:tc>
          <w:tcPr>
            <w:tcW w:w="854" w:type="dxa"/>
            <w:tcBorders>
              <w:top w:val="nil"/>
              <w:left w:val="nil"/>
              <w:bottom w:val="single" w:sz="4" w:space="0" w:color="auto"/>
              <w:right w:val="nil"/>
            </w:tcBorders>
            <w:shd w:val="clear" w:color="auto" w:fill="auto"/>
            <w:noWrap/>
            <w:hideMark/>
          </w:tcPr>
          <w:p w14:paraId="496C86E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0.0</w:t>
            </w:r>
          </w:p>
        </w:tc>
      </w:tr>
      <w:tr w:rsidR="00453893" w:rsidRPr="0004333C" w14:paraId="0DD84A72" w14:textId="77777777" w:rsidTr="00453893">
        <w:trPr>
          <w:trHeight w:val="405"/>
        </w:trPr>
        <w:tc>
          <w:tcPr>
            <w:tcW w:w="2430" w:type="dxa"/>
            <w:tcBorders>
              <w:top w:val="nil"/>
              <w:left w:val="nil"/>
              <w:bottom w:val="single" w:sz="4" w:space="0" w:color="auto"/>
              <w:right w:val="nil"/>
            </w:tcBorders>
            <w:shd w:val="clear" w:color="auto" w:fill="auto"/>
            <w:hideMark/>
          </w:tcPr>
          <w:p w14:paraId="2388E482"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Cumulative savings incremental (GWh) (I) </w:t>
            </w:r>
          </w:p>
        </w:tc>
        <w:tc>
          <w:tcPr>
            <w:tcW w:w="944" w:type="dxa"/>
            <w:tcBorders>
              <w:top w:val="nil"/>
              <w:left w:val="nil"/>
              <w:bottom w:val="single" w:sz="4" w:space="0" w:color="auto"/>
              <w:right w:val="nil"/>
            </w:tcBorders>
            <w:shd w:val="clear" w:color="auto" w:fill="auto"/>
            <w:noWrap/>
            <w:hideMark/>
          </w:tcPr>
          <w:p w14:paraId="55B31DD3"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538C163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950.0</w:t>
            </w:r>
          </w:p>
        </w:tc>
        <w:tc>
          <w:tcPr>
            <w:tcW w:w="854" w:type="dxa"/>
            <w:tcBorders>
              <w:top w:val="nil"/>
              <w:left w:val="nil"/>
              <w:bottom w:val="single" w:sz="4" w:space="0" w:color="auto"/>
              <w:right w:val="nil"/>
            </w:tcBorders>
            <w:shd w:val="clear" w:color="auto" w:fill="auto"/>
            <w:noWrap/>
            <w:hideMark/>
          </w:tcPr>
          <w:p w14:paraId="403E4C9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1,891.0</w:t>
            </w:r>
          </w:p>
        </w:tc>
        <w:tc>
          <w:tcPr>
            <w:tcW w:w="854" w:type="dxa"/>
            <w:tcBorders>
              <w:top w:val="nil"/>
              <w:left w:val="nil"/>
              <w:bottom w:val="single" w:sz="4" w:space="0" w:color="auto"/>
              <w:right w:val="nil"/>
            </w:tcBorders>
            <w:shd w:val="clear" w:color="auto" w:fill="auto"/>
            <w:noWrap/>
            <w:hideMark/>
          </w:tcPr>
          <w:p w14:paraId="310E5285"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2,823.3</w:t>
            </w:r>
          </w:p>
        </w:tc>
        <w:tc>
          <w:tcPr>
            <w:tcW w:w="854" w:type="dxa"/>
            <w:tcBorders>
              <w:top w:val="nil"/>
              <w:left w:val="nil"/>
              <w:bottom w:val="single" w:sz="4" w:space="0" w:color="auto"/>
              <w:right w:val="nil"/>
            </w:tcBorders>
            <w:shd w:val="clear" w:color="auto" w:fill="auto"/>
            <w:noWrap/>
            <w:hideMark/>
          </w:tcPr>
          <w:p w14:paraId="0D807B3B"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2,823.3</w:t>
            </w:r>
          </w:p>
        </w:tc>
        <w:tc>
          <w:tcPr>
            <w:tcW w:w="854" w:type="dxa"/>
            <w:tcBorders>
              <w:top w:val="nil"/>
              <w:left w:val="nil"/>
              <w:bottom w:val="single" w:sz="4" w:space="0" w:color="auto"/>
              <w:right w:val="nil"/>
            </w:tcBorders>
            <w:shd w:val="clear" w:color="auto" w:fill="auto"/>
            <w:noWrap/>
            <w:hideMark/>
          </w:tcPr>
          <w:p w14:paraId="150441C8"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1,873.3</w:t>
            </w:r>
          </w:p>
        </w:tc>
        <w:tc>
          <w:tcPr>
            <w:tcW w:w="854" w:type="dxa"/>
            <w:tcBorders>
              <w:top w:val="nil"/>
              <w:left w:val="nil"/>
              <w:bottom w:val="single" w:sz="4" w:space="0" w:color="auto"/>
              <w:right w:val="nil"/>
            </w:tcBorders>
            <w:shd w:val="clear" w:color="auto" w:fill="auto"/>
            <w:noWrap/>
            <w:hideMark/>
          </w:tcPr>
          <w:p w14:paraId="5F5C43BC"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932.3</w:t>
            </w:r>
          </w:p>
        </w:tc>
        <w:tc>
          <w:tcPr>
            <w:tcW w:w="854" w:type="dxa"/>
            <w:tcBorders>
              <w:top w:val="nil"/>
              <w:left w:val="nil"/>
              <w:bottom w:val="single" w:sz="4" w:space="0" w:color="auto"/>
              <w:right w:val="nil"/>
            </w:tcBorders>
            <w:shd w:val="clear" w:color="auto" w:fill="auto"/>
            <w:noWrap/>
            <w:hideMark/>
          </w:tcPr>
          <w:p w14:paraId="719F7855"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0.0</w:t>
            </w:r>
          </w:p>
        </w:tc>
      </w:tr>
      <w:tr w:rsidR="00453893" w:rsidRPr="0004333C" w14:paraId="569D445E" w14:textId="77777777" w:rsidTr="00453893">
        <w:trPr>
          <w:trHeight w:val="405"/>
        </w:trPr>
        <w:tc>
          <w:tcPr>
            <w:tcW w:w="2430" w:type="dxa"/>
            <w:tcBorders>
              <w:top w:val="nil"/>
              <w:left w:val="nil"/>
              <w:bottom w:val="single" w:sz="4" w:space="0" w:color="auto"/>
              <w:right w:val="nil"/>
            </w:tcBorders>
            <w:shd w:val="clear" w:color="auto" w:fill="auto"/>
            <w:hideMark/>
          </w:tcPr>
          <w:p w14:paraId="3DACAABE"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Adjusted sales after incremental savings (GWh) (Z) </w:t>
            </w:r>
          </w:p>
        </w:tc>
        <w:tc>
          <w:tcPr>
            <w:tcW w:w="944" w:type="dxa"/>
            <w:tcBorders>
              <w:top w:val="nil"/>
              <w:left w:val="nil"/>
              <w:bottom w:val="single" w:sz="4" w:space="0" w:color="auto"/>
              <w:right w:val="nil"/>
            </w:tcBorders>
            <w:shd w:val="clear" w:color="auto" w:fill="auto"/>
            <w:noWrap/>
            <w:hideMark/>
          </w:tcPr>
          <w:p w14:paraId="241EFEC3"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50,000.0</w:t>
            </w:r>
          </w:p>
        </w:tc>
        <w:tc>
          <w:tcPr>
            <w:tcW w:w="854" w:type="dxa"/>
            <w:tcBorders>
              <w:top w:val="nil"/>
              <w:left w:val="nil"/>
              <w:bottom w:val="single" w:sz="4" w:space="0" w:color="auto"/>
              <w:right w:val="nil"/>
            </w:tcBorders>
            <w:shd w:val="clear" w:color="auto" w:fill="auto"/>
            <w:noWrap/>
            <w:hideMark/>
          </w:tcPr>
          <w:p w14:paraId="54203A1B"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49,550.0</w:t>
            </w:r>
          </w:p>
        </w:tc>
        <w:tc>
          <w:tcPr>
            <w:tcW w:w="854" w:type="dxa"/>
            <w:tcBorders>
              <w:top w:val="nil"/>
              <w:left w:val="nil"/>
              <w:bottom w:val="single" w:sz="4" w:space="0" w:color="auto"/>
              <w:right w:val="nil"/>
            </w:tcBorders>
            <w:shd w:val="clear" w:color="auto" w:fill="auto"/>
            <w:noWrap/>
            <w:hideMark/>
          </w:tcPr>
          <w:p w14:paraId="736211A5"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49,114.0</w:t>
            </w:r>
          </w:p>
        </w:tc>
        <w:tc>
          <w:tcPr>
            <w:tcW w:w="854" w:type="dxa"/>
            <w:tcBorders>
              <w:top w:val="nil"/>
              <w:left w:val="nil"/>
              <w:bottom w:val="single" w:sz="4" w:space="0" w:color="auto"/>
              <w:right w:val="nil"/>
            </w:tcBorders>
            <w:shd w:val="clear" w:color="auto" w:fill="auto"/>
            <w:noWrap/>
            <w:hideMark/>
          </w:tcPr>
          <w:p w14:paraId="144BE01A"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48,691.8</w:t>
            </w:r>
          </w:p>
        </w:tc>
        <w:tc>
          <w:tcPr>
            <w:tcW w:w="854" w:type="dxa"/>
            <w:tcBorders>
              <w:top w:val="nil"/>
              <w:left w:val="nil"/>
              <w:bottom w:val="single" w:sz="4" w:space="0" w:color="auto"/>
              <w:right w:val="nil"/>
            </w:tcBorders>
            <w:shd w:val="clear" w:color="auto" w:fill="auto"/>
            <w:noWrap/>
            <w:hideMark/>
          </w:tcPr>
          <w:p w14:paraId="3DE11458"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49,206.9</w:t>
            </w:r>
          </w:p>
        </w:tc>
        <w:tc>
          <w:tcPr>
            <w:tcW w:w="854" w:type="dxa"/>
            <w:tcBorders>
              <w:top w:val="nil"/>
              <w:left w:val="nil"/>
              <w:bottom w:val="single" w:sz="4" w:space="0" w:color="auto"/>
              <w:right w:val="nil"/>
            </w:tcBorders>
            <w:shd w:val="clear" w:color="auto" w:fill="auto"/>
            <w:noWrap/>
            <w:hideMark/>
          </w:tcPr>
          <w:p w14:paraId="7ED65812"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50,677.2</w:t>
            </w:r>
          </w:p>
        </w:tc>
        <w:tc>
          <w:tcPr>
            <w:tcW w:w="854" w:type="dxa"/>
            <w:tcBorders>
              <w:top w:val="nil"/>
              <w:left w:val="nil"/>
              <w:bottom w:val="single" w:sz="4" w:space="0" w:color="auto"/>
              <w:right w:val="nil"/>
            </w:tcBorders>
            <w:shd w:val="clear" w:color="auto" w:fill="auto"/>
            <w:noWrap/>
            <w:hideMark/>
          </w:tcPr>
          <w:p w14:paraId="7FFD9E2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52,143.7</w:t>
            </w:r>
          </w:p>
        </w:tc>
        <w:tc>
          <w:tcPr>
            <w:tcW w:w="854" w:type="dxa"/>
            <w:tcBorders>
              <w:top w:val="nil"/>
              <w:left w:val="nil"/>
              <w:bottom w:val="single" w:sz="4" w:space="0" w:color="auto"/>
              <w:right w:val="nil"/>
            </w:tcBorders>
            <w:shd w:val="clear" w:color="auto" w:fill="auto"/>
            <w:noWrap/>
            <w:hideMark/>
          </w:tcPr>
          <w:p w14:paraId="3FA9227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53,606.8</w:t>
            </w:r>
          </w:p>
        </w:tc>
      </w:tr>
    </w:tbl>
    <w:p w14:paraId="1DB38DDA" w14:textId="77777777" w:rsidR="00453893" w:rsidRPr="00D65A3B" w:rsidRDefault="00453893" w:rsidP="00722BD1">
      <w:pPr>
        <w:spacing w:after="0" w:line="240" w:lineRule="auto"/>
        <w:ind w:firstLine="360"/>
        <w:rPr>
          <w:rFonts w:ascii="Times New Roman" w:hAnsi="Times New Roman" w:cs="Times New Roman"/>
          <w:sz w:val="24"/>
          <w:szCs w:val="24"/>
        </w:rPr>
      </w:pPr>
    </w:p>
    <w:p w14:paraId="67DAB79E" w14:textId="77777777" w:rsidR="00DE3EE4" w:rsidRPr="00D65A3B" w:rsidRDefault="00DE3EE4" w:rsidP="00DE3EE4">
      <w:pPr>
        <w:spacing w:after="0" w:line="240" w:lineRule="auto"/>
        <w:ind w:firstLine="720"/>
        <w:rPr>
          <w:rFonts w:ascii="Times New Roman" w:hAnsi="Times New Roman" w:cs="Times New Roman"/>
          <w:sz w:val="24"/>
          <w:szCs w:val="24"/>
        </w:rPr>
      </w:pPr>
    </w:p>
    <w:p w14:paraId="4CC32814" w14:textId="06CD241B" w:rsidR="00DE3EE4" w:rsidRPr="00D65A3B" w:rsidRDefault="00CA2FE5" w:rsidP="00DE3EE4">
      <w:pPr>
        <w:spacing w:after="0" w:line="240" w:lineRule="auto"/>
        <w:ind w:firstLine="720"/>
        <w:rPr>
          <w:rFonts w:ascii="Times New Roman" w:hAnsi="Times New Roman" w:cs="Times New Roman"/>
          <w:b/>
          <w:sz w:val="24"/>
          <w:szCs w:val="24"/>
        </w:rPr>
      </w:pPr>
      <w:r w:rsidRPr="00D65A3B">
        <w:rPr>
          <w:rFonts w:ascii="Times New Roman" w:hAnsi="Times New Roman" w:cs="Times New Roman"/>
          <w:b/>
          <w:sz w:val="24"/>
          <w:szCs w:val="24"/>
        </w:rPr>
        <w:t xml:space="preserve">2. </w:t>
      </w:r>
      <w:r w:rsidR="00DE3EE4" w:rsidRPr="00D65A3B">
        <w:rPr>
          <w:rFonts w:ascii="Times New Roman" w:hAnsi="Times New Roman" w:cs="Times New Roman"/>
          <w:b/>
          <w:sz w:val="24"/>
          <w:szCs w:val="24"/>
        </w:rPr>
        <w:t>EERS with Annual First-Year EE Savings Targets Specified in Absolute Terms</w:t>
      </w:r>
    </w:p>
    <w:p w14:paraId="75E559FC" w14:textId="77777777" w:rsidR="00DE3EE4" w:rsidRPr="00D65A3B" w:rsidRDefault="00DE3EE4" w:rsidP="00DE3EE4">
      <w:pPr>
        <w:spacing w:after="0" w:line="240" w:lineRule="auto"/>
        <w:ind w:firstLine="720"/>
        <w:rPr>
          <w:rFonts w:ascii="Times New Roman" w:hAnsi="Times New Roman" w:cs="Times New Roman"/>
          <w:sz w:val="24"/>
          <w:szCs w:val="24"/>
        </w:rPr>
      </w:pPr>
    </w:p>
    <w:p w14:paraId="7ABA06C3"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C(t) = A(t) + A(t-1) + … + A(t-L+1)</w:t>
      </w:r>
    </w:p>
    <w:p w14:paraId="4DA26E89"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I(t) = C(t) - E(t)</w:t>
      </w:r>
    </w:p>
    <w:p w14:paraId="6B7755CF"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Z(t) = B(t) - I(t) </w:t>
      </w:r>
    </w:p>
    <w:p w14:paraId="5C23D072" w14:textId="77777777" w:rsidR="00DE3EE4" w:rsidRPr="00D65A3B" w:rsidRDefault="00DE3EE4" w:rsidP="00722BD1">
      <w:pPr>
        <w:spacing w:after="0" w:line="240" w:lineRule="auto"/>
        <w:ind w:firstLine="360"/>
        <w:rPr>
          <w:rFonts w:ascii="Times New Roman" w:hAnsi="Times New Roman" w:cs="Times New Roman"/>
          <w:sz w:val="24"/>
          <w:szCs w:val="24"/>
        </w:rPr>
      </w:pPr>
    </w:p>
    <w:p w14:paraId="65009521"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Where: </w:t>
      </w:r>
    </w:p>
    <w:p w14:paraId="62660C85"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A is the annual first-year energy savings target,</w:t>
      </w:r>
    </w:p>
    <w:p w14:paraId="7FFB3BFB"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L is the measure lifetime, </w:t>
      </w:r>
    </w:p>
    <w:p w14:paraId="6438FB13" w14:textId="67DA741A"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B is the </w:t>
      </w:r>
      <w:r w:rsidR="003A4E75">
        <w:rPr>
          <w:rFonts w:ascii="Times New Roman" w:hAnsi="Times New Roman" w:cs="Times New Roman"/>
          <w:sz w:val="24"/>
          <w:szCs w:val="24"/>
        </w:rPr>
        <w:t xml:space="preserve">base case </w:t>
      </w:r>
      <w:r w:rsidRPr="00D65A3B">
        <w:rPr>
          <w:rFonts w:ascii="Times New Roman" w:hAnsi="Times New Roman" w:cs="Times New Roman"/>
          <w:sz w:val="24"/>
          <w:szCs w:val="24"/>
        </w:rPr>
        <w:t xml:space="preserve">sales of utilities affected by these specific policies, </w:t>
      </w:r>
    </w:p>
    <w:p w14:paraId="79050182"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C is the cumulative energy savings, </w:t>
      </w:r>
    </w:p>
    <w:p w14:paraId="5017D0DC" w14:textId="79629EC9" w:rsidR="00DE3EE4" w:rsidRPr="00D65A3B" w:rsidRDefault="00DE3EE4" w:rsidP="0035489D">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E is the cumulative savings embedded in the </w:t>
      </w:r>
      <w:r w:rsidR="00F53B0E">
        <w:rPr>
          <w:rFonts w:ascii="Times New Roman" w:hAnsi="Times New Roman" w:cs="Times New Roman"/>
          <w:sz w:val="24"/>
          <w:szCs w:val="24"/>
        </w:rPr>
        <w:t>base case demand forecast</w:t>
      </w:r>
      <w:r w:rsidRPr="00D65A3B">
        <w:rPr>
          <w:rFonts w:ascii="Times New Roman" w:hAnsi="Times New Roman" w:cs="Times New Roman"/>
          <w:sz w:val="24"/>
          <w:szCs w:val="24"/>
        </w:rPr>
        <w:t xml:space="preserve">, </w:t>
      </w:r>
    </w:p>
    <w:p w14:paraId="3CB472D8" w14:textId="57728C90" w:rsidR="00DE3EE4" w:rsidRPr="00D65A3B" w:rsidRDefault="00DE3EE4" w:rsidP="00B928F8">
      <w:pPr>
        <w:spacing w:after="0" w:line="240" w:lineRule="auto"/>
        <w:ind w:left="360"/>
        <w:rPr>
          <w:rFonts w:ascii="Times New Roman" w:hAnsi="Times New Roman" w:cs="Times New Roman"/>
          <w:sz w:val="24"/>
          <w:szCs w:val="24"/>
        </w:rPr>
      </w:pPr>
      <w:r w:rsidRPr="00D65A3B">
        <w:rPr>
          <w:rFonts w:ascii="Times New Roman" w:hAnsi="Times New Roman" w:cs="Times New Roman"/>
          <w:sz w:val="24"/>
          <w:szCs w:val="24"/>
        </w:rPr>
        <w:t xml:space="preserve">I is the cumulative savings incremental to </w:t>
      </w:r>
      <w:r w:rsidR="0035489D">
        <w:rPr>
          <w:rFonts w:ascii="Times New Roman" w:hAnsi="Times New Roman" w:cs="Times New Roman"/>
          <w:sz w:val="24"/>
          <w:szCs w:val="24"/>
        </w:rPr>
        <w:t>the</w:t>
      </w:r>
      <w:r w:rsidR="00F53B0E">
        <w:rPr>
          <w:rFonts w:ascii="Times New Roman" w:hAnsi="Times New Roman" w:cs="Times New Roman"/>
          <w:sz w:val="24"/>
          <w:szCs w:val="24"/>
        </w:rPr>
        <w:t xml:space="preserve"> base case demand forecast</w:t>
      </w:r>
      <w:r w:rsidRPr="00D65A3B">
        <w:rPr>
          <w:rFonts w:ascii="Times New Roman" w:hAnsi="Times New Roman" w:cs="Times New Roman"/>
          <w:sz w:val="24"/>
          <w:szCs w:val="24"/>
        </w:rPr>
        <w:t xml:space="preserve">, and </w:t>
      </w:r>
    </w:p>
    <w:p w14:paraId="71A6AA06" w14:textId="77777777" w:rsidR="00DE3EE4"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Z is the adjusted sales after application of cumulative incremental savings.</w:t>
      </w:r>
    </w:p>
    <w:p w14:paraId="6F3F8F08" w14:textId="27C90D34" w:rsidR="00453893" w:rsidRDefault="00453893" w:rsidP="00722BD1">
      <w:pPr>
        <w:spacing w:after="0" w:line="240" w:lineRule="auto"/>
        <w:ind w:firstLine="360"/>
        <w:rPr>
          <w:rFonts w:ascii="Times New Roman" w:hAnsi="Times New Roman" w:cs="Times New Roman"/>
          <w:sz w:val="24"/>
          <w:szCs w:val="24"/>
        </w:rPr>
      </w:pPr>
    </w:p>
    <w:p w14:paraId="59A18AB8" w14:textId="10A5D990" w:rsidR="00453893" w:rsidRDefault="00883D67" w:rsidP="00883D67">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For example, a </w:t>
      </w:r>
      <w:r w:rsidR="00453893" w:rsidRPr="005C6873">
        <w:rPr>
          <w:rFonts w:ascii="Times New Roman" w:hAnsi="Times New Roman" w:cs="Times New Roman"/>
          <w:sz w:val="24"/>
          <w:szCs w:val="24"/>
        </w:rPr>
        <w:t xml:space="preserve">representative state has an </w:t>
      </w:r>
      <w:r w:rsidR="00453893">
        <w:rPr>
          <w:rFonts w:ascii="Times New Roman" w:hAnsi="Times New Roman" w:cs="Times New Roman"/>
          <w:sz w:val="24"/>
          <w:szCs w:val="24"/>
        </w:rPr>
        <w:t>EERS first-year target of 1,000 GWh in 2016, increasing by about 2% per year for 2017-</w:t>
      </w:r>
      <w:r w:rsidR="008A4ECA">
        <w:rPr>
          <w:rFonts w:ascii="Times New Roman" w:hAnsi="Times New Roman" w:cs="Times New Roman"/>
          <w:sz w:val="24"/>
          <w:szCs w:val="24"/>
        </w:rPr>
        <w:t>20</w:t>
      </w:r>
      <w:r w:rsidR="00453893">
        <w:rPr>
          <w:rFonts w:ascii="Times New Roman" w:hAnsi="Times New Roman" w:cs="Times New Roman"/>
          <w:sz w:val="24"/>
          <w:szCs w:val="24"/>
        </w:rPr>
        <w:t xml:space="preserve">18 to the absolute targets shown in </w:t>
      </w:r>
      <w:r w:rsidR="008A4ECA">
        <w:rPr>
          <w:rFonts w:ascii="Times New Roman" w:hAnsi="Times New Roman" w:cs="Times New Roman"/>
          <w:sz w:val="24"/>
          <w:szCs w:val="24"/>
        </w:rPr>
        <w:t>the table below</w:t>
      </w:r>
      <w:r w:rsidR="00296415">
        <w:rPr>
          <w:rFonts w:ascii="Times New Roman" w:hAnsi="Times New Roman" w:cs="Times New Roman"/>
          <w:sz w:val="24"/>
          <w:szCs w:val="24"/>
        </w:rPr>
        <w:t>.</w:t>
      </w:r>
      <w:r w:rsidR="00453893">
        <w:rPr>
          <w:rFonts w:ascii="Times New Roman" w:hAnsi="Times New Roman" w:cs="Times New Roman"/>
          <w:sz w:val="24"/>
          <w:szCs w:val="24"/>
        </w:rPr>
        <w:t xml:space="preserve"> </w:t>
      </w:r>
      <w:r w:rsidR="00453893" w:rsidRPr="005C6873">
        <w:rPr>
          <w:rFonts w:ascii="Times New Roman" w:hAnsi="Times New Roman" w:cs="Times New Roman"/>
          <w:sz w:val="24"/>
          <w:szCs w:val="24"/>
        </w:rPr>
        <w:t xml:space="preserve">Forecasted </w:t>
      </w:r>
      <w:r w:rsidR="00453893" w:rsidRPr="0011148A">
        <w:rPr>
          <w:rFonts w:ascii="Times New Roman" w:hAnsi="Times New Roman" w:cs="Times New Roman"/>
          <w:sz w:val="24"/>
          <w:szCs w:val="24"/>
        </w:rPr>
        <w:t xml:space="preserve">baseline sales of utilities </w:t>
      </w:r>
      <w:r w:rsidR="00453893">
        <w:rPr>
          <w:rFonts w:ascii="Times New Roman" w:hAnsi="Times New Roman" w:cs="Times New Roman"/>
          <w:sz w:val="24"/>
          <w:szCs w:val="24"/>
        </w:rPr>
        <w:t xml:space="preserve">in </w:t>
      </w:r>
      <w:r w:rsidR="00453893" w:rsidRPr="005C6873">
        <w:rPr>
          <w:rFonts w:ascii="Times New Roman" w:hAnsi="Times New Roman" w:cs="Times New Roman"/>
          <w:sz w:val="24"/>
          <w:szCs w:val="24"/>
        </w:rPr>
        <w:t xml:space="preserve">2015 are </w:t>
      </w:r>
      <w:r w:rsidR="00453893">
        <w:rPr>
          <w:rFonts w:ascii="Times New Roman" w:hAnsi="Times New Roman" w:cs="Times New Roman"/>
          <w:sz w:val="24"/>
          <w:szCs w:val="24"/>
        </w:rPr>
        <w:t>50</w:t>
      </w:r>
      <w:r w:rsidR="00453893" w:rsidRPr="005C6873">
        <w:rPr>
          <w:rFonts w:ascii="Times New Roman" w:hAnsi="Times New Roman" w:cs="Times New Roman"/>
          <w:sz w:val="24"/>
          <w:szCs w:val="24"/>
        </w:rPr>
        <w:t xml:space="preserve">,000 GWh, </w:t>
      </w:r>
      <w:r w:rsidR="00453893">
        <w:rPr>
          <w:rFonts w:ascii="Times New Roman" w:hAnsi="Times New Roman" w:cs="Times New Roman"/>
          <w:sz w:val="24"/>
          <w:szCs w:val="24"/>
        </w:rPr>
        <w:t xml:space="preserve">growing by 1% each year of the </w:t>
      </w:r>
      <w:r w:rsidR="00453893">
        <w:rPr>
          <w:rFonts w:ascii="Times New Roman" w:hAnsi="Times New Roman" w:cs="Times New Roman"/>
          <w:sz w:val="24"/>
          <w:szCs w:val="24"/>
        </w:rPr>
        <w:lastRenderedPageBreak/>
        <w:t>forecast period</w:t>
      </w:r>
      <w:r w:rsidR="00453893" w:rsidRPr="005C6873">
        <w:rPr>
          <w:rFonts w:ascii="Times New Roman" w:hAnsi="Times New Roman" w:cs="Times New Roman"/>
          <w:sz w:val="24"/>
          <w:szCs w:val="24"/>
        </w:rPr>
        <w:t xml:space="preserve">. </w:t>
      </w:r>
      <w:r w:rsidR="00453893">
        <w:rPr>
          <w:rFonts w:ascii="Times New Roman" w:hAnsi="Times New Roman" w:cs="Times New Roman"/>
          <w:sz w:val="24"/>
          <w:szCs w:val="24"/>
        </w:rPr>
        <w:t xml:space="preserve">Embedded savings are 50 GWh per year, applied to years in which first-year energy savings are realized. The measure lifetime assumed for both first-year energy savings and embedded savings is four years. </w:t>
      </w:r>
      <w:r w:rsidR="00453B05">
        <w:rPr>
          <w:rFonts w:ascii="Times New Roman" w:hAnsi="Times New Roman" w:cs="Times New Roman"/>
          <w:sz w:val="24"/>
          <w:szCs w:val="24"/>
        </w:rPr>
        <w:t>Table 2</w:t>
      </w:r>
      <w:r w:rsidR="00280B87">
        <w:rPr>
          <w:rFonts w:ascii="Times New Roman" w:hAnsi="Times New Roman" w:cs="Times New Roman"/>
          <w:sz w:val="24"/>
          <w:szCs w:val="24"/>
        </w:rPr>
        <w:t xml:space="preserve"> applies this example to the above </w:t>
      </w:r>
      <w:r w:rsidR="0021358E">
        <w:rPr>
          <w:rFonts w:ascii="Times New Roman" w:hAnsi="Times New Roman" w:cs="Times New Roman"/>
          <w:sz w:val="24"/>
          <w:szCs w:val="24"/>
        </w:rPr>
        <w:t>formula. States</w:t>
      </w:r>
      <w:r w:rsidR="00453893">
        <w:rPr>
          <w:rFonts w:ascii="Times New Roman" w:hAnsi="Times New Roman" w:cs="Times New Roman"/>
          <w:sz w:val="24"/>
          <w:szCs w:val="24"/>
        </w:rPr>
        <w:t xml:space="preserve"> that applied this structure during their EERS implementation include Florida, Iowa, and Oregon. </w:t>
      </w:r>
    </w:p>
    <w:p w14:paraId="2553AC48" w14:textId="77777777" w:rsidR="00453893" w:rsidRDefault="00453893" w:rsidP="00453893">
      <w:pPr>
        <w:spacing w:after="0" w:line="240" w:lineRule="auto"/>
        <w:ind w:firstLine="720"/>
        <w:rPr>
          <w:rFonts w:ascii="Times New Roman" w:hAnsi="Times New Roman" w:cs="Times New Roman"/>
          <w:sz w:val="24"/>
          <w:szCs w:val="24"/>
        </w:rPr>
      </w:pPr>
    </w:p>
    <w:tbl>
      <w:tblPr>
        <w:tblW w:w="9352" w:type="dxa"/>
        <w:tblLook w:val="04A0" w:firstRow="1" w:lastRow="0" w:firstColumn="1" w:lastColumn="0" w:noHBand="0" w:noVBand="1"/>
      </w:tblPr>
      <w:tblGrid>
        <w:gridCol w:w="2430"/>
        <w:gridCol w:w="944"/>
        <w:gridCol w:w="854"/>
        <w:gridCol w:w="854"/>
        <w:gridCol w:w="854"/>
        <w:gridCol w:w="854"/>
        <w:gridCol w:w="854"/>
        <w:gridCol w:w="854"/>
        <w:gridCol w:w="854"/>
      </w:tblGrid>
      <w:tr w:rsidR="008407A3" w:rsidRPr="0004333C" w14:paraId="07808353" w14:textId="77777777" w:rsidTr="00826D6D">
        <w:trPr>
          <w:trHeight w:val="405"/>
        </w:trPr>
        <w:tc>
          <w:tcPr>
            <w:tcW w:w="8498" w:type="dxa"/>
            <w:gridSpan w:val="8"/>
            <w:tcBorders>
              <w:top w:val="nil"/>
              <w:left w:val="nil"/>
              <w:bottom w:val="nil"/>
              <w:right w:val="nil"/>
            </w:tcBorders>
            <w:shd w:val="clear" w:color="auto" w:fill="auto"/>
            <w:noWrap/>
            <w:hideMark/>
          </w:tcPr>
          <w:p w14:paraId="5AFD2A16" w14:textId="7CC6CF49" w:rsidR="008407A3" w:rsidRPr="008407A3" w:rsidRDefault="008407A3" w:rsidP="00453893">
            <w:pPr>
              <w:spacing w:after="0" w:line="240" w:lineRule="auto"/>
              <w:rPr>
                <w:rFonts w:ascii="Calibri" w:eastAsia="Times New Roman" w:hAnsi="Calibri" w:cs="Times New Roman"/>
                <w:i/>
                <w:iCs/>
                <w:color w:val="000000"/>
                <w:szCs w:val="18"/>
              </w:rPr>
            </w:pPr>
            <w:r w:rsidRPr="008407A3">
              <w:rPr>
                <w:rFonts w:ascii="Calibri" w:eastAsia="Times New Roman" w:hAnsi="Calibri" w:cs="Times New Roman"/>
                <w:i/>
                <w:iCs/>
                <w:color w:val="000000"/>
                <w:szCs w:val="18"/>
              </w:rPr>
              <w:t>Table 2: Example EERS with Annual First-Year EE Savings Targets Specified in Absolute Terms</w:t>
            </w:r>
          </w:p>
        </w:tc>
        <w:tc>
          <w:tcPr>
            <w:tcW w:w="854" w:type="dxa"/>
            <w:tcBorders>
              <w:top w:val="nil"/>
              <w:left w:val="nil"/>
              <w:bottom w:val="nil"/>
              <w:right w:val="nil"/>
            </w:tcBorders>
            <w:shd w:val="clear" w:color="auto" w:fill="auto"/>
            <w:noWrap/>
            <w:hideMark/>
          </w:tcPr>
          <w:p w14:paraId="3D447D1D" w14:textId="77777777" w:rsidR="008407A3" w:rsidRPr="0004333C" w:rsidRDefault="008407A3" w:rsidP="00453893">
            <w:pPr>
              <w:spacing w:after="0" w:line="240" w:lineRule="auto"/>
              <w:rPr>
                <w:rFonts w:ascii="Times New Roman" w:eastAsia="Times New Roman" w:hAnsi="Times New Roman" w:cs="Times New Roman"/>
                <w:sz w:val="20"/>
                <w:szCs w:val="20"/>
              </w:rPr>
            </w:pPr>
          </w:p>
        </w:tc>
      </w:tr>
      <w:tr w:rsidR="00453893" w:rsidRPr="0004333C" w14:paraId="3D7C8A3E" w14:textId="77777777" w:rsidTr="00453893">
        <w:trPr>
          <w:trHeight w:val="390"/>
        </w:trPr>
        <w:tc>
          <w:tcPr>
            <w:tcW w:w="2430" w:type="dxa"/>
            <w:tcBorders>
              <w:top w:val="single" w:sz="4" w:space="0" w:color="auto"/>
              <w:left w:val="nil"/>
              <w:bottom w:val="single" w:sz="4" w:space="0" w:color="auto"/>
              <w:right w:val="nil"/>
            </w:tcBorders>
            <w:shd w:val="clear" w:color="auto" w:fill="auto"/>
            <w:noWrap/>
            <w:hideMark/>
          </w:tcPr>
          <w:p w14:paraId="683ACD0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944" w:type="dxa"/>
            <w:tcBorders>
              <w:top w:val="single" w:sz="4" w:space="0" w:color="auto"/>
              <w:left w:val="nil"/>
              <w:bottom w:val="single" w:sz="4" w:space="0" w:color="auto"/>
              <w:right w:val="nil"/>
            </w:tcBorders>
            <w:shd w:val="clear" w:color="auto" w:fill="auto"/>
            <w:noWrap/>
            <w:hideMark/>
          </w:tcPr>
          <w:p w14:paraId="32D9A459"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2015</w:t>
            </w:r>
          </w:p>
        </w:tc>
        <w:tc>
          <w:tcPr>
            <w:tcW w:w="854" w:type="dxa"/>
            <w:tcBorders>
              <w:top w:val="single" w:sz="4" w:space="0" w:color="auto"/>
              <w:left w:val="nil"/>
              <w:bottom w:val="single" w:sz="4" w:space="0" w:color="auto"/>
              <w:right w:val="nil"/>
            </w:tcBorders>
            <w:shd w:val="clear" w:color="auto" w:fill="auto"/>
            <w:noWrap/>
            <w:hideMark/>
          </w:tcPr>
          <w:p w14:paraId="6282B363"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2016</w:t>
            </w:r>
          </w:p>
        </w:tc>
        <w:tc>
          <w:tcPr>
            <w:tcW w:w="854" w:type="dxa"/>
            <w:tcBorders>
              <w:top w:val="single" w:sz="4" w:space="0" w:color="auto"/>
              <w:left w:val="nil"/>
              <w:bottom w:val="single" w:sz="4" w:space="0" w:color="auto"/>
              <w:right w:val="nil"/>
            </w:tcBorders>
            <w:shd w:val="clear" w:color="auto" w:fill="auto"/>
            <w:noWrap/>
            <w:hideMark/>
          </w:tcPr>
          <w:p w14:paraId="4B28BAA0"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2017</w:t>
            </w:r>
          </w:p>
        </w:tc>
        <w:tc>
          <w:tcPr>
            <w:tcW w:w="854" w:type="dxa"/>
            <w:tcBorders>
              <w:top w:val="single" w:sz="4" w:space="0" w:color="auto"/>
              <w:left w:val="nil"/>
              <w:bottom w:val="single" w:sz="4" w:space="0" w:color="auto"/>
              <w:right w:val="nil"/>
            </w:tcBorders>
            <w:shd w:val="clear" w:color="auto" w:fill="auto"/>
            <w:noWrap/>
            <w:hideMark/>
          </w:tcPr>
          <w:p w14:paraId="748C67E9"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2018</w:t>
            </w:r>
          </w:p>
        </w:tc>
        <w:tc>
          <w:tcPr>
            <w:tcW w:w="854" w:type="dxa"/>
            <w:tcBorders>
              <w:top w:val="single" w:sz="4" w:space="0" w:color="auto"/>
              <w:left w:val="nil"/>
              <w:bottom w:val="single" w:sz="4" w:space="0" w:color="auto"/>
              <w:right w:val="nil"/>
            </w:tcBorders>
            <w:shd w:val="clear" w:color="auto" w:fill="auto"/>
            <w:noWrap/>
            <w:hideMark/>
          </w:tcPr>
          <w:p w14:paraId="497B430A"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2019</w:t>
            </w:r>
          </w:p>
        </w:tc>
        <w:tc>
          <w:tcPr>
            <w:tcW w:w="854" w:type="dxa"/>
            <w:tcBorders>
              <w:top w:val="single" w:sz="4" w:space="0" w:color="auto"/>
              <w:left w:val="nil"/>
              <w:bottom w:val="single" w:sz="4" w:space="0" w:color="auto"/>
              <w:right w:val="nil"/>
            </w:tcBorders>
            <w:shd w:val="clear" w:color="auto" w:fill="auto"/>
            <w:noWrap/>
            <w:hideMark/>
          </w:tcPr>
          <w:p w14:paraId="18C7B7F8"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2020</w:t>
            </w:r>
          </w:p>
        </w:tc>
        <w:tc>
          <w:tcPr>
            <w:tcW w:w="854" w:type="dxa"/>
            <w:tcBorders>
              <w:top w:val="single" w:sz="4" w:space="0" w:color="auto"/>
              <w:left w:val="nil"/>
              <w:bottom w:val="single" w:sz="4" w:space="0" w:color="auto"/>
              <w:right w:val="nil"/>
            </w:tcBorders>
            <w:shd w:val="clear" w:color="auto" w:fill="auto"/>
            <w:noWrap/>
            <w:hideMark/>
          </w:tcPr>
          <w:p w14:paraId="40E956B2"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2021</w:t>
            </w:r>
          </w:p>
        </w:tc>
        <w:tc>
          <w:tcPr>
            <w:tcW w:w="854" w:type="dxa"/>
            <w:tcBorders>
              <w:top w:val="single" w:sz="4" w:space="0" w:color="auto"/>
              <w:left w:val="nil"/>
              <w:bottom w:val="single" w:sz="4" w:space="0" w:color="auto"/>
              <w:right w:val="nil"/>
            </w:tcBorders>
            <w:shd w:val="clear" w:color="auto" w:fill="auto"/>
            <w:noWrap/>
            <w:hideMark/>
          </w:tcPr>
          <w:p w14:paraId="52AFCDF1"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2022</w:t>
            </w:r>
          </w:p>
        </w:tc>
      </w:tr>
      <w:tr w:rsidR="00453893" w:rsidRPr="0004333C" w14:paraId="5BAF742F" w14:textId="77777777" w:rsidTr="00453893">
        <w:trPr>
          <w:trHeight w:val="390"/>
        </w:trPr>
        <w:tc>
          <w:tcPr>
            <w:tcW w:w="2430" w:type="dxa"/>
            <w:tcBorders>
              <w:top w:val="nil"/>
              <w:left w:val="nil"/>
              <w:bottom w:val="single" w:sz="4" w:space="0" w:color="auto"/>
              <w:right w:val="nil"/>
            </w:tcBorders>
            <w:shd w:val="clear" w:color="auto" w:fill="auto"/>
            <w:hideMark/>
          </w:tcPr>
          <w:p w14:paraId="6DD0316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Baseline sales of utilities (GWh) (B)</w:t>
            </w:r>
          </w:p>
        </w:tc>
        <w:tc>
          <w:tcPr>
            <w:tcW w:w="944" w:type="dxa"/>
            <w:tcBorders>
              <w:top w:val="nil"/>
              <w:left w:val="nil"/>
              <w:bottom w:val="single" w:sz="4" w:space="0" w:color="auto"/>
              <w:right w:val="nil"/>
            </w:tcBorders>
            <w:shd w:val="clear" w:color="auto" w:fill="auto"/>
            <w:noWrap/>
            <w:hideMark/>
          </w:tcPr>
          <w:p w14:paraId="670353AB"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50,000.0</w:t>
            </w:r>
          </w:p>
        </w:tc>
        <w:tc>
          <w:tcPr>
            <w:tcW w:w="854" w:type="dxa"/>
            <w:tcBorders>
              <w:top w:val="nil"/>
              <w:left w:val="nil"/>
              <w:bottom w:val="single" w:sz="4" w:space="0" w:color="auto"/>
              <w:right w:val="nil"/>
            </w:tcBorders>
            <w:shd w:val="clear" w:color="auto" w:fill="auto"/>
            <w:noWrap/>
            <w:hideMark/>
          </w:tcPr>
          <w:p w14:paraId="05ADA3A9"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50,500.0</w:t>
            </w:r>
          </w:p>
        </w:tc>
        <w:tc>
          <w:tcPr>
            <w:tcW w:w="854" w:type="dxa"/>
            <w:tcBorders>
              <w:top w:val="nil"/>
              <w:left w:val="nil"/>
              <w:bottom w:val="single" w:sz="4" w:space="0" w:color="auto"/>
              <w:right w:val="nil"/>
            </w:tcBorders>
            <w:shd w:val="clear" w:color="auto" w:fill="auto"/>
            <w:noWrap/>
            <w:hideMark/>
          </w:tcPr>
          <w:p w14:paraId="716C4A6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51,005.0</w:t>
            </w:r>
          </w:p>
        </w:tc>
        <w:tc>
          <w:tcPr>
            <w:tcW w:w="854" w:type="dxa"/>
            <w:tcBorders>
              <w:top w:val="nil"/>
              <w:left w:val="nil"/>
              <w:bottom w:val="single" w:sz="4" w:space="0" w:color="auto"/>
              <w:right w:val="nil"/>
            </w:tcBorders>
            <w:shd w:val="clear" w:color="auto" w:fill="auto"/>
            <w:noWrap/>
            <w:hideMark/>
          </w:tcPr>
          <w:p w14:paraId="626E701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51,515.1</w:t>
            </w:r>
          </w:p>
        </w:tc>
        <w:tc>
          <w:tcPr>
            <w:tcW w:w="854" w:type="dxa"/>
            <w:tcBorders>
              <w:top w:val="nil"/>
              <w:left w:val="nil"/>
              <w:bottom w:val="single" w:sz="4" w:space="0" w:color="auto"/>
              <w:right w:val="nil"/>
            </w:tcBorders>
            <w:shd w:val="clear" w:color="auto" w:fill="auto"/>
            <w:noWrap/>
            <w:hideMark/>
          </w:tcPr>
          <w:p w14:paraId="41CED7C8"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52,030.2</w:t>
            </w:r>
          </w:p>
        </w:tc>
        <w:tc>
          <w:tcPr>
            <w:tcW w:w="854" w:type="dxa"/>
            <w:tcBorders>
              <w:top w:val="nil"/>
              <w:left w:val="nil"/>
              <w:bottom w:val="single" w:sz="4" w:space="0" w:color="auto"/>
              <w:right w:val="nil"/>
            </w:tcBorders>
            <w:shd w:val="clear" w:color="auto" w:fill="auto"/>
            <w:noWrap/>
            <w:hideMark/>
          </w:tcPr>
          <w:p w14:paraId="3738DAB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52,550.5</w:t>
            </w:r>
          </w:p>
        </w:tc>
        <w:tc>
          <w:tcPr>
            <w:tcW w:w="854" w:type="dxa"/>
            <w:tcBorders>
              <w:top w:val="nil"/>
              <w:left w:val="nil"/>
              <w:bottom w:val="single" w:sz="4" w:space="0" w:color="auto"/>
              <w:right w:val="nil"/>
            </w:tcBorders>
            <w:shd w:val="clear" w:color="auto" w:fill="auto"/>
            <w:noWrap/>
            <w:hideMark/>
          </w:tcPr>
          <w:p w14:paraId="1B2A734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53,076.0</w:t>
            </w:r>
          </w:p>
        </w:tc>
        <w:tc>
          <w:tcPr>
            <w:tcW w:w="854" w:type="dxa"/>
            <w:tcBorders>
              <w:top w:val="nil"/>
              <w:left w:val="nil"/>
              <w:bottom w:val="single" w:sz="4" w:space="0" w:color="auto"/>
              <w:right w:val="nil"/>
            </w:tcBorders>
            <w:shd w:val="clear" w:color="auto" w:fill="auto"/>
            <w:noWrap/>
            <w:hideMark/>
          </w:tcPr>
          <w:p w14:paraId="4694F608"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53,606.8</w:t>
            </w:r>
          </w:p>
        </w:tc>
      </w:tr>
      <w:tr w:rsidR="00453893" w:rsidRPr="0004333C" w14:paraId="03002AA4" w14:textId="77777777" w:rsidTr="00453893">
        <w:trPr>
          <w:trHeight w:val="390"/>
        </w:trPr>
        <w:tc>
          <w:tcPr>
            <w:tcW w:w="2430" w:type="dxa"/>
            <w:tcBorders>
              <w:top w:val="nil"/>
              <w:left w:val="nil"/>
              <w:bottom w:val="single" w:sz="4" w:space="0" w:color="auto"/>
              <w:right w:val="nil"/>
            </w:tcBorders>
            <w:shd w:val="clear" w:color="auto" w:fill="auto"/>
            <w:hideMark/>
          </w:tcPr>
          <w:p w14:paraId="750922C3"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First-year energy savings (GWh) (A)</w:t>
            </w:r>
          </w:p>
        </w:tc>
        <w:tc>
          <w:tcPr>
            <w:tcW w:w="944" w:type="dxa"/>
            <w:tcBorders>
              <w:top w:val="nil"/>
              <w:left w:val="nil"/>
              <w:bottom w:val="single" w:sz="4" w:space="0" w:color="auto"/>
              <w:right w:val="nil"/>
            </w:tcBorders>
            <w:shd w:val="clear" w:color="auto" w:fill="auto"/>
            <w:noWrap/>
            <w:hideMark/>
          </w:tcPr>
          <w:p w14:paraId="7A877E0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3AFC02F4"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1,000.0</w:t>
            </w:r>
          </w:p>
        </w:tc>
        <w:tc>
          <w:tcPr>
            <w:tcW w:w="854" w:type="dxa"/>
            <w:tcBorders>
              <w:top w:val="nil"/>
              <w:left w:val="nil"/>
              <w:bottom w:val="single" w:sz="4" w:space="0" w:color="auto"/>
              <w:right w:val="nil"/>
            </w:tcBorders>
            <w:shd w:val="clear" w:color="auto" w:fill="auto"/>
            <w:noWrap/>
            <w:hideMark/>
          </w:tcPr>
          <w:p w14:paraId="710A2E1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1,020.0</w:t>
            </w:r>
          </w:p>
        </w:tc>
        <w:tc>
          <w:tcPr>
            <w:tcW w:w="854" w:type="dxa"/>
            <w:tcBorders>
              <w:top w:val="nil"/>
              <w:left w:val="nil"/>
              <w:bottom w:val="single" w:sz="4" w:space="0" w:color="auto"/>
              <w:right w:val="nil"/>
            </w:tcBorders>
            <w:shd w:val="clear" w:color="auto" w:fill="auto"/>
            <w:noWrap/>
            <w:hideMark/>
          </w:tcPr>
          <w:p w14:paraId="2E9643CE"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1,040.4</w:t>
            </w:r>
          </w:p>
        </w:tc>
        <w:tc>
          <w:tcPr>
            <w:tcW w:w="854" w:type="dxa"/>
            <w:tcBorders>
              <w:top w:val="nil"/>
              <w:left w:val="nil"/>
              <w:bottom w:val="single" w:sz="4" w:space="0" w:color="auto"/>
              <w:right w:val="nil"/>
            </w:tcBorders>
            <w:shd w:val="clear" w:color="000000" w:fill="D9D9D9"/>
            <w:noWrap/>
            <w:hideMark/>
          </w:tcPr>
          <w:p w14:paraId="55B3F29A"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736EE3B2"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00221722"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36DE2362"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r>
      <w:tr w:rsidR="00453893" w:rsidRPr="0004333C" w14:paraId="074FA459" w14:textId="77777777" w:rsidTr="00453893">
        <w:trPr>
          <w:trHeight w:val="390"/>
        </w:trPr>
        <w:tc>
          <w:tcPr>
            <w:tcW w:w="2430" w:type="dxa"/>
            <w:tcBorders>
              <w:top w:val="nil"/>
              <w:left w:val="nil"/>
              <w:bottom w:val="single" w:sz="4" w:space="0" w:color="auto"/>
              <w:right w:val="nil"/>
            </w:tcBorders>
            <w:shd w:val="clear" w:color="auto" w:fill="auto"/>
            <w:hideMark/>
          </w:tcPr>
          <w:p w14:paraId="387094BE"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Cumulative energy savings (GWh) (C) </w:t>
            </w:r>
          </w:p>
        </w:tc>
        <w:tc>
          <w:tcPr>
            <w:tcW w:w="944" w:type="dxa"/>
            <w:tcBorders>
              <w:top w:val="nil"/>
              <w:left w:val="nil"/>
              <w:bottom w:val="single" w:sz="4" w:space="0" w:color="auto"/>
              <w:right w:val="nil"/>
            </w:tcBorders>
            <w:shd w:val="clear" w:color="auto" w:fill="auto"/>
            <w:noWrap/>
            <w:hideMark/>
          </w:tcPr>
          <w:p w14:paraId="52071B9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75BA1CC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1,000.0</w:t>
            </w:r>
          </w:p>
        </w:tc>
        <w:tc>
          <w:tcPr>
            <w:tcW w:w="854" w:type="dxa"/>
            <w:tcBorders>
              <w:top w:val="nil"/>
              <w:left w:val="nil"/>
              <w:bottom w:val="single" w:sz="4" w:space="0" w:color="auto"/>
              <w:right w:val="nil"/>
            </w:tcBorders>
            <w:shd w:val="clear" w:color="auto" w:fill="auto"/>
            <w:noWrap/>
            <w:hideMark/>
          </w:tcPr>
          <w:p w14:paraId="7FF030CC"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2,020.0</w:t>
            </w:r>
          </w:p>
        </w:tc>
        <w:tc>
          <w:tcPr>
            <w:tcW w:w="854" w:type="dxa"/>
            <w:tcBorders>
              <w:top w:val="nil"/>
              <w:left w:val="nil"/>
              <w:bottom w:val="single" w:sz="4" w:space="0" w:color="auto"/>
              <w:right w:val="nil"/>
            </w:tcBorders>
            <w:shd w:val="clear" w:color="auto" w:fill="auto"/>
            <w:noWrap/>
            <w:hideMark/>
          </w:tcPr>
          <w:p w14:paraId="3C8D0F33"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3,060.4</w:t>
            </w:r>
          </w:p>
        </w:tc>
        <w:tc>
          <w:tcPr>
            <w:tcW w:w="854" w:type="dxa"/>
            <w:tcBorders>
              <w:top w:val="nil"/>
              <w:left w:val="nil"/>
              <w:bottom w:val="single" w:sz="4" w:space="0" w:color="auto"/>
              <w:right w:val="nil"/>
            </w:tcBorders>
            <w:shd w:val="clear" w:color="auto" w:fill="auto"/>
            <w:noWrap/>
            <w:hideMark/>
          </w:tcPr>
          <w:p w14:paraId="0A8CF292"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3,060.4</w:t>
            </w:r>
          </w:p>
        </w:tc>
        <w:tc>
          <w:tcPr>
            <w:tcW w:w="854" w:type="dxa"/>
            <w:tcBorders>
              <w:top w:val="nil"/>
              <w:left w:val="nil"/>
              <w:bottom w:val="single" w:sz="4" w:space="0" w:color="auto"/>
              <w:right w:val="nil"/>
            </w:tcBorders>
            <w:shd w:val="clear" w:color="auto" w:fill="auto"/>
            <w:noWrap/>
            <w:hideMark/>
          </w:tcPr>
          <w:p w14:paraId="5C4272C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2,060.4</w:t>
            </w:r>
          </w:p>
        </w:tc>
        <w:tc>
          <w:tcPr>
            <w:tcW w:w="854" w:type="dxa"/>
            <w:tcBorders>
              <w:top w:val="nil"/>
              <w:left w:val="nil"/>
              <w:bottom w:val="single" w:sz="4" w:space="0" w:color="auto"/>
              <w:right w:val="nil"/>
            </w:tcBorders>
            <w:shd w:val="clear" w:color="auto" w:fill="auto"/>
            <w:noWrap/>
            <w:hideMark/>
          </w:tcPr>
          <w:p w14:paraId="7C3913ED"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1,040.4</w:t>
            </w:r>
          </w:p>
        </w:tc>
        <w:tc>
          <w:tcPr>
            <w:tcW w:w="854" w:type="dxa"/>
            <w:tcBorders>
              <w:top w:val="nil"/>
              <w:left w:val="nil"/>
              <w:bottom w:val="single" w:sz="4" w:space="0" w:color="auto"/>
              <w:right w:val="nil"/>
            </w:tcBorders>
            <w:shd w:val="clear" w:color="auto" w:fill="auto"/>
            <w:noWrap/>
            <w:hideMark/>
          </w:tcPr>
          <w:p w14:paraId="34BE65AE"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0.0</w:t>
            </w:r>
          </w:p>
        </w:tc>
      </w:tr>
      <w:tr w:rsidR="00453893" w:rsidRPr="0004333C" w14:paraId="6EE2A9AF" w14:textId="77777777" w:rsidTr="00453893">
        <w:trPr>
          <w:trHeight w:val="390"/>
        </w:trPr>
        <w:tc>
          <w:tcPr>
            <w:tcW w:w="2430" w:type="dxa"/>
            <w:tcBorders>
              <w:top w:val="nil"/>
              <w:left w:val="nil"/>
              <w:bottom w:val="single" w:sz="4" w:space="0" w:color="auto"/>
              <w:right w:val="nil"/>
            </w:tcBorders>
            <w:shd w:val="clear" w:color="auto" w:fill="auto"/>
            <w:hideMark/>
          </w:tcPr>
          <w:p w14:paraId="15609F89" w14:textId="512DBB65"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Cumulative savings embedded (GWh) (E) </w:t>
            </w:r>
          </w:p>
        </w:tc>
        <w:tc>
          <w:tcPr>
            <w:tcW w:w="944" w:type="dxa"/>
            <w:tcBorders>
              <w:top w:val="nil"/>
              <w:left w:val="nil"/>
              <w:bottom w:val="single" w:sz="4" w:space="0" w:color="auto"/>
              <w:right w:val="nil"/>
            </w:tcBorders>
            <w:shd w:val="clear" w:color="auto" w:fill="auto"/>
            <w:noWrap/>
            <w:hideMark/>
          </w:tcPr>
          <w:p w14:paraId="36D4FCE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23F6CAE3"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50.0</w:t>
            </w:r>
          </w:p>
        </w:tc>
        <w:tc>
          <w:tcPr>
            <w:tcW w:w="854" w:type="dxa"/>
            <w:tcBorders>
              <w:top w:val="nil"/>
              <w:left w:val="nil"/>
              <w:bottom w:val="single" w:sz="4" w:space="0" w:color="auto"/>
              <w:right w:val="nil"/>
            </w:tcBorders>
            <w:shd w:val="clear" w:color="auto" w:fill="auto"/>
            <w:noWrap/>
            <w:hideMark/>
          </w:tcPr>
          <w:p w14:paraId="4DD23D4E"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100.0</w:t>
            </w:r>
          </w:p>
        </w:tc>
        <w:tc>
          <w:tcPr>
            <w:tcW w:w="854" w:type="dxa"/>
            <w:tcBorders>
              <w:top w:val="nil"/>
              <w:left w:val="nil"/>
              <w:bottom w:val="single" w:sz="4" w:space="0" w:color="auto"/>
              <w:right w:val="nil"/>
            </w:tcBorders>
            <w:shd w:val="clear" w:color="auto" w:fill="auto"/>
            <w:noWrap/>
            <w:hideMark/>
          </w:tcPr>
          <w:p w14:paraId="1586C72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150.0</w:t>
            </w:r>
          </w:p>
        </w:tc>
        <w:tc>
          <w:tcPr>
            <w:tcW w:w="854" w:type="dxa"/>
            <w:tcBorders>
              <w:top w:val="nil"/>
              <w:left w:val="nil"/>
              <w:bottom w:val="single" w:sz="4" w:space="0" w:color="auto"/>
              <w:right w:val="nil"/>
            </w:tcBorders>
            <w:shd w:val="clear" w:color="auto" w:fill="auto"/>
            <w:noWrap/>
            <w:hideMark/>
          </w:tcPr>
          <w:p w14:paraId="6E94147D"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150.0</w:t>
            </w:r>
          </w:p>
        </w:tc>
        <w:tc>
          <w:tcPr>
            <w:tcW w:w="854" w:type="dxa"/>
            <w:tcBorders>
              <w:top w:val="nil"/>
              <w:left w:val="nil"/>
              <w:bottom w:val="single" w:sz="4" w:space="0" w:color="auto"/>
              <w:right w:val="nil"/>
            </w:tcBorders>
            <w:shd w:val="clear" w:color="auto" w:fill="auto"/>
            <w:noWrap/>
            <w:hideMark/>
          </w:tcPr>
          <w:p w14:paraId="41E2E503"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100.0</w:t>
            </w:r>
          </w:p>
        </w:tc>
        <w:tc>
          <w:tcPr>
            <w:tcW w:w="854" w:type="dxa"/>
            <w:tcBorders>
              <w:top w:val="nil"/>
              <w:left w:val="nil"/>
              <w:bottom w:val="single" w:sz="4" w:space="0" w:color="auto"/>
              <w:right w:val="nil"/>
            </w:tcBorders>
            <w:shd w:val="clear" w:color="auto" w:fill="auto"/>
            <w:noWrap/>
            <w:hideMark/>
          </w:tcPr>
          <w:p w14:paraId="3878899E"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50.0</w:t>
            </w:r>
          </w:p>
        </w:tc>
        <w:tc>
          <w:tcPr>
            <w:tcW w:w="854" w:type="dxa"/>
            <w:tcBorders>
              <w:top w:val="nil"/>
              <w:left w:val="nil"/>
              <w:bottom w:val="single" w:sz="4" w:space="0" w:color="auto"/>
              <w:right w:val="nil"/>
            </w:tcBorders>
            <w:shd w:val="clear" w:color="auto" w:fill="auto"/>
            <w:noWrap/>
            <w:hideMark/>
          </w:tcPr>
          <w:p w14:paraId="034450F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0.0</w:t>
            </w:r>
          </w:p>
        </w:tc>
      </w:tr>
      <w:tr w:rsidR="00453893" w:rsidRPr="0004333C" w14:paraId="43401C17" w14:textId="77777777" w:rsidTr="00453893">
        <w:trPr>
          <w:trHeight w:val="390"/>
        </w:trPr>
        <w:tc>
          <w:tcPr>
            <w:tcW w:w="2430" w:type="dxa"/>
            <w:tcBorders>
              <w:top w:val="nil"/>
              <w:left w:val="nil"/>
              <w:bottom w:val="single" w:sz="4" w:space="0" w:color="auto"/>
              <w:right w:val="nil"/>
            </w:tcBorders>
            <w:shd w:val="clear" w:color="auto" w:fill="auto"/>
            <w:hideMark/>
          </w:tcPr>
          <w:p w14:paraId="089480E3"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Cumulative savings incremental (GWh) (I) </w:t>
            </w:r>
          </w:p>
        </w:tc>
        <w:tc>
          <w:tcPr>
            <w:tcW w:w="944" w:type="dxa"/>
            <w:tcBorders>
              <w:top w:val="nil"/>
              <w:left w:val="nil"/>
              <w:bottom w:val="single" w:sz="4" w:space="0" w:color="auto"/>
              <w:right w:val="nil"/>
            </w:tcBorders>
            <w:shd w:val="clear" w:color="auto" w:fill="auto"/>
            <w:noWrap/>
            <w:hideMark/>
          </w:tcPr>
          <w:p w14:paraId="442134A5"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48ED6FEA"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950.0</w:t>
            </w:r>
          </w:p>
        </w:tc>
        <w:tc>
          <w:tcPr>
            <w:tcW w:w="854" w:type="dxa"/>
            <w:tcBorders>
              <w:top w:val="nil"/>
              <w:left w:val="nil"/>
              <w:bottom w:val="single" w:sz="4" w:space="0" w:color="auto"/>
              <w:right w:val="nil"/>
            </w:tcBorders>
            <w:shd w:val="clear" w:color="auto" w:fill="auto"/>
            <w:noWrap/>
            <w:hideMark/>
          </w:tcPr>
          <w:p w14:paraId="57EB32E8"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1,920.0</w:t>
            </w:r>
          </w:p>
        </w:tc>
        <w:tc>
          <w:tcPr>
            <w:tcW w:w="854" w:type="dxa"/>
            <w:tcBorders>
              <w:top w:val="nil"/>
              <w:left w:val="nil"/>
              <w:bottom w:val="single" w:sz="4" w:space="0" w:color="auto"/>
              <w:right w:val="nil"/>
            </w:tcBorders>
            <w:shd w:val="clear" w:color="auto" w:fill="auto"/>
            <w:noWrap/>
            <w:hideMark/>
          </w:tcPr>
          <w:p w14:paraId="750CD262"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2,910.4</w:t>
            </w:r>
          </w:p>
        </w:tc>
        <w:tc>
          <w:tcPr>
            <w:tcW w:w="854" w:type="dxa"/>
            <w:tcBorders>
              <w:top w:val="nil"/>
              <w:left w:val="nil"/>
              <w:bottom w:val="single" w:sz="4" w:space="0" w:color="auto"/>
              <w:right w:val="nil"/>
            </w:tcBorders>
            <w:shd w:val="clear" w:color="auto" w:fill="auto"/>
            <w:noWrap/>
            <w:hideMark/>
          </w:tcPr>
          <w:p w14:paraId="07EFED38"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2,910.4</w:t>
            </w:r>
          </w:p>
        </w:tc>
        <w:tc>
          <w:tcPr>
            <w:tcW w:w="854" w:type="dxa"/>
            <w:tcBorders>
              <w:top w:val="nil"/>
              <w:left w:val="nil"/>
              <w:bottom w:val="single" w:sz="4" w:space="0" w:color="auto"/>
              <w:right w:val="nil"/>
            </w:tcBorders>
            <w:shd w:val="clear" w:color="auto" w:fill="auto"/>
            <w:noWrap/>
            <w:hideMark/>
          </w:tcPr>
          <w:p w14:paraId="1A6C3B5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1,960.4</w:t>
            </w:r>
          </w:p>
        </w:tc>
        <w:tc>
          <w:tcPr>
            <w:tcW w:w="854" w:type="dxa"/>
            <w:tcBorders>
              <w:top w:val="nil"/>
              <w:left w:val="nil"/>
              <w:bottom w:val="single" w:sz="4" w:space="0" w:color="auto"/>
              <w:right w:val="nil"/>
            </w:tcBorders>
            <w:shd w:val="clear" w:color="auto" w:fill="auto"/>
            <w:noWrap/>
            <w:hideMark/>
          </w:tcPr>
          <w:p w14:paraId="452C27DB"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990.4</w:t>
            </w:r>
          </w:p>
        </w:tc>
        <w:tc>
          <w:tcPr>
            <w:tcW w:w="854" w:type="dxa"/>
            <w:tcBorders>
              <w:top w:val="nil"/>
              <w:left w:val="nil"/>
              <w:bottom w:val="single" w:sz="4" w:space="0" w:color="auto"/>
              <w:right w:val="nil"/>
            </w:tcBorders>
            <w:shd w:val="clear" w:color="auto" w:fill="auto"/>
            <w:noWrap/>
            <w:hideMark/>
          </w:tcPr>
          <w:p w14:paraId="4A01D473"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0.0</w:t>
            </w:r>
          </w:p>
        </w:tc>
      </w:tr>
      <w:tr w:rsidR="00453893" w:rsidRPr="0004333C" w14:paraId="0650F72A" w14:textId="77777777" w:rsidTr="00453893">
        <w:trPr>
          <w:trHeight w:val="390"/>
        </w:trPr>
        <w:tc>
          <w:tcPr>
            <w:tcW w:w="2430" w:type="dxa"/>
            <w:tcBorders>
              <w:top w:val="nil"/>
              <w:left w:val="nil"/>
              <w:bottom w:val="single" w:sz="4" w:space="0" w:color="auto"/>
              <w:right w:val="nil"/>
            </w:tcBorders>
            <w:shd w:val="clear" w:color="auto" w:fill="auto"/>
            <w:hideMark/>
          </w:tcPr>
          <w:p w14:paraId="0D826FCE"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Adjusted sales after incremental savings (GWh) (Z) </w:t>
            </w:r>
          </w:p>
        </w:tc>
        <w:tc>
          <w:tcPr>
            <w:tcW w:w="944" w:type="dxa"/>
            <w:tcBorders>
              <w:top w:val="nil"/>
              <w:left w:val="nil"/>
              <w:bottom w:val="single" w:sz="4" w:space="0" w:color="auto"/>
              <w:right w:val="nil"/>
            </w:tcBorders>
            <w:shd w:val="clear" w:color="auto" w:fill="auto"/>
            <w:noWrap/>
            <w:hideMark/>
          </w:tcPr>
          <w:p w14:paraId="6007F652"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50,000.0</w:t>
            </w:r>
          </w:p>
        </w:tc>
        <w:tc>
          <w:tcPr>
            <w:tcW w:w="854" w:type="dxa"/>
            <w:tcBorders>
              <w:top w:val="nil"/>
              <w:left w:val="nil"/>
              <w:bottom w:val="single" w:sz="4" w:space="0" w:color="auto"/>
              <w:right w:val="nil"/>
            </w:tcBorders>
            <w:shd w:val="clear" w:color="auto" w:fill="auto"/>
            <w:noWrap/>
            <w:hideMark/>
          </w:tcPr>
          <w:p w14:paraId="2C81826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49,550.0</w:t>
            </w:r>
          </w:p>
        </w:tc>
        <w:tc>
          <w:tcPr>
            <w:tcW w:w="854" w:type="dxa"/>
            <w:tcBorders>
              <w:top w:val="nil"/>
              <w:left w:val="nil"/>
              <w:bottom w:val="single" w:sz="4" w:space="0" w:color="auto"/>
              <w:right w:val="nil"/>
            </w:tcBorders>
            <w:shd w:val="clear" w:color="auto" w:fill="auto"/>
            <w:noWrap/>
            <w:hideMark/>
          </w:tcPr>
          <w:p w14:paraId="7F738DDD"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49,085.0</w:t>
            </w:r>
          </w:p>
        </w:tc>
        <w:tc>
          <w:tcPr>
            <w:tcW w:w="854" w:type="dxa"/>
            <w:tcBorders>
              <w:top w:val="nil"/>
              <w:left w:val="nil"/>
              <w:bottom w:val="single" w:sz="4" w:space="0" w:color="auto"/>
              <w:right w:val="nil"/>
            </w:tcBorders>
            <w:shd w:val="clear" w:color="auto" w:fill="auto"/>
            <w:noWrap/>
            <w:hideMark/>
          </w:tcPr>
          <w:p w14:paraId="0F165432"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48,604.7</w:t>
            </w:r>
          </w:p>
        </w:tc>
        <w:tc>
          <w:tcPr>
            <w:tcW w:w="854" w:type="dxa"/>
            <w:tcBorders>
              <w:top w:val="nil"/>
              <w:left w:val="nil"/>
              <w:bottom w:val="single" w:sz="4" w:space="0" w:color="auto"/>
              <w:right w:val="nil"/>
            </w:tcBorders>
            <w:shd w:val="clear" w:color="auto" w:fill="auto"/>
            <w:noWrap/>
            <w:hideMark/>
          </w:tcPr>
          <w:p w14:paraId="66A8ADD8"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49,119.8</w:t>
            </w:r>
          </w:p>
        </w:tc>
        <w:tc>
          <w:tcPr>
            <w:tcW w:w="854" w:type="dxa"/>
            <w:tcBorders>
              <w:top w:val="nil"/>
              <w:left w:val="nil"/>
              <w:bottom w:val="single" w:sz="4" w:space="0" w:color="auto"/>
              <w:right w:val="nil"/>
            </w:tcBorders>
            <w:shd w:val="clear" w:color="auto" w:fill="auto"/>
            <w:noWrap/>
            <w:hideMark/>
          </w:tcPr>
          <w:p w14:paraId="702233B2"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50,590.1</w:t>
            </w:r>
          </w:p>
        </w:tc>
        <w:tc>
          <w:tcPr>
            <w:tcW w:w="854" w:type="dxa"/>
            <w:tcBorders>
              <w:top w:val="nil"/>
              <w:left w:val="nil"/>
              <w:bottom w:val="single" w:sz="4" w:space="0" w:color="auto"/>
              <w:right w:val="nil"/>
            </w:tcBorders>
            <w:shd w:val="clear" w:color="auto" w:fill="auto"/>
            <w:noWrap/>
            <w:hideMark/>
          </w:tcPr>
          <w:p w14:paraId="6B263A02"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52,085.6</w:t>
            </w:r>
          </w:p>
        </w:tc>
        <w:tc>
          <w:tcPr>
            <w:tcW w:w="854" w:type="dxa"/>
            <w:tcBorders>
              <w:top w:val="nil"/>
              <w:left w:val="nil"/>
              <w:bottom w:val="single" w:sz="4" w:space="0" w:color="auto"/>
              <w:right w:val="nil"/>
            </w:tcBorders>
            <w:shd w:val="clear" w:color="auto" w:fill="auto"/>
            <w:noWrap/>
            <w:hideMark/>
          </w:tcPr>
          <w:p w14:paraId="348C52CB"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53,606.8</w:t>
            </w:r>
          </w:p>
        </w:tc>
      </w:tr>
    </w:tbl>
    <w:p w14:paraId="2FC4B10D" w14:textId="77777777" w:rsidR="00453893" w:rsidRPr="00D65A3B" w:rsidRDefault="00453893" w:rsidP="00722BD1">
      <w:pPr>
        <w:spacing w:after="0" w:line="240" w:lineRule="auto"/>
        <w:ind w:firstLine="360"/>
        <w:rPr>
          <w:rFonts w:ascii="Times New Roman" w:hAnsi="Times New Roman" w:cs="Times New Roman"/>
          <w:sz w:val="24"/>
          <w:szCs w:val="24"/>
        </w:rPr>
      </w:pPr>
    </w:p>
    <w:p w14:paraId="21D5950D" w14:textId="77777777" w:rsidR="00DE3EE4" w:rsidRPr="00D65A3B" w:rsidRDefault="00DE3EE4" w:rsidP="00DE3EE4">
      <w:pPr>
        <w:spacing w:after="0" w:line="240" w:lineRule="auto"/>
        <w:ind w:firstLine="720"/>
        <w:rPr>
          <w:rFonts w:ascii="Times New Roman" w:hAnsi="Times New Roman" w:cs="Times New Roman"/>
          <w:sz w:val="24"/>
          <w:szCs w:val="24"/>
        </w:rPr>
      </w:pPr>
    </w:p>
    <w:p w14:paraId="19C3EAB8" w14:textId="6013DC1E" w:rsidR="00DE3EE4" w:rsidRPr="00D65A3B" w:rsidRDefault="00CA2FE5" w:rsidP="00CA2FE5">
      <w:pPr>
        <w:spacing w:after="0" w:line="240" w:lineRule="auto"/>
        <w:ind w:firstLine="720"/>
        <w:rPr>
          <w:rFonts w:ascii="Times New Roman" w:hAnsi="Times New Roman" w:cs="Times New Roman"/>
          <w:b/>
          <w:sz w:val="24"/>
          <w:szCs w:val="24"/>
        </w:rPr>
      </w:pPr>
      <w:r w:rsidRPr="00D65A3B">
        <w:rPr>
          <w:rFonts w:ascii="Times New Roman" w:hAnsi="Times New Roman" w:cs="Times New Roman"/>
          <w:b/>
          <w:sz w:val="24"/>
          <w:szCs w:val="24"/>
        </w:rPr>
        <w:t xml:space="preserve">3. </w:t>
      </w:r>
      <w:r w:rsidR="00DE3EE4" w:rsidRPr="00D65A3B">
        <w:rPr>
          <w:rFonts w:ascii="Times New Roman" w:hAnsi="Times New Roman" w:cs="Times New Roman"/>
          <w:b/>
          <w:sz w:val="24"/>
          <w:szCs w:val="24"/>
        </w:rPr>
        <w:t>EERS with Cumulative EE Savings Targets Specified in Percent Terms</w:t>
      </w:r>
    </w:p>
    <w:p w14:paraId="0C1043E7" w14:textId="77777777" w:rsidR="00DE3EE4" w:rsidRPr="00D65A3B" w:rsidRDefault="00DE3EE4" w:rsidP="00DE3EE4">
      <w:pPr>
        <w:spacing w:after="0" w:line="240" w:lineRule="auto"/>
        <w:ind w:firstLine="720"/>
        <w:rPr>
          <w:rFonts w:ascii="Times New Roman" w:hAnsi="Times New Roman" w:cs="Times New Roman"/>
          <w:sz w:val="24"/>
          <w:szCs w:val="24"/>
        </w:rPr>
      </w:pPr>
    </w:p>
    <w:p w14:paraId="6709AB17"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A(t) = C(t) – C(t-1) + A(t-L)</w:t>
      </w:r>
    </w:p>
    <w:p w14:paraId="78F577B4" w14:textId="77777777" w:rsidR="00DE3EE4" w:rsidRPr="00D65A3B" w:rsidRDefault="00DE3EE4" w:rsidP="00722BD1">
      <w:pPr>
        <w:spacing w:after="0" w:line="240" w:lineRule="auto"/>
        <w:ind w:firstLine="360"/>
        <w:rPr>
          <w:rFonts w:ascii="Times New Roman" w:hAnsi="Times New Roman" w:cs="Times New Roman"/>
          <w:sz w:val="24"/>
          <w:szCs w:val="24"/>
        </w:rPr>
      </w:pPr>
    </w:p>
    <w:p w14:paraId="7BFE393C"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If r(t) available,</w:t>
      </w:r>
    </w:p>
    <w:p w14:paraId="62E6B4F2" w14:textId="2D19AAE8"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C(t) = r(t) </w:t>
      </w:r>
      <w:r w:rsidR="001751FF">
        <w:rPr>
          <w:rFonts w:ascii="Times New Roman" w:hAnsi="Times New Roman" w:cs="Times New Roman"/>
          <w:sz w:val="24"/>
          <w:szCs w:val="24"/>
        </w:rPr>
        <w:t>x</w:t>
      </w:r>
      <w:r w:rsidRPr="00D65A3B">
        <w:rPr>
          <w:rFonts w:ascii="Times New Roman" w:hAnsi="Times New Roman" w:cs="Times New Roman"/>
          <w:sz w:val="24"/>
          <w:szCs w:val="24"/>
        </w:rPr>
        <w:t xml:space="preserve"> B(t)</w:t>
      </w:r>
    </w:p>
    <w:p w14:paraId="47B89562"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I(t) = C(t) - E(t)</w:t>
      </w:r>
    </w:p>
    <w:p w14:paraId="0F47B8E8"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Z(t) = B(t) - I(t)</w:t>
      </w:r>
    </w:p>
    <w:p w14:paraId="4D8D49C3" w14:textId="77777777" w:rsidR="00DE3EE4" w:rsidRPr="00D65A3B" w:rsidRDefault="00DE3EE4" w:rsidP="00722BD1">
      <w:pPr>
        <w:spacing w:after="0" w:line="240" w:lineRule="auto"/>
        <w:ind w:firstLine="360"/>
        <w:rPr>
          <w:rFonts w:ascii="Times New Roman" w:hAnsi="Times New Roman" w:cs="Times New Roman"/>
          <w:sz w:val="24"/>
          <w:szCs w:val="24"/>
        </w:rPr>
      </w:pPr>
    </w:p>
    <w:p w14:paraId="4053A17F"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If r(t) not available,</w:t>
      </w:r>
    </w:p>
    <w:p w14:paraId="63674EF0"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Z(t) calculated by interpolation</w:t>
      </w:r>
    </w:p>
    <w:p w14:paraId="0D4C4A2C"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I(t) = B(t) - Z(t)</w:t>
      </w:r>
    </w:p>
    <w:p w14:paraId="42C62C90"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C(t) = I(t) + E(t)</w:t>
      </w:r>
    </w:p>
    <w:p w14:paraId="47A85B17" w14:textId="77777777" w:rsidR="00DE3EE4" w:rsidRPr="00D65A3B" w:rsidRDefault="00DE3EE4" w:rsidP="00722BD1">
      <w:pPr>
        <w:spacing w:after="0" w:line="240" w:lineRule="auto"/>
        <w:ind w:firstLine="360"/>
        <w:rPr>
          <w:rFonts w:ascii="Times New Roman" w:hAnsi="Times New Roman" w:cs="Times New Roman"/>
          <w:sz w:val="24"/>
          <w:szCs w:val="24"/>
        </w:rPr>
      </w:pPr>
    </w:p>
    <w:p w14:paraId="20BB65D6"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Where: </w:t>
      </w:r>
    </w:p>
    <w:p w14:paraId="503E8C79"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r is the cumulative percent savings target, </w:t>
      </w:r>
    </w:p>
    <w:p w14:paraId="0A9FCD9C"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A is the annual first-year energy savings, </w:t>
      </w:r>
    </w:p>
    <w:p w14:paraId="2F9F905F" w14:textId="77777777" w:rsidR="00DE3EE4" w:rsidRPr="00D65A3B" w:rsidRDefault="00DE3EE4" w:rsidP="00722BD1">
      <w:pPr>
        <w:tabs>
          <w:tab w:val="left" w:pos="3885"/>
        </w:tabs>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L is the measure lifetime, </w:t>
      </w:r>
      <w:r w:rsidRPr="00D65A3B">
        <w:rPr>
          <w:rFonts w:ascii="Times New Roman" w:hAnsi="Times New Roman" w:cs="Times New Roman"/>
          <w:sz w:val="24"/>
          <w:szCs w:val="24"/>
        </w:rPr>
        <w:tab/>
      </w:r>
    </w:p>
    <w:p w14:paraId="177256EB" w14:textId="389A1AEB"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B is the </w:t>
      </w:r>
      <w:r w:rsidR="003A4E75">
        <w:rPr>
          <w:rFonts w:ascii="Times New Roman" w:hAnsi="Times New Roman" w:cs="Times New Roman"/>
          <w:sz w:val="24"/>
          <w:szCs w:val="24"/>
        </w:rPr>
        <w:t xml:space="preserve">base case </w:t>
      </w:r>
      <w:r w:rsidRPr="00D65A3B">
        <w:rPr>
          <w:rFonts w:ascii="Times New Roman" w:hAnsi="Times New Roman" w:cs="Times New Roman"/>
          <w:sz w:val="24"/>
          <w:szCs w:val="24"/>
        </w:rPr>
        <w:t xml:space="preserve">sales of utilities affected by these specific policies, </w:t>
      </w:r>
    </w:p>
    <w:p w14:paraId="187D3703"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C is the cumulative energy savings, </w:t>
      </w:r>
    </w:p>
    <w:p w14:paraId="16B42610" w14:textId="18D0FD74" w:rsidR="00DE3EE4" w:rsidRPr="00D65A3B" w:rsidRDefault="00DE3EE4" w:rsidP="00B928F8">
      <w:pPr>
        <w:spacing w:after="0" w:line="240" w:lineRule="auto"/>
        <w:ind w:left="360"/>
        <w:rPr>
          <w:rFonts w:ascii="Times New Roman" w:hAnsi="Times New Roman" w:cs="Times New Roman"/>
          <w:sz w:val="24"/>
          <w:szCs w:val="24"/>
        </w:rPr>
      </w:pPr>
      <w:r w:rsidRPr="00D65A3B">
        <w:rPr>
          <w:rFonts w:ascii="Times New Roman" w:hAnsi="Times New Roman" w:cs="Times New Roman"/>
          <w:sz w:val="24"/>
          <w:szCs w:val="24"/>
        </w:rPr>
        <w:t xml:space="preserve">E is the cumulative savings embedded in the </w:t>
      </w:r>
      <w:r w:rsidR="00F53B0E">
        <w:rPr>
          <w:rFonts w:ascii="Times New Roman" w:hAnsi="Times New Roman" w:cs="Times New Roman"/>
          <w:sz w:val="24"/>
          <w:szCs w:val="24"/>
        </w:rPr>
        <w:t>base case demand forecast</w:t>
      </w:r>
      <w:r w:rsidRPr="00D65A3B">
        <w:rPr>
          <w:rFonts w:ascii="Times New Roman" w:hAnsi="Times New Roman" w:cs="Times New Roman"/>
          <w:sz w:val="24"/>
          <w:szCs w:val="24"/>
        </w:rPr>
        <w:t xml:space="preserve">, </w:t>
      </w:r>
    </w:p>
    <w:p w14:paraId="18250197" w14:textId="249814CC" w:rsidR="00DE3EE4" w:rsidRPr="00D65A3B" w:rsidRDefault="00DE3EE4" w:rsidP="00307D77">
      <w:pPr>
        <w:spacing w:after="0" w:line="240" w:lineRule="auto"/>
        <w:ind w:left="360"/>
        <w:rPr>
          <w:rFonts w:ascii="Times New Roman" w:hAnsi="Times New Roman" w:cs="Times New Roman"/>
          <w:sz w:val="24"/>
          <w:szCs w:val="24"/>
        </w:rPr>
      </w:pPr>
      <w:r w:rsidRPr="00D65A3B">
        <w:rPr>
          <w:rFonts w:ascii="Times New Roman" w:hAnsi="Times New Roman" w:cs="Times New Roman"/>
          <w:sz w:val="24"/>
          <w:szCs w:val="24"/>
        </w:rPr>
        <w:t xml:space="preserve">I is the cumulative savings incremental to </w:t>
      </w:r>
      <w:r w:rsidR="0035489D">
        <w:rPr>
          <w:rFonts w:ascii="Times New Roman" w:hAnsi="Times New Roman" w:cs="Times New Roman"/>
          <w:sz w:val="24"/>
          <w:szCs w:val="24"/>
        </w:rPr>
        <w:t>the</w:t>
      </w:r>
      <w:r w:rsidR="00F53B0E">
        <w:rPr>
          <w:rFonts w:ascii="Times New Roman" w:hAnsi="Times New Roman" w:cs="Times New Roman"/>
          <w:sz w:val="24"/>
          <w:szCs w:val="24"/>
        </w:rPr>
        <w:t xml:space="preserve"> base case demand forecast</w:t>
      </w:r>
      <w:r w:rsidRPr="00D65A3B">
        <w:rPr>
          <w:rFonts w:ascii="Times New Roman" w:hAnsi="Times New Roman" w:cs="Times New Roman"/>
          <w:sz w:val="24"/>
          <w:szCs w:val="24"/>
        </w:rPr>
        <w:t xml:space="preserve">, and </w:t>
      </w:r>
    </w:p>
    <w:p w14:paraId="3E50F799" w14:textId="6E0EDA59" w:rsidR="00DE3EE4" w:rsidRDefault="00DE3EE4" w:rsidP="005847EE">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Z is the adjusted sales after application of cumulative incremental savings.</w:t>
      </w:r>
    </w:p>
    <w:p w14:paraId="57A40294" w14:textId="61CB27D9" w:rsidR="00453893" w:rsidRDefault="00453893" w:rsidP="005847EE">
      <w:pPr>
        <w:spacing w:after="0" w:line="240" w:lineRule="auto"/>
        <w:ind w:firstLine="360"/>
        <w:rPr>
          <w:rFonts w:ascii="Times New Roman" w:hAnsi="Times New Roman" w:cs="Times New Roman"/>
          <w:sz w:val="24"/>
          <w:szCs w:val="24"/>
        </w:rPr>
      </w:pPr>
    </w:p>
    <w:p w14:paraId="7D6BE8DB" w14:textId="58F3C0F9" w:rsidR="00453893" w:rsidRDefault="00883D67" w:rsidP="008407A3">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lastRenderedPageBreak/>
        <w:t>For example, a</w:t>
      </w:r>
      <w:r w:rsidR="00453893" w:rsidRPr="005C6873">
        <w:rPr>
          <w:rFonts w:ascii="Times New Roman" w:hAnsi="Times New Roman" w:cs="Times New Roman"/>
          <w:sz w:val="24"/>
          <w:szCs w:val="24"/>
        </w:rPr>
        <w:t xml:space="preserve"> representative state has an </w:t>
      </w:r>
      <w:r w:rsidR="00453893">
        <w:rPr>
          <w:rFonts w:ascii="Times New Roman" w:hAnsi="Times New Roman" w:cs="Times New Roman"/>
          <w:sz w:val="24"/>
          <w:szCs w:val="24"/>
        </w:rPr>
        <w:t xml:space="preserve">EERS cumulative target of 5% by 2018. </w:t>
      </w:r>
      <w:r w:rsidR="00453893" w:rsidRPr="005C6873">
        <w:rPr>
          <w:rFonts w:ascii="Times New Roman" w:hAnsi="Times New Roman" w:cs="Times New Roman"/>
          <w:sz w:val="24"/>
          <w:szCs w:val="24"/>
        </w:rPr>
        <w:t xml:space="preserve">Forecasted </w:t>
      </w:r>
      <w:r w:rsidR="00453893" w:rsidRPr="0011148A">
        <w:rPr>
          <w:rFonts w:ascii="Times New Roman" w:hAnsi="Times New Roman" w:cs="Times New Roman"/>
          <w:sz w:val="24"/>
          <w:szCs w:val="24"/>
        </w:rPr>
        <w:t xml:space="preserve">baseline sales of utilities </w:t>
      </w:r>
      <w:r w:rsidR="00453893">
        <w:rPr>
          <w:rFonts w:ascii="Times New Roman" w:hAnsi="Times New Roman" w:cs="Times New Roman"/>
          <w:sz w:val="24"/>
          <w:szCs w:val="24"/>
        </w:rPr>
        <w:t xml:space="preserve">in </w:t>
      </w:r>
      <w:r w:rsidR="00453893" w:rsidRPr="005C6873">
        <w:rPr>
          <w:rFonts w:ascii="Times New Roman" w:hAnsi="Times New Roman" w:cs="Times New Roman"/>
          <w:sz w:val="24"/>
          <w:szCs w:val="24"/>
        </w:rPr>
        <w:t xml:space="preserve">2015 are </w:t>
      </w:r>
      <w:r w:rsidR="00453893">
        <w:rPr>
          <w:rFonts w:ascii="Times New Roman" w:hAnsi="Times New Roman" w:cs="Times New Roman"/>
          <w:sz w:val="24"/>
          <w:szCs w:val="24"/>
        </w:rPr>
        <w:t>50</w:t>
      </w:r>
      <w:r w:rsidR="00453893" w:rsidRPr="005C6873">
        <w:rPr>
          <w:rFonts w:ascii="Times New Roman" w:hAnsi="Times New Roman" w:cs="Times New Roman"/>
          <w:sz w:val="24"/>
          <w:szCs w:val="24"/>
        </w:rPr>
        <w:t xml:space="preserve">,000 GWh, </w:t>
      </w:r>
      <w:r w:rsidR="00453893">
        <w:rPr>
          <w:rFonts w:ascii="Times New Roman" w:hAnsi="Times New Roman" w:cs="Times New Roman"/>
          <w:sz w:val="24"/>
          <w:szCs w:val="24"/>
        </w:rPr>
        <w:t>growing by 1% each year of the forecast period</w:t>
      </w:r>
      <w:r w:rsidR="00453893" w:rsidRPr="005C6873">
        <w:rPr>
          <w:rFonts w:ascii="Times New Roman" w:hAnsi="Times New Roman" w:cs="Times New Roman"/>
          <w:sz w:val="24"/>
          <w:szCs w:val="24"/>
        </w:rPr>
        <w:t xml:space="preserve">. </w:t>
      </w:r>
      <w:r w:rsidR="00453893">
        <w:rPr>
          <w:rFonts w:ascii="Times New Roman" w:hAnsi="Times New Roman" w:cs="Times New Roman"/>
          <w:sz w:val="24"/>
          <w:szCs w:val="24"/>
        </w:rPr>
        <w:t>Embedded savings are 50 GWh per year, applied to years in which first-year energy savings are realized. The measure lifetime assumed for both first-year energy savings and embedded savings is four years. Distribution of the cumulative energy savings in 2018 to the first-year savings for 2016-</w:t>
      </w:r>
      <w:r w:rsidR="00A06ED9">
        <w:rPr>
          <w:rFonts w:ascii="Times New Roman" w:hAnsi="Times New Roman" w:cs="Times New Roman"/>
          <w:sz w:val="24"/>
          <w:szCs w:val="24"/>
        </w:rPr>
        <w:t>20</w:t>
      </w:r>
      <w:r w:rsidR="00453893">
        <w:rPr>
          <w:rFonts w:ascii="Times New Roman" w:hAnsi="Times New Roman" w:cs="Times New Roman"/>
          <w:sz w:val="24"/>
          <w:szCs w:val="24"/>
        </w:rPr>
        <w:t>18 applies the simple assumption of an equal share of savings being implemented in each year.</w:t>
      </w:r>
      <w:r w:rsidR="00923A46">
        <w:rPr>
          <w:rFonts w:ascii="Times New Roman" w:hAnsi="Times New Roman" w:cs="Times New Roman"/>
          <w:sz w:val="24"/>
          <w:szCs w:val="24"/>
        </w:rPr>
        <w:t xml:space="preserve"> </w:t>
      </w:r>
      <w:r w:rsidR="00453B05">
        <w:rPr>
          <w:rFonts w:ascii="Times New Roman" w:hAnsi="Times New Roman" w:cs="Times New Roman"/>
          <w:sz w:val="24"/>
          <w:szCs w:val="24"/>
        </w:rPr>
        <w:t>Table 3</w:t>
      </w:r>
      <w:r w:rsidR="000A6BC5">
        <w:rPr>
          <w:rFonts w:ascii="Times New Roman" w:hAnsi="Times New Roman" w:cs="Times New Roman"/>
          <w:sz w:val="24"/>
          <w:szCs w:val="24"/>
        </w:rPr>
        <w:t xml:space="preserve"> applies this example to the above formula. </w:t>
      </w:r>
      <w:r w:rsidR="00453893">
        <w:rPr>
          <w:rFonts w:ascii="Times New Roman" w:hAnsi="Times New Roman" w:cs="Times New Roman"/>
          <w:sz w:val="24"/>
          <w:szCs w:val="24"/>
        </w:rPr>
        <w:t>This approach is uncommon, and states that applied this structure in earlier years of their EERS policies incl</w:t>
      </w:r>
      <w:r w:rsidR="008407A3">
        <w:rPr>
          <w:rFonts w:ascii="Times New Roman" w:hAnsi="Times New Roman" w:cs="Times New Roman"/>
          <w:sz w:val="24"/>
          <w:szCs w:val="24"/>
        </w:rPr>
        <w:t xml:space="preserve">ude New York and Pennsylvania. </w:t>
      </w:r>
    </w:p>
    <w:p w14:paraId="323110F4" w14:textId="77777777" w:rsidR="008407A3" w:rsidRDefault="008407A3" w:rsidP="008B27FD">
      <w:pPr>
        <w:spacing w:after="0" w:line="240" w:lineRule="auto"/>
        <w:ind w:firstLine="360"/>
        <w:rPr>
          <w:rFonts w:ascii="Times New Roman" w:hAnsi="Times New Roman" w:cs="Times New Roman"/>
          <w:sz w:val="24"/>
          <w:szCs w:val="24"/>
        </w:rPr>
      </w:pPr>
    </w:p>
    <w:tbl>
      <w:tblPr>
        <w:tblW w:w="9352" w:type="dxa"/>
        <w:tblLook w:val="04A0" w:firstRow="1" w:lastRow="0" w:firstColumn="1" w:lastColumn="0" w:noHBand="0" w:noVBand="1"/>
      </w:tblPr>
      <w:tblGrid>
        <w:gridCol w:w="2430"/>
        <w:gridCol w:w="944"/>
        <w:gridCol w:w="854"/>
        <w:gridCol w:w="854"/>
        <w:gridCol w:w="854"/>
        <w:gridCol w:w="854"/>
        <w:gridCol w:w="854"/>
        <w:gridCol w:w="854"/>
        <w:gridCol w:w="854"/>
      </w:tblGrid>
      <w:tr w:rsidR="008407A3" w:rsidRPr="0004333C" w14:paraId="58C9F3B7" w14:textId="77777777" w:rsidTr="00826D6D">
        <w:trPr>
          <w:trHeight w:val="405"/>
        </w:trPr>
        <w:tc>
          <w:tcPr>
            <w:tcW w:w="9352" w:type="dxa"/>
            <w:gridSpan w:val="9"/>
            <w:tcBorders>
              <w:top w:val="nil"/>
              <w:left w:val="nil"/>
              <w:bottom w:val="nil"/>
              <w:right w:val="nil"/>
            </w:tcBorders>
            <w:shd w:val="clear" w:color="auto" w:fill="auto"/>
            <w:noWrap/>
            <w:hideMark/>
          </w:tcPr>
          <w:p w14:paraId="42768B47" w14:textId="44836242" w:rsidR="008407A3" w:rsidRPr="0004333C" w:rsidRDefault="008407A3" w:rsidP="00453893">
            <w:pPr>
              <w:spacing w:after="0" w:line="240" w:lineRule="auto"/>
              <w:rPr>
                <w:rFonts w:ascii="Times New Roman" w:eastAsia="Times New Roman" w:hAnsi="Times New Roman" w:cs="Times New Roman"/>
                <w:sz w:val="20"/>
                <w:szCs w:val="20"/>
              </w:rPr>
            </w:pPr>
            <w:r w:rsidRPr="008407A3">
              <w:rPr>
                <w:rFonts w:ascii="Calibri" w:eastAsia="Times New Roman" w:hAnsi="Calibri" w:cs="Times New Roman"/>
                <w:i/>
                <w:iCs/>
                <w:color w:val="000000"/>
                <w:szCs w:val="18"/>
              </w:rPr>
              <w:t>Table 3: Example EERS with Cumulative EE Savings Targets Specified in Percent Terms</w:t>
            </w:r>
          </w:p>
        </w:tc>
      </w:tr>
      <w:tr w:rsidR="00453893" w:rsidRPr="0004333C" w14:paraId="179B4F8E" w14:textId="77777777" w:rsidTr="00453893">
        <w:trPr>
          <w:trHeight w:val="405"/>
        </w:trPr>
        <w:tc>
          <w:tcPr>
            <w:tcW w:w="2430" w:type="dxa"/>
            <w:tcBorders>
              <w:top w:val="single" w:sz="4" w:space="0" w:color="auto"/>
              <w:left w:val="nil"/>
              <w:bottom w:val="single" w:sz="4" w:space="0" w:color="auto"/>
              <w:right w:val="nil"/>
            </w:tcBorders>
            <w:shd w:val="clear" w:color="auto" w:fill="auto"/>
            <w:noWrap/>
            <w:hideMark/>
          </w:tcPr>
          <w:p w14:paraId="569793EA"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944" w:type="dxa"/>
            <w:tcBorders>
              <w:top w:val="single" w:sz="4" w:space="0" w:color="auto"/>
              <w:left w:val="nil"/>
              <w:bottom w:val="single" w:sz="4" w:space="0" w:color="auto"/>
              <w:right w:val="nil"/>
            </w:tcBorders>
            <w:shd w:val="clear" w:color="auto" w:fill="auto"/>
            <w:noWrap/>
            <w:hideMark/>
          </w:tcPr>
          <w:p w14:paraId="10124915"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2015</w:t>
            </w:r>
          </w:p>
        </w:tc>
        <w:tc>
          <w:tcPr>
            <w:tcW w:w="854" w:type="dxa"/>
            <w:tcBorders>
              <w:top w:val="single" w:sz="4" w:space="0" w:color="auto"/>
              <w:left w:val="nil"/>
              <w:bottom w:val="single" w:sz="4" w:space="0" w:color="auto"/>
              <w:right w:val="nil"/>
            </w:tcBorders>
            <w:shd w:val="clear" w:color="auto" w:fill="auto"/>
            <w:noWrap/>
            <w:hideMark/>
          </w:tcPr>
          <w:p w14:paraId="288A72A3"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2016</w:t>
            </w:r>
          </w:p>
        </w:tc>
        <w:tc>
          <w:tcPr>
            <w:tcW w:w="854" w:type="dxa"/>
            <w:tcBorders>
              <w:top w:val="single" w:sz="4" w:space="0" w:color="auto"/>
              <w:left w:val="nil"/>
              <w:bottom w:val="single" w:sz="4" w:space="0" w:color="auto"/>
              <w:right w:val="nil"/>
            </w:tcBorders>
            <w:shd w:val="clear" w:color="auto" w:fill="auto"/>
            <w:noWrap/>
            <w:hideMark/>
          </w:tcPr>
          <w:p w14:paraId="625CA00B"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2017</w:t>
            </w:r>
          </w:p>
        </w:tc>
        <w:tc>
          <w:tcPr>
            <w:tcW w:w="854" w:type="dxa"/>
            <w:tcBorders>
              <w:top w:val="single" w:sz="4" w:space="0" w:color="auto"/>
              <w:left w:val="nil"/>
              <w:bottom w:val="single" w:sz="4" w:space="0" w:color="auto"/>
              <w:right w:val="nil"/>
            </w:tcBorders>
            <w:shd w:val="clear" w:color="auto" w:fill="auto"/>
            <w:noWrap/>
            <w:hideMark/>
          </w:tcPr>
          <w:p w14:paraId="1674B51E"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2018</w:t>
            </w:r>
          </w:p>
        </w:tc>
        <w:tc>
          <w:tcPr>
            <w:tcW w:w="854" w:type="dxa"/>
            <w:tcBorders>
              <w:top w:val="single" w:sz="4" w:space="0" w:color="auto"/>
              <w:left w:val="nil"/>
              <w:bottom w:val="single" w:sz="4" w:space="0" w:color="auto"/>
              <w:right w:val="nil"/>
            </w:tcBorders>
            <w:shd w:val="clear" w:color="auto" w:fill="auto"/>
            <w:noWrap/>
            <w:hideMark/>
          </w:tcPr>
          <w:p w14:paraId="165501B0"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2019</w:t>
            </w:r>
          </w:p>
        </w:tc>
        <w:tc>
          <w:tcPr>
            <w:tcW w:w="854" w:type="dxa"/>
            <w:tcBorders>
              <w:top w:val="single" w:sz="4" w:space="0" w:color="auto"/>
              <w:left w:val="nil"/>
              <w:bottom w:val="single" w:sz="4" w:space="0" w:color="auto"/>
              <w:right w:val="nil"/>
            </w:tcBorders>
            <w:shd w:val="clear" w:color="auto" w:fill="auto"/>
            <w:noWrap/>
            <w:hideMark/>
          </w:tcPr>
          <w:p w14:paraId="562E82D8"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2020</w:t>
            </w:r>
          </w:p>
        </w:tc>
        <w:tc>
          <w:tcPr>
            <w:tcW w:w="854" w:type="dxa"/>
            <w:tcBorders>
              <w:top w:val="single" w:sz="4" w:space="0" w:color="auto"/>
              <w:left w:val="nil"/>
              <w:bottom w:val="single" w:sz="4" w:space="0" w:color="auto"/>
              <w:right w:val="nil"/>
            </w:tcBorders>
            <w:shd w:val="clear" w:color="auto" w:fill="auto"/>
            <w:noWrap/>
            <w:hideMark/>
          </w:tcPr>
          <w:p w14:paraId="515E845D"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2021</w:t>
            </w:r>
          </w:p>
        </w:tc>
        <w:tc>
          <w:tcPr>
            <w:tcW w:w="854" w:type="dxa"/>
            <w:tcBorders>
              <w:top w:val="single" w:sz="4" w:space="0" w:color="auto"/>
              <w:left w:val="nil"/>
              <w:bottom w:val="single" w:sz="4" w:space="0" w:color="auto"/>
              <w:right w:val="nil"/>
            </w:tcBorders>
            <w:shd w:val="clear" w:color="auto" w:fill="auto"/>
            <w:noWrap/>
            <w:hideMark/>
          </w:tcPr>
          <w:p w14:paraId="3208D334"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2022</w:t>
            </w:r>
          </w:p>
        </w:tc>
      </w:tr>
      <w:tr w:rsidR="00453893" w:rsidRPr="0004333C" w14:paraId="78471CA9" w14:textId="77777777" w:rsidTr="00453893">
        <w:trPr>
          <w:trHeight w:val="405"/>
        </w:trPr>
        <w:tc>
          <w:tcPr>
            <w:tcW w:w="2430" w:type="dxa"/>
            <w:tcBorders>
              <w:top w:val="nil"/>
              <w:left w:val="nil"/>
              <w:bottom w:val="single" w:sz="4" w:space="0" w:color="auto"/>
              <w:right w:val="nil"/>
            </w:tcBorders>
            <w:shd w:val="clear" w:color="auto" w:fill="auto"/>
            <w:hideMark/>
          </w:tcPr>
          <w:p w14:paraId="3C47B003"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Baseline sales of utilities (GWh) (B)</w:t>
            </w:r>
          </w:p>
        </w:tc>
        <w:tc>
          <w:tcPr>
            <w:tcW w:w="944" w:type="dxa"/>
            <w:tcBorders>
              <w:top w:val="nil"/>
              <w:left w:val="nil"/>
              <w:bottom w:val="single" w:sz="4" w:space="0" w:color="auto"/>
              <w:right w:val="nil"/>
            </w:tcBorders>
            <w:shd w:val="clear" w:color="auto" w:fill="auto"/>
            <w:noWrap/>
            <w:hideMark/>
          </w:tcPr>
          <w:p w14:paraId="25382A2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50,000.0</w:t>
            </w:r>
          </w:p>
        </w:tc>
        <w:tc>
          <w:tcPr>
            <w:tcW w:w="854" w:type="dxa"/>
            <w:tcBorders>
              <w:top w:val="nil"/>
              <w:left w:val="nil"/>
              <w:bottom w:val="single" w:sz="4" w:space="0" w:color="auto"/>
              <w:right w:val="nil"/>
            </w:tcBorders>
            <w:shd w:val="clear" w:color="auto" w:fill="auto"/>
            <w:noWrap/>
            <w:hideMark/>
          </w:tcPr>
          <w:p w14:paraId="76B4C897"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50,500.0</w:t>
            </w:r>
          </w:p>
        </w:tc>
        <w:tc>
          <w:tcPr>
            <w:tcW w:w="854" w:type="dxa"/>
            <w:tcBorders>
              <w:top w:val="nil"/>
              <w:left w:val="nil"/>
              <w:bottom w:val="single" w:sz="4" w:space="0" w:color="auto"/>
              <w:right w:val="nil"/>
            </w:tcBorders>
            <w:shd w:val="clear" w:color="auto" w:fill="auto"/>
            <w:noWrap/>
            <w:hideMark/>
          </w:tcPr>
          <w:p w14:paraId="1080473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51,005.0</w:t>
            </w:r>
          </w:p>
        </w:tc>
        <w:tc>
          <w:tcPr>
            <w:tcW w:w="854" w:type="dxa"/>
            <w:tcBorders>
              <w:top w:val="nil"/>
              <w:left w:val="nil"/>
              <w:bottom w:val="single" w:sz="4" w:space="0" w:color="auto"/>
              <w:right w:val="nil"/>
            </w:tcBorders>
            <w:shd w:val="clear" w:color="auto" w:fill="auto"/>
            <w:noWrap/>
            <w:hideMark/>
          </w:tcPr>
          <w:p w14:paraId="2437B982"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51,515.1</w:t>
            </w:r>
          </w:p>
        </w:tc>
        <w:tc>
          <w:tcPr>
            <w:tcW w:w="854" w:type="dxa"/>
            <w:tcBorders>
              <w:top w:val="nil"/>
              <w:left w:val="nil"/>
              <w:bottom w:val="single" w:sz="4" w:space="0" w:color="auto"/>
              <w:right w:val="nil"/>
            </w:tcBorders>
            <w:shd w:val="clear" w:color="auto" w:fill="auto"/>
            <w:noWrap/>
            <w:hideMark/>
          </w:tcPr>
          <w:p w14:paraId="08D4652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52,030.2</w:t>
            </w:r>
          </w:p>
        </w:tc>
        <w:tc>
          <w:tcPr>
            <w:tcW w:w="854" w:type="dxa"/>
            <w:tcBorders>
              <w:top w:val="nil"/>
              <w:left w:val="nil"/>
              <w:bottom w:val="single" w:sz="4" w:space="0" w:color="auto"/>
              <w:right w:val="nil"/>
            </w:tcBorders>
            <w:shd w:val="clear" w:color="auto" w:fill="auto"/>
            <w:noWrap/>
            <w:hideMark/>
          </w:tcPr>
          <w:p w14:paraId="57385F9B"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52,550.5</w:t>
            </w:r>
          </w:p>
        </w:tc>
        <w:tc>
          <w:tcPr>
            <w:tcW w:w="854" w:type="dxa"/>
            <w:tcBorders>
              <w:top w:val="nil"/>
              <w:left w:val="nil"/>
              <w:bottom w:val="single" w:sz="4" w:space="0" w:color="auto"/>
              <w:right w:val="nil"/>
            </w:tcBorders>
            <w:shd w:val="clear" w:color="auto" w:fill="auto"/>
            <w:noWrap/>
            <w:hideMark/>
          </w:tcPr>
          <w:p w14:paraId="28B8952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53,076.0</w:t>
            </w:r>
          </w:p>
        </w:tc>
        <w:tc>
          <w:tcPr>
            <w:tcW w:w="854" w:type="dxa"/>
            <w:tcBorders>
              <w:top w:val="nil"/>
              <w:left w:val="nil"/>
              <w:bottom w:val="single" w:sz="4" w:space="0" w:color="auto"/>
              <w:right w:val="nil"/>
            </w:tcBorders>
            <w:shd w:val="clear" w:color="auto" w:fill="auto"/>
            <w:noWrap/>
            <w:hideMark/>
          </w:tcPr>
          <w:p w14:paraId="4C3DC1F8"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53,606.8</w:t>
            </w:r>
          </w:p>
        </w:tc>
      </w:tr>
      <w:tr w:rsidR="00453893" w:rsidRPr="0004333C" w14:paraId="7AEB9E2E" w14:textId="77777777" w:rsidTr="00453893">
        <w:trPr>
          <w:trHeight w:val="405"/>
        </w:trPr>
        <w:tc>
          <w:tcPr>
            <w:tcW w:w="2430" w:type="dxa"/>
            <w:tcBorders>
              <w:top w:val="nil"/>
              <w:left w:val="nil"/>
              <w:bottom w:val="single" w:sz="4" w:space="0" w:color="auto"/>
              <w:right w:val="nil"/>
            </w:tcBorders>
            <w:shd w:val="clear" w:color="auto" w:fill="auto"/>
            <w:hideMark/>
          </w:tcPr>
          <w:p w14:paraId="5B2369DE"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Cumulative percent savings target (%) (r) </w:t>
            </w:r>
          </w:p>
        </w:tc>
        <w:tc>
          <w:tcPr>
            <w:tcW w:w="944" w:type="dxa"/>
            <w:tcBorders>
              <w:top w:val="nil"/>
              <w:left w:val="nil"/>
              <w:bottom w:val="single" w:sz="4" w:space="0" w:color="auto"/>
              <w:right w:val="nil"/>
            </w:tcBorders>
            <w:shd w:val="clear" w:color="auto" w:fill="auto"/>
            <w:noWrap/>
            <w:hideMark/>
          </w:tcPr>
          <w:p w14:paraId="78A147D5"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5E4D9C94"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627CD0AD"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695E60CD"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w:t>
            </w:r>
          </w:p>
        </w:tc>
        <w:tc>
          <w:tcPr>
            <w:tcW w:w="854" w:type="dxa"/>
            <w:tcBorders>
              <w:top w:val="nil"/>
              <w:left w:val="nil"/>
              <w:bottom w:val="single" w:sz="4" w:space="0" w:color="auto"/>
              <w:right w:val="nil"/>
            </w:tcBorders>
            <w:shd w:val="clear" w:color="000000" w:fill="D9D9D9"/>
            <w:noWrap/>
            <w:hideMark/>
          </w:tcPr>
          <w:p w14:paraId="64B47E2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7B58644C"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090CB86A"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480B774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r>
      <w:tr w:rsidR="00453893" w:rsidRPr="0004333C" w14:paraId="0052F5EA" w14:textId="77777777" w:rsidTr="00453893">
        <w:trPr>
          <w:trHeight w:val="405"/>
        </w:trPr>
        <w:tc>
          <w:tcPr>
            <w:tcW w:w="2430" w:type="dxa"/>
            <w:tcBorders>
              <w:top w:val="nil"/>
              <w:left w:val="nil"/>
              <w:bottom w:val="single" w:sz="4" w:space="0" w:color="auto"/>
              <w:right w:val="nil"/>
            </w:tcBorders>
            <w:shd w:val="clear" w:color="auto" w:fill="auto"/>
            <w:hideMark/>
          </w:tcPr>
          <w:p w14:paraId="3C203E2D"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First-year energy savings (GWh) (A)</w:t>
            </w:r>
          </w:p>
        </w:tc>
        <w:tc>
          <w:tcPr>
            <w:tcW w:w="944" w:type="dxa"/>
            <w:tcBorders>
              <w:top w:val="nil"/>
              <w:left w:val="nil"/>
              <w:bottom w:val="single" w:sz="4" w:space="0" w:color="auto"/>
              <w:right w:val="nil"/>
            </w:tcBorders>
            <w:shd w:val="clear" w:color="auto" w:fill="auto"/>
            <w:noWrap/>
            <w:hideMark/>
          </w:tcPr>
          <w:p w14:paraId="3BFE1ABE"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1E54AF1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858.6</w:t>
            </w:r>
          </w:p>
        </w:tc>
        <w:tc>
          <w:tcPr>
            <w:tcW w:w="854" w:type="dxa"/>
            <w:tcBorders>
              <w:top w:val="nil"/>
              <w:left w:val="nil"/>
              <w:bottom w:val="single" w:sz="4" w:space="0" w:color="auto"/>
              <w:right w:val="nil"/>
            </w:tcBorders>
            <w:shd w:val="clear" w:color="auto" w:fill="auto"/>
            <w:noWrap/>
            <w:hideMark/>
          </w:tcPr>
          <w:p w14:paraId="31CCA998"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858.6</w:t>
            </w:r>
          </w:p>
        </w:tc>
        <w:tc>
          <w:tcPr>
            <w:tcW w:w="854" w:type="dxa"/>
            <w:tcBorders>
              <w:top w:val="nil"/>
              <w:left w:val="nil"/>
              <w:bottom w:val="single" w:sz="4" w:space="0" w:color="auto"/>
              <w:right w:val="nil"/>
            </w:tcBorders>
            <w:shd w:val="clear" w:color="auto" w:fill="auto"/>
            <w:noWrap/>
            <w:hideMark/>
          </w:tcPr>
          <w:p w14:paraId="1392E937"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858.6</w:t>
            </w:r>
          </w:p>
        </w:tc>
        <w:tc>
          <w:tcPr>
            <w:tcW w:w="854" w:type="dxa"/>
            <w:tcBorders>
              <w:top w:val="nil"/>
              <w:left w:val="nil"/>
              <w:bottom w:val="single" w:sz="4" w:space="0" w:color="auto"/>
              <w:right w:val="nil"/>
            </w:tcBorders>
            <w:shd w:val="clear" w:color="000000" w:fill="D9D9D9"/>
            <w:noWrap/>
            <w:hideMark/>
          </w:tcPr>
          <w:p w14:paraId="060990EA"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380921B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516073D4"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7C4864E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r>
      <w:tr w:rsidR="00453893" w:rsidRPr="0004333C" w14:paraId="2DA99A94" w14:textId="77777777" w:rsidTr="00453893">
        <w:trPr>
          <w:trHeight w:val="405"/>
        </w:trPr>
        <w:tc>
          <w:tcPr>
            <w:tcW w:w="2430" w:type="dxa"/>
            <w:tcBorders>
              <w:top w:val="nil"/>
              <w:left w:val="nil"/>
              <w:bottom w:val="single" w:sz="4" w:space="0" w:color="auto"/>
              <w:right w:val="nil"/>
            </w:tcBorders>
            <w:shd w:val="clear" w:color="auto" w:fill="auto"/>
            <w:hideMark/>
          </w:tcPr>
          <w:p w14:paraId="09B0D453"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Cumulative energy savings (GWh) (C) </w:t>
            </w:r>
          </w:p>
        </w:tc>
        <w:tc>
          <w:tcPr>
            <w:tcW w:w="944" w:type="dxa"/>
            <w:tcBorders>
              <w:top w:val="nil"/>
              <w:left w:val="nil"/>
              <w:bottom w:val="single" w:sz="4" w:space="0" w:color="auto"/>
              <w:right w:val="nil"/>
            </w:tcBorders>
            <w:shd w:val="clear" w:color="auto" w:fill="auto"/>
            <w:noWrap/>
            <w:hideMark/>
          </w:tcPr>
          <w:p w14:paraId="5FCE1E1D"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01661BF7"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858.6</w:t>
            </w:r>
          </w:p>
        </w:tc>
        <w:tc>
          <w:tcPr>
            <w:tcW w:w="854" w:type="dxa"/>
            <w:tcBorders>
              <w:top w:val="nil"/>
              <w:left w:val="nil"/>
              <w:bottom w:val="single" w:sz="4" w:space="0" w:color="auto"/>
              <w:right w:val="nil"/>
            </w:tcBorders>
            <w:shd w:val="clear" w:color="auto" w:fill="auto"/>
            <w:noWrap/>
            <w:hideMark/>
          </w:tcPr>
          <w:p w14:paraId="454B8A54"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1,717.2</w:t>
            </w:r>
          </w:p>
        </w:tc>
        <w:tc>
          <w:tcPr>
            <w:tcW w:w="854" w:type="dxa"/>
            <w:tcBorders>
              <w:top w:val="nil"/>
              <w:left w:val="nil"/>
              <w:bottom w:val="single" w:sz="4" w:space="0" w:color="auto"/>
              <w:right w:val="nil"/>
            </w:tcBorders>
            <w:shd w:val="clear" w:color="auto" w:fill="auto"/>
            <w:noWrap/>
            <w:hideMark/>
          </w:tcPr>
          <w:p w14:paraId="7E0689C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2,575.8</w:t>
            </w:r>
          </w:p>
        </w:tc>
        <w:tc>
          <w:tcPr>
            <w:tcW w:w="854" w:type="dxa"/>
            <w:tcBorders>
              <w:top w:val="nil"/>
              <w:left w:val="nil"/>
              <w:bottom w:val="single" w:sz="4" w:space="0" w:color="auto"/>
              <w:right w:val="nil"/>
            </w:tcBorders>
            <w:shd w:val="clear" w:color="auto" w:fill="auto"/>
            <w:noWrap/>
            <w:hideMark/>
          </w:tcPr>
          <w:p w14:paraId="5BE1D8F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2,575.8</w:t>
            </w:r>
          </w:p>
        </w:tc>
        <w:tc>
          <w:tcPr>
            <w:tcW w:w="854" w:type="dxa"/>
            <w:tcBorders>
              <w:top w:val="nil"/>
              <w:left w:val="nil"/>
              <w:bottom w:val="single" w:sz="4" w:space="0" w:color="auto"/>
              <w:right w:val="nil"/>
            </w:tcBorders>
            <w:shd w:val="clear" w:color="auto" w:fill="auto"/>
            <w:noWrap/>
            <w:hideMark/>
          </w:tcPr>
          <w:p w14:paraId="024C4A14"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1,717.2</w:t>
            </w:r>
          </w:p>
        </w:tc>
        <w:tc>
          <w:tcPr>
            <w:tcW w:w="854" w:type="dxa"/>
            <w:tcBorders>
              <w:top w:val="nil"/>
              <w:left w:val="nil"/>
              <w:bottom w:val="single" w:sz="4" w:space="0" w:color="auto"/>
              <w:right w:val="nil"/>
            </w:tcBorders>
            <w:shd w:val="clear" w:color="auto" w:fill="auto"/>
            <w:noWrap/>
            <w:hideMark/>
          </w:tcPr>
          <w:p w14:paraId="43C2A168"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858.6</w:t>
            </w:r>
          </w:p>
        </w:tc>
        <w:tc>
          <w:tcPr>
            <w:tcW w:w="854" w:type="dxa"/>
            <w:tcBorders>
              <w:top w:val="nil"/>
              <w:left w:val="nil"/>
              <w:bottom w:val="single" w:sz="4" w:space="0" w:color="auto"/>
              <w:right w:val="nil"/>
            </w:tcBorders>
            <w:shd w:val="clear" w:color="auto" w:fill="auto"/>
            <w:noWrap/>
            <w:hideMark/>
          </w:tcPr>
          <w:p w14:paraId="1CB6D8D8"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0.0</w:t>
            </w:r>
          </w:p>
        </w:tc>
      </w:tr>
      <w:tr w:rsidR="00453893" w:rsidRPr="0004333C" w14:paraId="6954C475" w14:textId="77777777" w:rsidTr="00453893">
        <w:trPr>
          <w:trHeight w:val="405"/>
        </w:trPr>
        <w:tc>
          <w:tcPr>
            <w:tcW w:w="2430" w:type="dxa"/>
            <w:tcBorders>
              <w:top w:val="nil"/>
              <w:left w:val="nil"/>
              <w:bottom w:val="single" w:sz="4" w:space="0" w:color="auto"/>
              <w:right w:val="nil"/>
            </w:tcBorders>
            <w:shd w:val="clear" w:color="auto" w:fill="auto"/>
            <w:hideMark/>
          </w:tcPr>
          <w:p w14:paraId="5E9BFDE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Cumulative savings embedded (GWh) (E) </w:t>
            </w:r>
          </w:p>
        </w:tc>
        <w:tc>
          <w:tcPr>
            <w:tcW w:w="944" w:type="dxa"/>
            <w:tcBorders>
              <w:top w:val="nil"/>
              <w:left w:val="nil"/>
              <w:bottom w:val="single" w:sz="4" w:space="0" w:color="auto"/>
              <w:right w:val="nil"/>
            </w:tcBorders>
            <w:shd w:val="clear" w:color="auto" w:fill="auto"/>
            <w:noWrap/>
            <w:hideMark/>
          </w:tcPr>
          <w:p w14:paraId="2167599C"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14E58A58"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50.0</w:t>
            </w:r>
          </w:p>
        </w:tc>
        <w:tc>
          <w:tcPr>
            <w:tcW w:w="854" w:type="dxa"/>
            <w:tcBorders>
              <w:top w:val="nil"/>
              <w:left w:val="nil"/>
              <w:bottom w:val="single" w:sz="4" w:space="0" w:color="auto"/>
              <w:right w:val="nil"/>
            </w:tcBorders>
            <w:shd w:val="clear" w:color="auto" w:fill="auto"/>
            <w:noWrap/>
            <w:hideMark/>
          </w:tcPr>
          <w:p w14:paraId="44F90F2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100.0</w:t>
            </w:r>
          </w:p>
        </w:tc>
        <w:tc>
          <w:tcPr>
            <w:tcW w:w="854" w:type="dxa"/>
            <w:tcBorders>
              <w:top w:val="nil"/>
              <w:left w:val="nil"/>
              <w:bottom w:val="single" w:sz="4" w:space="0" w:color="auto"/>
              <w:right w:val="nil"/>
            </w:tcBorders>
            <w:shd w:val="clear" w:color="auto" w:fill="auto"/>
            <w:noWrap/>
            <w:hideMark/>
          </w:tcPr>
          <w:p w14:paraId="21C86747"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150.0</w:t>
            </w:r>
          </w:p>
        </w:tc>
        <w:tc>
          <w:tcPr>
            <w:tcW w:w="854" w:type="dxa"/>
            <w:tcBorders>
              <w:top w:val="nil"/>
              <w:left w:val="nil"/>
              <w:bottom w:val="single" w:sz="4" w:space="0" w:color="auto"/>
              <w:right w:val="nil"/>
            </w:tcBorders>
            <w:shd w:val="clear" w:color="auto" w:fill="auto"/>
            <w:noWrap/>
            <w:hideMark/>
          </w:tcPr>
          <w:p w14:paraId="202EC32C"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150.0</w:t>
            </w:r>
          </w:p>
        </w:tc>
        <w:tc>
          <w:tcPr>
            <w:tcW w:w="854" w:type="dxa"/>
            <w:tcBorders>
              <w:top w:val="nil"/>
              <w:left w:val="nil"/>
              <w:bottom w:val="single" w:sz="4" w:space="0" w:color="auto"/>
              <w:right w:val="nil"/>
            </w:tcBorders>
            <w:shd w:val="clear" w:color="auto" w:fill="auto"/>
            <w:noWrap/>
            <w:hideMark/>
          </w:tcPr>
          <w:p w14:paraId="3D02213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100.0</w:t>
            </w:r>
          </w:p>
        </w:tc>
        <w:tc>
          <w:tcPr>
            <w:tcW w:w="854" w:type="dxa"/>
            <w:tcBorders>
              <w:top w:val="nil"/>
              <w:left w:val="nil"/>
              <w:bottom w:val="single" w:sz="4" w:space="0" w:color="auto"/>
              <w:right w:val="nil"/>
            </w:tcBorders>
            <w:shd w:val="clear" w:color="auto" w:fill="auto"/>
            <w:noWrap/>
            <w:hideMark/>
          </w:tcPr>
          <w:p w14:paraId="15BFFCBE"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50.0</w:t>
            </w:r>
          </w:p>
        </w:tc>
        <w:tc>
          <w:tcPr>
            <w:tcW w:w="854" w:type="dxa"/>
            <w:tcBorders>
              <w:top w:val="nil"/>
              <w:left w:val="nil"/>
              <w:bottom w:val="single" w:sz="4" w:space="0" w:color="auto"/>
              <w:right w:val="nil"/>
            </w:tcBorders>
            <w:shd w:val="clear" w:color="auto" w:fill="auto"/>
            <w:noWrap/>
            <w:hideMark/>
          </w:tcPr>
          <w:p w14:paraId="014FB163"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0.0</w:t>
            </w:r>
          </w:p>
        </w:tc>
      </w:tr>
      <w:tr w:rsidR="00453893" w:rsidRPr="0004333C" w14:paraId="12AD61A7" w14:textId="77777777" w:rsidTr="00453893">
        <w:trPr>
          <w:trHeight w:val="405"/>
        </w:trPr>
        <w:tc>
          <w:tcPr>
            <w:tcW w:w="2430" w:type="dxa"/>
            <w:tcBorders>
              <w:top w:val="nil"/>
              <w:left w:val="nil"/>
              <w:bottom w:val="single" w:sz="4" w:space="0" w:color="auto"/>
              <w:right w:val="nil"/>
            </w:tcBorders>
            <w:shd w:val="clear" w:color="auto" w:fill="auto"/>
            <w:hideMark/>
          </w:tcPr>
          <w:p w14:paraId="74019DC2"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Cumulative savings incremental (GWh) (I) </w:t>
            </w:r>
          </w:p>
        </w:tc>
        <w:tc>
          <w:tcPr>
            <w:tcW w:w="944" w:type="dxa"/>
            <w:tcBorders>
              <w:top w:val="nil"/>
              <w:left w:val="nil"/>
              <w:bottom w:val="single" w:sz="4" w:space="0" w:color="auto"/>
              <w:right w:val="nil"/>
            </w:tcBorders>
            <w:shd w:val="clear" w:color="auto" w:fill="auto"/>
            <w:noWrap/>
            <w:hideMark/>
          </w:tcPr>
          <w:p w14:paraId="7D0E1E4C"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21AD4F82"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808.6</w:t>
            </w:r>
          </w:p>
        </w:tc>
        <w:tc>
          <w:tcPr>
            <w:tcW w:w="854" w:type="dxa"/>
            <w:tcBorders>
              <w:top w:val="nil"/>
              <w:left w:val="nil"/>
              <w:bottom w:val="single" w:sz="4" w:space="0" w:color="auto"/>
              <w:right w:val="nil"/>
            </w:tcBorders>
            <w:shd w:val="clear" w:color="auto" w:fill="auto"/>
            <w:noWrap/>
            <w:hideMark/>
          </w:tcPr>
          <w:p w14:paraId="10CFF87C"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1,617.2</w:t>
            </w:r>
          </w:p>
        </w:tc>
        <w:tc>
          <w:tcPr>
            <w:tcW w:w="854" w:type="dxa"/>
            <w:tcBorders>
              <w:top w:val="nil"/>
              <w:left w:val="nil"/>
              <w:bottom w:val="single" w:sz="4" w:space="0" w:color="auto"/>
              <w:right w:val="nil"/>
            </w:tcBorders>
            <w:shd w:val="clear" w:color="auto" w:fill="auto"/>
            <w:noWrap/>
            <w:hideMark/>
          </w:tcPr>
          <w:p w14:paraId="157C60C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2,425.8</w:t>
            </w:r>
          </w:p>
        </w:tc>
        <w:tc>
          <w:tcPr>
            <w:tcW w:w="854" w:type="dxa"/>
            <w:tcBorders>
              <w:top w:val="nil"/>
              <w:left w:val="nil"/>
              <w:bottom w:val="single" w:sz="4" w:space="0" w:color="auto"/>
              <w:right w:val="nil"/>
            </w:tcBorders>
            <w:shd w:val="clear" w:color="auto" w:fill="auto"/>
            <w:noWrap/>
            <w:hideMark/>
          </w:tcPr>
          <w:p w14:paraId="5F9865F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2,425.8</w:t>
            </w:r>
          </w:p>
        </w:tc>
        <w:tc>
          <w:tcPr>
            <w:tcW w:w="854" w:type="dxa"/>
            <w:tcBorders>
              <w:top w:val="nil"/>
              <w:left w:val="nil"/>
              <w:bottom w:val="single" w:sz="4" w:space="0" w:color="auto"/>
              <w:right w:val="nil"/>
            </w:tcBorders>
            <w:shd w:val="clear" w:color="auto" w:fill="auto"/>
            <w:noWrap/>
            <w:hideMark/>
          </w:tcPr>
          <w:p w14:paraId="748C81C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1,617.2</w:t>
            </w:r>
          </w:p>
        </w:tc>
        <w:tc>
          <w:tcPr>
            <w:tcW w:w="854" w:type="dxa"/>
            <w:tcBorders>
              <w:top w:val="nil"/>
              <w:left w:val="nil"/>
              <w:bottom w:val="single" w:sz="4" w:space="0" w:color="auto"/>
              <w:right w:val="nil"/>
            </w:tcBorders>
            <w:shd w:val="clear" w:color="auto" w:fill="auto"/>
            <w:noWrap/>
            <w:hideMark/>
          </w:tcPr>
          <w:p w14:paraId="4D5ABED3"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808.6</w:t>
            </w:r>
          </w:p>
        </w:tc>
        <w:tc>
          <w:tcPr>
            <w:tcW w:w="854" w:type="dxa"/>
            <w:tcBorders>
              <w:top w:val="nil"/>
              <w:left w:val="nil"/>
              <w:bottom w:val="single" w:sz="4" w:space="0" w:color="auto"/>
              <w:right w:val="nil"/>
            </w:tcBorders>
            <w:shd w:val="clear" w:color="auto" w:fill="auto"/>
            <w:noWrap/>
            <w:hideMark/>
          </w:tcPr>
          <w:p w14:paraId="2D578C48"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0.0</w:t>
            </w:r>
          </w:p>
        </w:tc>
      </w:tr>
      <w:tr w:rsidR="00453893" w:rsidRPr="0004333C" w14:paraId="798AF7A4" w14:textId="77777777" w:rsidTr="00453893">
        <w:trPr>
          <w:trHeight w:val="405"/>
        </w:trPr>
        <w:tc>
          <w:tcPr>
            <w:tcW w:w="2430" w:type="dxa"/>
            <w:tcBorders>
              <w:top w:val="nil"/>
              <w:left w:val="nil"/>
              <w:bottom w:val="single" w:sz="4" w:space="0" w:color="auto"/>
              <w:right w:val="nil"/>
            </w:tcBorders>
            <w:shd w:val="clear" w:color="auto" w:fill="auto"/>
            <w:hideMark/>
          </w:tcPr>
          <w:p w14:paraId="2087FFB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Adjusted sales after incremental savings (GWh) (Z) </w:t>
            </w:r>
          </w:p>
        </w:tc>
        <w:tc>
          <w:tcPr>
            <w:tcW w:w="944" w:type="dxa"/>
            <w:tcBorders>
              <w:top w:val="nil"/>
              <w:left w:val="nil"/>
              <w:bottom w:val="single" w:sz="4" w:space="0" w:color="auto"/>
              <w:right w:val="nil"/>
            </w:tcBorders>
            <w:shd w:val="clear" w:color="auto" w:fill="auto"/>
            <w:noWrap/>
            <w:hideMark/>
          </w:tcPr>
          <w:p w14:paraId="1C68C95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50,000.0</w:t>
            </w:r>
          </w:p>
        </w:tc>
        <w:tc>
          <w:tcPr>
            <w:tcW w:w="854" w:type="dxa"/>
            <w:tcBorders>
              <w:top w:val="nil"/>
              <w:left w:val="nil"/>
              <w:bottom w:val="single" w:sz="4" w:space="0" w:color="auto"/>
              <w:right w:val="nil"/>
            </w:tcBorders>
            <w:shd w:val="clear" w:color="auto" w:fill="auto"/>
            <w:noWrap/>
            <w:hideMark/>
          </w:tcPr>
          <w:p w14:paraId="7B021175"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49,691.4</w:t>
            </w:r>
          </w:p>
        </w:tc>
        <w:tc>
          <w:tcPr>
            <w:tcW w:w="854" w:type="dxa"/>
            <w:tcBorders>
              <w:top w:val="nil"/>
              <w:left w:val="nil"/>
              <w:bottom w:val="single" w:sz="4" w:space="0" w:color="auto"/>
              <w:right w:val="nil"/>
            </w:tcBorders>
            <w:shd w:val="clear" w:color="auto" w:fill="auto"/>
            <w:noWrap/>
            <w:hideMark/>
          </w:tcPr>
          <w:p w14:paraId="1964AE7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49,387.8</w:t>
            </w:r>
          </w:p>
        </w:tc>
        <w:tc>
          <w:tcPr>
            <w:tcW w:w="854" w:type="dxa"/>
            <w:tcBorders>
              <w:top w:val="nil"/>
              <w:left w:val="nil"/>
              <w:bottom w:val="single" w:sz="4" w:space="0" w:color="auto"/>
              <w:right w:val="nil"/>
            </w:tcBorders>
            <w:shd w:val="clear" w:color="auto" w:fill="auto"/>
            <w:noWrap/>
            <w:hideMark/>
          </w:tcPr>
          <w:p w14:paraId="4684DF1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49,089.3</w:t>
            </w:r>
          </w:p>
        </w:tc>
        <w:tc>
          <w:tcPr>
            <w:tcW w:w="854" w:type="dxa"/>
            <w:tcBorders>
              <w:top w:val="nil"/>
              <w:left w:val="nil"/>
              <w:bottom w:val="single" w:sz="4" w:space="0" w:color="auto"/>
              <w:right w:val="nil"/>
            </w:tcBorders>
            <w:shd w:val="clear" w:color="auto" w:fill="auto"/>
            <w:noWrap/>
            <w:hideMark/>
          </w:tcPr>
          <w:p w14:paraId="72707955"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49,604.4</w:t>
            </w:r>
          </w:p>
        </w:tc>
        <w:tc>
          <w:tcPr>
            <w:tcW w:w="854" w:type="dxa"/>
            <w:tcBorders>
              <w:top w:val="nil"/>
              <w:left w:val="nil"/>
              <w:bottom w:val="single" w:sz="4" w:space="0" w:color="auto"/>
              <w:right w:val="nil"/>
            </w:tcBorders>
            <w:shd w:val="clear" w:color="auto" w:fill="auto"/>
            <w:noWrap/>
            <w:hideMark/>
          </w:tcPr>
          <w:p w14:paraId="5FEBA03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50,933.3</w:t>
            </w:r>
          </w:p>
        </w:tc>
        <w:tc>
          <w:tcPr>
            <w:tcW w:w="854" w:type="dxa"/>
            <w:tcBorders>
              <w:top w:val="nil"/>
              <w:left w:val="nil"/>
              <w:bottom w:val="single" w:sz="4" w:space="0" w:color="auto"/>
              <w:right w:val="nil"/>
            </w:tcBorders>
            <w:shd w:val="clear" w:color="auto" w:fill="auto"/>
            <w:noWrap/>
            <w:hideMark/>
          </w:tcPr>
          <w:p w14:paraId="6D6F8027"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52,267.4</w:t>
            </w:r>
          </w:p>
        </w:tc>
        <w:tc>
          <w:tcPr>
            <w:tcW w:w="854" w:type="dxa"/>
            <w:tcBorders>
              <w:top w:val="nil"/>
              <w:left w:val="nil"/>
              <w:bottom w:val="single" w:sz="4" w:space="0" w:color="auto"/>
              <w:right w:val="nil"/>
            </w:tcBorders>
            <w:shd w:val="clear" w:color="auto" w:fill="auto"/>
            <w:noWrap/>
            <w:hideMark/>
          </w:tcPr>
          <w:p w14:paraId="69944E4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53,606.8</w:t>
            </w:r>
          </w:p>
        </w:tc>
      </w:tr>
    </w:tbl>
    <w:p w14:paraId="220CD81A" w14:textId="77777777" w:rsidR="00453893" w:rsidRDefault="00453893" w:rsidP="005847EE">
      <w:pPr>
        <w:spacing w:after="0" w:line="240" w:lineRule="auto"/>
        <w:ind w:firstLine="360"/>
        <w:rPr>
          <w:rFonts w:ascii="Times New Roman" w:hAnsi="Times New Roman" w:cs="Times New Roman"/>
          <w:sz w:val="24"/>
          <w:szCs w:val="24"/>
        </w:rPr>
      </w:pPr>
    </w:p>
    <w:p w14:paraId="4482EEC5" w14:textId="77777777" w:rsidR="005847EE" w:rsidRPr="00D65A3B" w:rsidRDefault="005847EE" w:rsidP="005847EE">
      <w:pPr>
        <w:spacing w:after="0" w:line="240" w:lineRule="auto"/>
        <w:ind w:firstLine="360"/>
        <w:rPr>
          <w:rFonts w:ascii="Times New Roman" w:hAnsi="Times New Roman" w:cs="Times New Roman"/>
          <w:sz w:val="24"/>
          <w:szCs w:val="24"/>
        </w:rPr>
      </w:pPr>
    </w:p>
    <w:p w14:paraId="43378737" w14:textId="68CDC9B5" w:rsidR="00DE3EE4" w:rsidRPr="00D65A3B" w:rsidRDefault="00CA2FE5" w:rsidP="00DE3EE4">
      <w:pPr>
        <w:spacing w:after="0" w:line="240" w:lineRule="auto"/>
        <w:ind w:firstLine="720"/>
        <w:rPr>
          <w:rFonts w:ascii="Times New Roman" w:hAnsi="Times New Roman" w:cs="Times New Roman"/>
          <w:b/>
          <w:sz w:val="24"/>
          <w:szCs w:val="24"/>
        </w:rPr>
      </w:pPr>
      <w:r w:rsidRPr="00D65A3B">
        <w:rPr>
          <w:rFonts w:ascii="Times New Roman" w:hAnsi="Times New Roman" w:cs="Times New Roman"/>
          <w:b/>
          <w:sz w:val="24"/>
          <w:szCs w:val="24"/>
        </w:rPr>
        <w:t xml:space="preserve">4. </w:t>
      </w:r>
      <w:r w:rsidR="00DE3EE4" w:rsidRPr="00D65A3B">
        <w:rPr>
          <w:rFonts w:ascii="Times New Roman" w:hAnsi="Times New Roman" w:cs="Times New Roman"/>
          <w:b/>
          <w:sz w:val="24"/>
          <w:szCs w:val="24"/>
        </w:rPr>
        <w:t>EERS with Cumulative EE Savings Targets Specified in Absolute Terms</w:t>
      </w:r>
    </w:p>
    <w:p w14:paraId="444B32A1" w14:textId="77777777" w:rsidR="00DE3EE4" w:rsidRPr="00D65A3B" w:rsidRDefault="00DE3EE4" w:rsidP="00DE3EE4">
      <w:pPr>
        <w:spacing w:after="0" w:line="240" w:lineRule="auto"/>
        <w:ind w:firstLine="720"/>
        <w:rPr>
          <w:rFonts w:ascii="Times New Roman" w:hAnsi="Times New Roman" w:cs="Times New Roman"/>
          <w:sz w:val="24"/>
          <w:szCs w:val="24"/>
        </w:rPr>
      </w:pPr>
    </w:p>
    <w:p w14:paraId="13E228AD"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A(t) = C(t) – C(t-1) + A(t-L)</w:t>
      </w:r>
    </w:p>
    <w:p w14:paraId="663F34AF" w14:textId="77777777" w:rsidR="00DE3EE4" w:rsidRPr="00D65A3B" w:rsidRDefault="00DE3EE4" w:rsidP="00722BD1">
      <w:pPr>
        <w:spacing w:after="0" w:line="240" w:lineRule="auto"/>
        <w:ind w:firstLine="360"/>
        <w:rPr>
          <w:rFonts w:ascii="Times New Roman" w:hAnsi="Times New Roman" w:cs="Times New Roman"/>
          <w:sz w:val="24"/>
          <w:szCs w:val="24"/>
        </w:rPr>
      </w:pPr>
    </w:p>
    <w:p w14:paraId="21D5147D"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If C(t) available,</w:t>
      </w:r>
    </w:p>
    <w:p w14:paraId="067FBD01"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I(t) = C(t) - E(t)</w:t>
      </w:r>
    </w:p>
    <w:p w14:paraId="6D828EAD"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Z(t) = B(t) - I(t)</w:t>
      </w:r>
    </w:p>
    <w:p w14:paraId="44A86F58" w14:textId="77777777" w:rsidR="00DE3EE4" w:rsidRPr="00D65A3B" w:rsidRDefault="00DE3EE4" w:rsidP="00722BD1">
      <w:pPr>
        <w:spacing w:after="0" w:line="240" w:lineRule="auto"/>
        <w:ind w:firstLine="360"/>
        <w:rPr>
          <w:rFonts w:ascii="Times New Roman" w:hAnsi="Times New Roman" w:cs="Times New Roman"/>
          <w:sz w:val="24"/>
          <w:szCs w:val="24"/>
        </w:rPr>
      </w:pPr>
    </w:p>
    <w:p w14:paraId="0CC45D69"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If C(t) not available,</w:t>
      </w:r>
    </w:p>
    <w:p w14:paraId="644041D6"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Z(t) calculated by interpolation</w:t>
      </w:r>
    </w:p>
    <w:p w14:paraId="102A8D88"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I(t) = B(t) - Z(t)</w:t>
      </w:r>
    </w:p>
    <w:p w14:paraId="4B844544" w14:textId="77777777" w:rsidR="00DE3EE4"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C(t) = I(t) + E(t)</w:t>
      </w:r>
    </w:p>
    <w:p w14:paraId="75B4252B" w14:textId="77777777" w:rsidR="003A4E75" w:rsidRPr="00D65A3B" w:rsidRDefault="003A4E75" w:rsidP="00722BD1">
      <w:pPr>
        <w:spacing w:after="0" w:line="240" w:lineRule="auto"/>
        <w:ind w:firstLine="360"/>
        <w:rPr>
          <w:rFonts w:ascii="Times New Roman" w:hAnsi="Times New Roman" w:cs="Times New Roman"/>
          <w:sz w:val="24"/>
          <w:szCs w:val="24"/>
        </w:rPr>
      </w:pPr>
    </w:p>
    <w:p w14:paraId="4A31FBE5" w14:textId="535F115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Where:</w:t>
      </w:r>
    </w:p>
    <w:p w14:paraId="7A9949B1"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C is the cumulative energy savings target, </w:t>
      </w:r>
    </w:p>
    <w:p w14:paraId="65AD12C5"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A is the annual first-year energy savings, </w:t>
      </w:r>
    </w:p>
    <w:p w14:paraId="3BB5F8FE" w14:textId="77777777"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lastRenderedPageBreak/>
        <w:t xml:space="preserve">L is the measure lifetime, </w:t>
      </w:r>
    </w:p>
    <w:p w14:paraId="4F1DF18D" w14:textId="1619C556" w:rsidR="00DE3EE4" w:rsidRPr="00D65A3B"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B is the </w:t>
      </w:r>
      <w:r w:rsidR="003A4E75">
        <w:rPr>
          <w:rFonts w:ascii="Times New Roman" w:hAnsi="Times New Roman" w:cs="Times New Roman"/>
          <w:sz w:val="24"/>
          <w:szCs w:val="24"/>
        </w:rPr>
        <w:t xml:space="preserve">base case </w:t>
      </w:r>
      <w:r w:rsidRPr="00D65A3B">
        <w:rPr>
          <w:rFonts w:ascii="Times New Roman" w:hAnsi="Times New Roman" w:cs="Times New Roman"/>
          <w:sz w:val="24"/>
          <w:szCs w:val="24"/>
        </w:rPr>
        <w:t xml:space="preserve">sales of utilities affected by these specific policies, </w:t>
      </w:r>
    </w:p>
    <w:p w14:paraId="4AC8A0CA" w14:textId="22994D23" w:rsidR="00DE3EE4" w:rsidRPr="00D65A3B" w:rsidRDefault="00DE3EE4" w:rsidP="001541B2">
      <w:pPr>
        <w:spacing w:after="0" w:line="240" w:lineRule="auto"/>
        <w:ind w:left="360"/>
        <w:rPr>
          <w:rFonts w:ascii="Times New Roman" w:hAnsi="Times New Roman" w:cs="Times New Roman"/>
          <w:sz w:val="24"/>
          <w:szCs w:val="24"/>
        </w:rPr>
      </w:pPr>
      <w:r w:rsidRPr="00D65A3B">
        <w:rPr>
          <w:rFonts w:ascii="Times New Roman" w:hAnsi="Times New Roman" w:cs="Times New Roman"/>
          <w:sz w:val="24"/>
          <w:szCs w:val="24"/>
        </w:rPr>
        <w:t xml:space="preserve">E is the cumulative savings embedded in the </w:t>
      </w:r>
      <w:r w:rsidR="00F53B0E">
        <w:rPr>
          <w:rFonts w:ascii="Times New Roman" w:hAnsi="Times New Roman" w:cs="Times New Roman"/>
          <w:sz w:val="24"/>
          <w:szCs w:val="24"/>
        </w:rPr>
        <w:t>base case demand forecast</w:t>
      </w:r>
      <w:r w:rsidRPr="00D65A3B">
        <w:rPr>
          <w:rFonts w:ascii="Times New Roman" w:hAnsi="Times New Roman" w:cs="Times New Roman"/>
          <w:sz w:val="24"/>
          <w:szCs w:val="24"/>
        </w:rPr>
        <w:t xml:space="preserve">, </w:t>
      </w:r>
    </w:p>
    <w:p w14:paraId="0DCD34CF" w14:textId="6A2255C6" w:rsidR="00DE3EE4" w:rsidRPr="00D65A3B" w:rsidRDefault="00DE3EE4" w:rsidP="001541B2">
      <w:pPr>
        <w:spacing w:after="0" w:line="240" w:lineRule="auto"/>
        <w:ind w:left="360"/>
        <w:rPr>
          <w:rFonts w:ascii="Times New Roman" w:hAnsi="Times New Roman" w:cs="Times New Roman"/>
          <w:sz w:val="24"/>
          <w:szCs w:val="24"/>
        </w:rPr>
      </w:pPr>
      <w:r w:rsidRPr="00D65A3B">
        <w:rPr>
          <w:rFonts w:ascii="Times New Roman" w:hAnsi="Times New Roman" w:cs="Times New Roman"/>
          <w:sz w:val="24"/>
          <w:szCs w:val="24"/>
        </w:rPr>
        <w:t xml:space="preserve">I is the cumulative savings incremental to </w:t>
      </w:r>
      <w:r w:rsidR="00DD5358">
        <w:rPr>
          <w:rFonts w:ascii="Times New Roman" w:hAnsi="Times New Roman" w:cs="Times New Roman"/>
          <w:sz w:val="24"/>
          <w:szCs w:val="24"/>
        </w:rPr>
        <w:t>the</w:t>
      </w:r>
      <w:r w:rsidR="00F53B0E">
        <w:rPr>
          <w:rFonts w:ascii="Times New Roman" w:hAnsi="Times New Roman" w:cs="Times New Roman"/>
          <w:sz w:val="24"/>
          <w:szCs w:val="24"/>
        </w:rPr>
        <w:t xml:space="preserve"> base case demand </w:t>
      </w:r>
      <w:r w:rsidR="00DD5358">
        <w:rPr>
          <w:rFonts w:ascii="Times New Roman" w:hAnsi="Times New Roman" w:cs="Times New Roman"/>
          <w:sz w:val="24"/>
          <w:szCs w:val="24"/>
        </w:rPr>
        <w:t>forecast</w:t>
      </w:r>
      <w:r w:rsidRPr="00D65A3B">
        <w:rPr>
          <w:rFonts w:ascii="Times New Roman" w:hAnsi="Times New Roman" w:cs="Times New Roman"/>
          <w:sz w:val="24"/>
          <w:szCs w:val="24"/>
        </w:rPr>
        <w:t xml:space="preserve">, and </w:t>
      </w:r>
    </w:p>
    <w:p w14:paraId="146FB15C" w14:textId="77777777" w:rsidR="00DE3EE4" w:rsidRDefault="00DE3EE4" w:rsidP="00722BD1">
      <w:pPr>
        <w:spacing w:after="0" w:line="240" w:lineRule="auto"/>
        <w:ind w:firstLine="360"/>
        <w:rPr>
          <w:rFonts w:ascii="Times New Roman" w:hAnsi="Times New Roman" w:cs="Times New Roman"/>
          <w:sz w:val="24"/>
          <w:szCs w:val="24"/>
        </w:rPr>
      </w:pPr>
      <w:r w:rsidRPr="00D65A3B">
        <w:rPr>
          <w:rFonts w:ascii="Times New Roman" w:hAnsi="Times New Roman" w:cs="Times New Roman"/>
          <w:sz w:val="24"/>
          <w:szCs w:val="24"/>
        </w:rPr>
        <w:t>Z is the adjusted sales after application of cumulative incremental savings.</w:t>
      </w:r>
    </w:p>
    <w:p w14:paraId="77B049C4" w14:textId="20CF88BD" w:rsidR="00453893" w:rsidRDefault="00453893" w:rsidP="00722BD1">
      <w:pPr>
        <w:spacing w:after="0" w:line="240" w:lineRule="auto"/>
        <w:ind w:firstLine="360"/>
        <w:rPr>
          <w:rFonts w:ascii="Times New Roman" w:hAnsi="Times New Roman" w:cs="Times New Roman"/>
          <w:sz w:val="24"/>
          <w:szCs w:val="24"/>
        </w:rPr>
      </w:pPr>
    </w:p>
    <w:p w14:paraId="59322037" w14:textId="0AC39F59" w:rsidR="00453893" w:rsidRDefault="00A06ED9" w:rsidP="00B000E5">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For example, a</w:t>
      </w:r>
      <w:r w:rsidR="00453893" w:rsidRPr="005C6873">
        <w:rPr>
          <w:rFonts w:ascii="Times New Roman" w:hAnsi="Times New Roman" w:cs="Times New Roman"/>
          <w:sz w:val="24"/>
          <w:szCs w:val="24"/>
        </w:rPr>
        <w:t xml:space="preserve"> representative state </w:t>
      </w:r>
      <w:r w:rsidR="00883D67">
        <w:rPr>
          <w:rFonts w:ascii="Times New Roman" w:hAnsi="Times New Roman" w:cs="Times New Roman"/>
          <w:sz w:val="24"/>
          <w:szCs w:val="24"/>
        </w:rPr>
        <w:t>has</w:t>
      </w:r>
      <w:r w:rsidR="00453893" w:rsidRPr="005C6873">
        <w:rPr>
          <w:rFonts w:ascii="Times New Roman" w:hAnsi="Times New Roman" w:cs="Times New Roman"/>
          <w:sz w:val="24"/>
          <w:szCs w:val="24"/>
        </w:rPr>
        <w:t xml:space="preserve"> an </w:t>
      </w:r>
      <w:r w:rsidR="00453893">
        <w:rPr>
          <w:rFonts w:ascii="Times New Roman" w:hAnsi="Times New Roman" w:cs="Times New Roman"/>
          <w:sz w:val="24"/>
          <w:szCs w:val="24"/>
        </w:rPr>
        <w:t xml:space="preserve">EERS cumulative target of 3,000 GWh by 2018.  </w:t>
      </w:r>
      <w:r w:rsidR="00453893" w:rsidRPr="005C6873">
        <w:rPr>
          <w:rFonts w:ascii="Times New Roman" w:hAnsi="Times New Roman" w:cs="Times New Roman"/>
          <w:sz w:val="24"/>
          <w:szCs w:val="24"/>
        </w:rPr>
        <w:t xml:space="preserve">Forecasted </w:t>
      </w:r>
      <w:r w:rsidR="00453893" w:rsidRPr="0011148A">
        <w:rPr>
          <w:rFonts w:ascii="Times New Roman" w:hAnsi="Times New Roman" w:cs="Times New Roman"/>
          <w:sz w:val="24"/>
          <w:szCs w:val="24"/>
        </w:rPr>
        <w:t xml:space="preserve">baseline sales of utilities </w:t>
      </w:r>
      <w:r w:rsidR="00453893">
        <w:rPr>
          <w:rFonts w:ascii="Times New Roman" w:hAnsi="Times New Roman" w:cs="Times New Roman"/>
          <w:sz w:val="24"/>
          <w:szCs w:val="24"/>
        </w:rPr>
        <w:t xml:space="preserve">in </w:t>
      </w:r>
      <w:r w:rsidR="00453893" w:rsidRPr="005C6873">
        <w:rPr>
          <w:rFonts w:ascii="Times New Roman" w:hAnsi="Times New Roman" w:cs="Times New Roman"/>
          <w:sz w:val="24"/>
          <w:szCs w:val="24"/>
        </w:rPr>
        <w:t xml:space="preserve">2015 are </w:t>
      </w:r>
      <w:r w:rsidR="00453893">
        <w:rPr>
          <w:rFonts w:ascii="Times New Roman" w:hAnsi="Times New Roman" w:cs="Times New Roman"/>
          <w:sz w:val="24"/>
          <w:szCs w:val="24"/>
        </w:rPr>
        <w:t>50</w:t>
      </w:r>
      <w:r w:rsidR="00453893" w:rsidRPr="005C6873">
        <w:rPr>
          <w:rFonts w:ascii="Times New Roman" w:hAnsi="Times New Roman" w:cs="Times New Roman"/>
          <w:sz w:val="24"/>
          <w:szCs w:val="24"/>
        </w:rPr>
        <w:t xml:space="preserve">,000 GWh, </w:t>
      </w:r>
      <w:r w:rsidR="00453893">
        <w:rPr>
          <w:rFonts w:ascii="Times New Roman" w:hAnsi="Times New Roman" w:cs="Times New Roman"/>
          <w:sz w:val="24"/>
          <w:szCs w:val="24"/>
        </w:rPr>
        <w:t>growing by 1% each year of the forecast period</w:t>
      </w:r>
      <w:r w:rsidR="00453893" w:rsidRPr="005C6873">
        <w:rPr>
          <w:rFonts w:ascii="Times New Roman" w:hAnsi="Times New Roman" w:cs="Times New Roman"/>
          <w:sz w:val="24"/>
          <w:szCs w:val="24"/>
        </w:rPr>
        <w:t xml:space="preserve">. </w:t>
      </w:r>
      <w:r w:rsidR="00453893">
        <w:rPr>
          <w:rFonts w:ascii="Times New Roman" w:hAnsi="Times New Roman" w:cs="Times New Roman"/>
          <w:sz w:val="24"/>
          <w:szCs w:val="24"/>
        </w:rPr>
        <w:t>Embedded savings are 50 GWh per year, applied to years in which first-year energy savings are realized. The measure lifetime assumed for both first-year energy savings and embedded savings is four years. Distribution of the cumulative energy savings in 2018 to the first-year savings for 2016-</w:t>
      </w:r>
      <w:r>
        <w:rPr>
          <w:rFonts w:ascii="Times New Roman" w:hAnsi="Times New Roman" w:cs="Times New Roman"/>
          <w:sz w:val="24"/>
          <w:szCs w:val="24"/>
        </w:rPr>
        <w:t>20</w:t>
      </w:r>
      <w:r w:rsidR="00453893">
        <w:rPr>
          <w:rFonts w:ascii="Times New Roman" w:hAnsi="Times New Roman" w:cs="Times New Roman"/>
          <w:sz w:val="24"/>
          <w:szCs w:val="24"/>
        </w:rPr>
        <w:t>18 applies the simple assumption of an equal share of savings being implemented in each year.</w:t>
      </w:r>
      <w:r w:rsidR="00766A5B" w:rsidRPr="00766A5B">
        <w:rPr>
          <w:rFonts w:ascii="Times New Roman" w:hAnsi="Times New Roman" w:cs="Times New Roman"/>
          <w:sz w:val="24"/>
          <w:szCs w:val="24"/>
        </w:rPr>
        <w:t xml:space="preserve"> </w:t>
      </w:r>
      <w:r w:rsidR="00453B05">
        <w:rPr>
          <w:rFonts w:ascii="Times New Roman" w:hAnsi="Times New Roman" w:cs="Times New Roman"/>
          <w:sz w:val="24"/>
          <w:szCs w:val="24"/>
        </w:rPr>
        <w:t>Table 4</w:t>
      </w:r>
      <w:r w:rsidR="00766A5B">
        <w:rPr>
          <w:rFonts w:ascii="Times New Roman" w:hAnsi="Times New Roman" w:cs="Times New Roman"/>
          <w:sz w:val="24"/>
          <w:szCs w:val="24"/>
        </w:rPr>
        <w:t xml:space="preserve"> applies this example to the above formula. </w:t>
      </w:r>
      <w:r w:rsidR="00453893">
        <w:rPr>
          <w:rFonts w:ascii="Times New Roman" w:hAnsi="Times New Roman" w:cs="Times New Roman"/>
          <w:sz w:val="24"/>
          <w:szCs w:val="24"/>
        </w:rPr>
        <w:t xml:space="preserve">States that </w:t>
      </w:r>
      <w:r w:rsidR="00CF3F1D">
        <w:rPr>
          <w:rFonts w:ascii="Times New Roman" w:hAnsi="Times New Roman" w:cs="Times New Roman"/>
          <w:sz w:val="24"/>
          <w:szCs w:val="24"/>
        </w:rPr>
        <w:t>utilized</w:t>
      </w:r>
      <w:r w:rsidR="00453893">
        <w:rPr>
          <w:rFonts w:ascii="Times New Roman" w:hAnsi="Times New Roman" w:cs="Times New Roman"/>
          <w:sz w:val="24"/>
          <w:szCs w:val="24"/>
        </w:rPr>
        <w:t xml:space="preserve"> this structure during EERS implementation include California and Hawaii. </w:t>
      </w:r>
    </w:p>
    <w:p w14:paraId="4972EEAD" w14:textId="0AC39F59" w:rsidR="00B000E5" w:rsidRPr="00B000E5" w:rsidRDefault="00B000E5" w:rsidP="00B000E5">
      <w:pPr>
        <w:spacing w:after="0" w:line="360" w:lineRule="auto"/>
        <w:rPr>
          <w:rFonts w:ascii="Times New Roman" w:hAnsi="Times New Roman" w:cs="Times New Roman"/>
          <w:sz w:val="24"/>
          <w:szCs w:val="24"/>
        </w:rPr>
      </w:pPr>
    </w:p>
    <w:tbl>
      <w:tblPr>
        <w:tblW w:w="9352" w:type="dxa"/>
        <w:tblLook w:val="04A0" w:firstRow="1" w:lastRow="0" w:firstColumn="1" w:lastColumn="0" w:noHBand="0" w:noVBand="1"/>
      </w:tblPr>
      <w:tblGrid>
        <w:gridCol w:w="2430"/>
        <w:gridCol w:w="944"/>
        <w:gridCol w:w="854"/>
        <w:gridCol w:w="854"/>
        <w:gridCol w:w="854"/>
        <w:gridCol w:w="854"/>
        <w:gridCol w:w="854"/>
        <w:gridCol w:w="854"/>
        <w:gridCol w:w="854"/>
      </w:tblGrid>
      <w:tr w:rsidR="008407A3" w:rsidRPr="0004333C" w14:paraId="3A3C4012" w14:textId="77777777" w:rsidTr="00826D6D">
        <w:trPr>
          <w:trHeight w:val="405"/>
        </w:trPr>
        <w:tc>
          <w:tcPr>
            <w:tcW w:w="9352" w:type="dxa"/>
            <w:gridSpan w:val="9"/>
            <w:tcBorders>
              <w:top w:val="nil"/>
              <w:left w:val="nil"/>
              <w:bottom w:val="nil"/>
              <w:right w:val="nil"/>
            </w:tcBorders>
            <w:shd w:val="clear" w:color="auto" w:fill="auto"/>
            <w:noWrap/>
            <w:hideMark/>
          </w:tcPr>
          <w:p w14:paraId="601900B0" w14:textId="10ADFFF5" w:rsidR="008407A3" w:rsidRPr="0004333C" w:rsidRDefault="008407A3" w:rsidP="00453893">
            <w:pPr>
              <w:spacing w:after="0" w:line="240" w:lineRule="auto"/>
              <w:rPr>
                <w:rFonts w:ascii="Times New Roman" w:eastAsia="Times New Roman" w:hAnsi="Times New Roman" w:cs="Times New Roman"/>
                <w:sz w:val="20"/>
                <w:szCs w:val="20"/>
              </w:rPr>
            </w:pPr>
            <w:r w:rsidRPr="008407A3">
              <w:rPr>
                <w:rFonts w:ascii="Calibri" w:eastAsia="Times New Roman" w:hAnsi="Calibri" w:cs="Times New Roman"/>
                <w:i/>
                <w:iCs/>
                <w:color w:val="000000"/>
                <w:szCs w:val="18"/>
              </w:rPr>
              <w:t>Table 4: Example EERS with Cumulative EE Savings Targets Specified in</w:t>
            </w:r>
            <w:r>
              <w:rPr>
                <w:rFonts w:ascii="Calibri" w:eastAsia="Times New Roman" w:hAnsi="Calibri" w:cs="Times New Roman"/>
                <w:i/>
                <w:iCs/>
                <w:color w:val="000000"/>
                <w:szCs w:val="18"/>
              </w:rPr>
              <w:t xml:space="preserve"> </w:t>
            </w:r>
            <w:r w:rsidRPr="008407A3">
              <w:rPr>
                <w:rFonts w:ascii="Calibri" w:eastAsia="Times New Roman" w:hAnsi="Calibri" w:cs="Times New Roman"/>
                <w:i/>
                <w:iCs/>
                <w:color w:val="000000"/>
                <w:szCs w:val="18"/>
              </w:rPr>
              <w:t>Absolute Terms</w:t>
            </w:r>
          </w:p>
        </w:tc>
      </w:tr>
      <w:tr w:rsidR="00453893" w:rsidRPr="0004333C" w14:paraId="563016F9" w14:textId="77777777" w:rsidTr="00453893">
        <w:trPr>
          <w:trHeight w:val="405"/>
        </w:trPr>
        <w:tc>
          <w:tcPr>
            <w:tcW w:w="2430" w:type="dxa"/>
            <w:tcBorders>
              <w:top w:val="single" w:sz="4" w:space="0" w:color="auto"/>
              <w:left w:val="nil"/>
              <w:bottom w:val="single" w:sz="4" w:space="0" w:color="auto"/>
              <w:right w:val="nil"/>
            </w:tcBorders>
            <w:shd w:val="clear" w:color="auto" w:fill="auto"/>
            <w:noWrap/>
            <w:hideMark/>
          </w:tcPr>
          <w:p w14:paraId="3472CE1A"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944" w:type="dxa"/>
            <w:tcBorders>
              <w:top w:val="single" w:sz="4" w:space="0" w:color="auto"/>
              <w:left w:val="nil"/>
              <w:bottom w:val="single" w:sz="4" w:space="0" w:color="auto"/>
              <w:right w:val="nil"/>
            </w:tcBorders>
            <w:shd w:val="clear" w:color="auto" w:fill="auto"/>
            <w:noWrap/>
            <w:hideMark/>
          </w:tcPr>
          <w:p w14:paraId="335993F0"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2015</w:t>
            </w:r>
          </w:p>
        </w:tc>
        <w:tc>
          <w:tcPr>
            <w:tcW w:w="854" w:type="dxa"/>
            <w:tcBorders>
              <w:top w:val="single" w:sz="4" w:space="0" w:color="auto"/>
              <w:left w:val="nil"/>
              <w:bottom w:val="single" w:sz="4" w:space="0" w:color="auto"/>
              <w:right w:val="nil"/>
            </w:tcBorders>
            <w:shd w:val="clear" w:color="auto" w:fill="auto"/>
            <w:noWrap/>
            <w:hideMark/>
          </w:tcPr>
          <w:p w14:paraId="0E8D2586"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2016</w:t>
            </w:r>
          </w:p>
        </w:tc>
        <w:tc>
          <w:tcPr>
            <w:tcW w:w="854" w:type="dxa"/>
            <w:tcBorders>
              <w:top w:val="single" w:sz="4" w:space="0" w:color="auto"/>
              <w:left w:val="nil"/>
              <w:bottom w:val="single" w:sz="4" w:space="0" w:color="auto"/>
              <w:right w:val="nil"/>
            </w:tcBorders>
            <w:shd w:val="clear" w:color="auto" w:fill="auto"/>
            <w:noWrap/>
            <w:hideMark/>
          </w:tcPr>
          <w:p w14:paraId="57E53628"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2017</w:t>
            </w:r>
          </w:p>
        </w:tc>
        <w:tc>
          <w:tcPr>
            <w:tcW w:w="854" w:type="dxa"/>
            <w:tcBorders>
              <w:top w:val="single" w:sz="4" w:space="0" w:color="auto"/>
              <w:left w:val="nil"/>
              <w:bottom w:val="single" w:sz="4" w:space="0" w:color="auto"/>
              <w:right w:val="nil"/>
            </w:tcBorders>
            <w:shd w:val="clear" w:color="auto" w:fill="auto"/>
            <w:noWrap/>
            <w:hideMark/>
          </w:tcPr>
          <w:p w14:paraId="0F5B8A61"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2018</w:t>
            </w:r>
          </w:p>
        </w:tc>
        <w:tc>
          <w:tcPr>
            <w:tcW w:w="854" w:type="dxa"/>
            <w:tcBorders>
              <w:top w:val="single" w:sz="4" w:space="0" w:color="auto"/>
              <w:left w:val="nil"/>
              <w:bottom w:val="single" w:sz="4" w:space="0" w:color="auto"/>
              <w:right w:val="nil"/>
            </w:tcBorders>
            <w:shd w:val="clear" w:color="auto" w:fill="auto"/>
            <w:noWrap/>
            <w:hideMark/>
          </w:tcPr>
          <w:p w14:paraId="45D869A7"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2019</w:t>
            </w:r>
          </w:p>
        </w:tc>
        <w:tc>
          <w:tcPr>
            <w:tcW w:w="854" w:type="dxa"/>
            <w:tcBorders>
              <w:top w:val="single" w:sz="4" w:space="0" w:color="auto"/>
              <w:left w:val="nil"/>
              <w:bottom w:val="single" w:sz="4" w:space="0" w:color="auto"/>
              <w:right w:val="nil"/>
            </w:tcBorders>
            <w:shd w:val="clear" w:color="auto" w:fill="auto"/>
            <w:noWrap/>
            <w:hideMark/>
          </w:tcPr>
          <w:p w14:paraId="1A5A1146"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2020</w:t>
            </w:r>
          </w:p>
        </w:tc>
        <w:tc>
          <w:tcPr>
            <w:tcW w:w="854" w:type="dxa"/>
            <w:tcBorders>
              <w:top w:val="single" w:sz="4" w:space="0" w:color="auto"/>
              <w:left w:val="nil"/>
              <w:bottom w:val="single" w:sz="4" w:space="0" w:color="auto"/>
              <w:right w:val="nil"/>
            </w:tcBorders>
            <w:shd w:val="clear" w:color="auto" w:fill="auto"/>
            <w:noWrap/>
            <w:hideMark/>
          </w:tcPr>
          <w:p w14:paraId="0C556999"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2021</w:t>
            </w:r>
          </w:p>
        </w:tc>
        <w:tc>
          <w:tcPr>
            <w:tcW w:w="854" w:type="dxa"/>
            <w:tcBorders>
              <w:top w:val="single" w:sz="4" w:space="0" w:color="auto"/>
              <w:left w:val="nil"/>
              <w:bottom w:val="single" w:sz="4" w:space="0" w:color="auto"/>
              <w:right w:val="nil"/>
            </w:tcBorders>
            <w:shd w:val="clear" w:color="auto" w:fill="auto"/>
            <w:noWrap/>
            <w:hideMark/>
          </w:tcPr>
          <w:p w14:paraId="43C0CAC7" w14:textId="77777777" w:rsidR="00453893" w:rsidRPr="0004333C" w:rsidRDefault="00453893" w:rsidP="00453893">
            <w:pPr>
              <w:spacing w:after="0" w:line="240" w:lineRule="auto"/>
              <w:rPr>
                <w:rFonts w:ascii="Calibri" w:eastAsia="Times New Roman" w:hAnsi="Calibri" w:cs="Times New Roman"/>
                <w:b/>
                <w:bCs/>
                <w:color w:val="000000"/>
                <w:sz w:val="18"/>
                <w:szCs w:val="18"/>
              </w:rPr>
            </w:pPr>
            <w:r w:rsidRPr="0004333C">
              <w:rPr>
                <w:rFonts w:ascii="Calibri" w:eastAsia="Times New Roman" w:hAnsi="Calibri" w:cs="Times New Roman"/>
                <w:b/>
                <w:bCs/>
                <w:color w:val="000000"/>
                <w:sz w:val="18"/>
                <w:szCs w:val="18"/>
              </w:rPr>
              <w:t>2022</w:t>
            </w:r>
          </w:p>
        </w:tc>
      </w:tr>
      <w:tr w:rsidR="00453893" w:rsidRPr="0004333C" w14:paraId="179E6382" w14:textId="77777777" w:rsidTr="00453893">
        <w:trPr>
          <w:trHeight w:val="405"/>
        </w:trPr>
        <w:tc>
          <w:tcPr>
            <w:tcW w:w="2430" w:type="dxa"/>
            <w:tcBorders>
              <w:top w:val="nil"/>
              <w:left w:val="nil"/>
              <w:bottom w:val="single" w:sz="4" w:space="0" w:color="auto"/>
              <w:right w:val="nil"/>
            </w:tcBorders>
            <w:shd w:val="clear" w:color="auto" w:fill="auto"/>
            <w:hideMark/>
          </w:tcPr>
          <w:p w14:paraId="0DEE30C4"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Baseline sales of utilities (GWh) (B)</w:t>
            </w:r>
          </w:p>
        </w:tc>
        <w:tc>
          <w:tcPr>
            <w:tcW w:w="944" w:type="dxa"/>
            <w:tcBorders>
              <w:top w:val="nil"/>
              <w:left w:val="nil"/>
              <w:bottom w:val="single" w:sz="4" w:space="0" w:color="auto"/>
              <w:right w:val="nil"/>
            </w:tcBorders>
            <w:shd w:val="clear" w:color="auto" w:fill="auto"/>
            <w:noWrap/>
            <w:hideMark/>
          </w:tcPr>
          <w:p w14:paraId="05D18EAC"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50,000.0</w:t>
            </w:r>
          </w:p>
        </w:tc>
        <w:tc>
          <w:tcPr>
            <w:tcW w:w="854" w:type="dxa"/>
            <w:tcBorders>
              <w:top w:val="nil"/>
              <w:left w:val="nil"/>
              <w:bottom w:val="single" w:sz="4" w:space="0" w:color="auto"/>
              <w:right w:val="nil"/>
            </w:tcBorders>
            <w:shd w:val="clear" w:color="auto" w:fill="auto"/>
            <w:noWrap/>
            <w:hideMark/>
          </w:tcPr>
          <w:p w14:paraId="535B0A3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50,500.0</w:t>
            </w:r>
          </w:p>
        </w:tc>
        <w:tc>
          <w:tcPr>
            <w:tcW w:w="854" w:type="dxa"/>
            <w:tcBorders>
              <w:top w:val="nil"/>
              <w:left w:val="nil"/>
              <w:bottom w:val="single" w:sz="4" w:space="0" w:color="auto"/>
              <w:right w:val="nil"/>
            </w:tcBorders>
            <w:shd w:val="clear" w:color="auto" w:fill="auto"/>
            <w:noWrap/>
            <w:hideMark/>
          </w:tcPr>
          <w:p w14:paraId="66A2CBF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51,005.0</w:t>
            </w:r>
          </w:p>
        </w:tc>
        <w:tc>
          <w:tcPr>
            <w:tcW w:w="854" w:type="dxa"/>
            <w:tcBorders>
              <w:top w:val="nil"/>
              <w:left w:val="nil"/>
              <w:bottom w:val="single" w:sz="4" w:space="0" w:color="auto"/>
              <w:right w:val="nil"/>
            </w:tcBorders>
            <w:shd w:val="clear" w:color="auto" w:fill="auto"/>
            <w:noWrap/>
            <w:hideMark/>
          </w:tcPr>
          <w:p w14:paraId="0E78D972"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51,515.1</w:t>
            </w:r>
          </w:p>
        </w:tc>
        <w:tc>
          <w:tcPr>
            <w:tcW w:w="854" w:type="dxa"/>
            <w:tcBorders>
              <w:top w:val="nil"/>
              <w:left w:val="nil"/>
              <w:bottom w:val="single" w:sz="4" w:space="0" w:color="auto"/>
              <w:right w:val="nil"/>
            </w:tcBorders>
            <w:shd w:val="clear" w:color="auto" w:fill="auto"/>
            <w:noWrap/>
            <w:hideMark/>
          </w:tcPr>
          <w:p w14:paraId="4D3A9BCB"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52,030.2</w:t>
            </w:r>
          </w:p>
        </w:tc>
        <w:tc>
          <w:tcPr>
            <w:tcW w:w="854" w:type="dxa"/>
            <w:tcBorders>
              <w:top w:val="nil"/>
              <w:left w:val="nil"/>
              <w:bottom w:val="single" w:sz="4" w:space="0" w:color="auto"/>
              <w:right w:val="nil"/>
            </w:tcBorders>
            <w:shd w:val="clear" w:color="auto" w:fill="auto"/>
            <w:noWrap/>
            <w:hideMark/>
          </w:tcPr>
          <w:p w14:paraId="5C77891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52,550.5</w:t>
            </w:r>
          </w:p>
        </w:tc>
        <w:tc>
          <w:tcPr>
            <w:tcW w:w="854" w:type="dxa"/>
            <w:tcBorders>
              <w:top w:val="nil"/>
              <w:left w:val="nil"/>
              <w:bottom w:val="single" w:sz="4" w:space="0" w:color="auto"/>
              <w:right w:val="nil"/>
            </w:tcBorders>
            <w:shd w:val="clear" w:color="auto" w:fill="auto"/>
            <w:noWrap/>
            <w:hideMark/>
          </w:tcPr>
          <w:p w14:paraId="70D443F3"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53,076.0</w:t>
            </w:r>
          </w:p>
        </w:tc>
        <w:tc>
          <w:tcPr>
            <w:tcW w:w="854" w:type="dxa"/>
            <w:tcBorders>
              <w:top w:val="nil"/>
              <w:left w:val="nil"/>
              <w:bottom w:val="single" w:sz="4" w:space="0" w:color="auto"/>
              <w:right w:val="nil"/>
            </w:tcBorders>
            <w:shd w:val="clear" w:color="auto" w:fill="auto"/>
            <w:noWrap/>
            <w:hideMark/>
          </w:tcPr>
          <w:p w14:paraId="1A3FAB6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53,606.8</w:t>
            </w:r>
          </w:p>
        </w:tc>
      </w:tr>
      <w:tr w:rsidR="00453893" w:rsidRPr="0004333C" w14:paraId="1029C689" w14:textId="77777777" w:rsidTr="00453893">
        <w:trPr>
          <w:trHeight w:val="405"/>
        </w:trPr>
        <w:tc>
          <w:tcPr>
            <w:tcW w:w="2430" w:type="dxa"/>
            <w:tcBorders>
              <w:top w:val="nil"/>
              <w:left w:val="nil"/>
              <w:bottom w:val="single" w:sz="4" w:space="0" w:color="auto"/>
              <w:right w:val="nil"/>
            </w:tcBorders>
            <w:shd w:val="clear" w:color="auto" w:fill="auto"/>
            <w:hideMark/>
          </w:tcPr>
          <w:p w14:paraId="325C3FB4"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First-year energy savings (GWh) (A)</w:t>
            </w:r>
          </w:p>
        </w:tc>
        <w:tc>
          <w:tcPr>
            <w:tcW w:w="944" w:type="dxa"/>
            <w:tcBorders>
              <w:top w:val="nil"/>
              <w:left w:val="nil"/>
              <w:bottom w:val="single" w:sz="4" w:space="0" w:color="auto"/>
              <w:right w:val="nil"/>
            </w:tcBorders>
            <w:shd w:val="clear" w:color="auto" w:fill="auto"/>
            <w:noWrap/>
            <w:hideMark/>
          </w:tcPr>
          <w:p w14:paraId="1804AF3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06C19344"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1,000.0</w:t>
            </w:r>
          </w:p>
        </w:tc>
        <w:tc>
          <w:tcPr>
            <w:tcW w:w="854" w:type="dxa"/>
            <w:tcBorders>
              <w:top w:val="nil"/>
              <w:left w:val="nil"/>
              <w:bottom w:val="single" w:sz="4" w:space="0" w:color="auto"/>
              <w:right w:val="nil"/>
            </w:tcBorders>
            <w:shd w:val="clear" w:color="auto" w:fill="auto"/>
            <w:noWrap/>
            <w:hideMark/>
          </w:tcPr>
          <w:p w14:paraId="4B3B4E7A"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1,000.0</w:t>
            </w:r>
          </w:p>
        </w:tc>
        <w:tc>
          <w:tcPr>
            <w:tcW w:w="854" w:type="dxa"/>
            <w:tcBorders>
              <w:top w:val="nil"/>
              <w:left w:val="nil"/>
              <w:bottom w:val="single" w:sz="4" w:space="0" w:color="auto"/>
              <w:right w:val="nil"/>
            </w:tcBorders>
            <w:shd w:val="clear" w:color="auto" w:fill="auto"/>
            <w:noWrap/>
            <w:hideMark/>
          </w:tcPr>
          <w:p w14:paraId="3D3E6FB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1,000.0</w:t>
            </w:r>
          </w:p>
        </w:tc>
        <w:tc>
          <w:tcPr>
            <w:tcW w:w="854" w:type="dxa"/>
            <w:tcBorders>
              <w:top w:val="nil"/>
              <w:left w:val="nil"/>
              <w:bottom w:val="single" w:sz="4" w:space="0" w:color="auto"/>
              <w:right w:val="nil"/>
            </w:tcBorders>
            <w:shd w:val="clear" w:color="000000" w:fill="D9D9D9"/>
            <w:noWrap/>
            <w:hideMark/>
          </w:tcPr>
          <w:p w14:paraId="1F4FBD2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51196C6B"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5761357D"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000000" w:fill="D9D9D9"/>
            <w:noWrap/>
            <w:hideMark/>
          </w:tcPr>
          <w:p w14:paraId="474DD679"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r>
      <w:tr w:rsidR="00453893" w:rsidRPr="0004333C" w14:paraId="22E5F235" w14:textId="77777777" w:rsidTr="00453893">
        <w:trPr>
          <w:trHeight w:val="405"/>
        </w:trPr>
        <w:tc>
          <w:tcPr>
            <w:tcW w:w="2430" w:type="dxa"/>
            <w:tcBorders>
              <w:top w:val="nil"/>
              <w:left w:val="nil"/>
              <w:bottom w:val="single" w:sz="4" w:space="0" w:color="auto"/>
              <w:right w:val="nil"/>
            </w:tcBorders>
            <w:shd w:val="clear" w:color="auto" w:fill="auto"/>
            <w:hideMark/>
          </w:tcPr>
          <w:p w14:paraId="2DB242CC"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Cumulative energy savings (GWh) (C) </w:t>
            </w:r>
          </w:p>
        </w:tc>
        <w:tc>
          <w:tcPr>
            <w:tcW w:w="944" w:type="dxa"/>
            <w:tcBorders>
              <w:top w:val="nil"/>
              <w:left w:val="nil"/>
              <w:bottom w:val="single" w:sz="4" w:space="0" w:color="auto"/>
              <w:right w:val="nil"/>
            </w:tcBorders>
            <w:shd w:val="clear" w:color="auto" w:fill="auto"/>
            <w:noWrap/>
            <w:hideMark/>
          </w:tcPr>
          <w:p w14:paraId="2AB95B7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23F67F0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1,000.0</w:t>
            </w:r>
          </w:p>
        </w:tc>
        <w:tc>
          <w:tcPr>
            <w:tcW w:w="854" w:type="dxa"/>
            <w:tcBorders>
              <w:top w:val="nil"/>
              <w:left w:val="nil"/>
              <w:bottom w:val="single" w:sz="4" w:space="0" w:color="auto"/>
              <w:right w:val="nil"/>
            </w:tcBorders>
            <w:shd w:val="clear" w:color="auto" w:fill="auto"/>
            <w:noWrap/>
            <w:hideMark/>
          </w:tcPr>
          <w:p w14:paraId="427516F9"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2,000.0</w:t>
            </w:r>
          </w:p>
        </w:tc>
        <w:tc>
          <w:tcPr>
            <w:tcW w:w="854" w:type="dxa"/>
            <w:tcBorders>
              <w:top w:val="nil"/>
              <w:left w:val="nil"/>
              <w:bottom w:val="single" w:sz="4" w:space="0" w:color="auto"/>
              <w:right w:val="nil"/>
            </w:tcBorders>
            <w:shd w:val="clear" w:color="auto" w:fill="auto"/>
            <w:noWrap/>
            <w:hideMark/>
          </w:tcPr>
          <w:p w14:paraId="20FF34F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3,000.0</w:t>
            </w:r>
          </w:p>
        </w:tc>
        <w:tc>
          <w:tcPr>
            <w:tcW w:w="854" w:type="dxa"/>
            <w:tcBorders>
              <w:top w:val="nil"/>
              <w:left w:val="nil"/>
              <w:bottom w:val="single" w:sz="4" w:space="0" w:color="auto"/>
              <w:right w:val="nil"/>
            </w:tcBorders>
            <w:shd w:val="clear" w:color="auto" w:fill="auto"/>
            <w:noWrap/>
            <w:hideMark/>
          </w:tcPr>
          <w:p w14:paraId="799F876C"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3,000.0</w:t>
            </w:r>
          </w:p>
        </w:tc>
        <w:tc>
          <w:tcPr>
            <w:tcW w:w="854" w:type="dxa"/>
            <w:tcBorders>
              <w:top w:val="nil"/>
              <w:left w:val="nil"/>
              <w:bottom w:val="single" w:sz="4" w:space="0" w:color="auto"/>
              <w:right w:val="nil"/>
            </w:tcBorders>
            <w:shd w:val="clear" w:color="auto" w:fill="auto"/>
            <w:noWrap/>
            <w:hideMark/>
          </w:tcPr>
          <w:p w14:paraId="781B341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2,000.0</w:t>
            </w:r>
          </w:p>
        </w:tc>
        <w:tc>
          <w:tcPr>
            <w:tcW w:w="854" w:type="dxa"/>
            <w:tcBorders>
              <w:top w:val="nil"/>
              <w:left w:val="nil"/>
              <w:bottom w:val="single" w:sz="4" w:space="0" w:color="auto"/>
              <w:right w:val="nil"/>
            </w:tcBorders>
            <w:shd w:val="clear" w:color="auto" w:fill="auto"/>
            <w:noWrap/>
            <w:hideMark/>
          </w:tcPr>
          <w:p w14:paraId="46A9578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1,000.0</w:t>
            </w:r>
          </w:p>
        </w:tc>
        <w:tc>
          <w:tcPr>
            <w:tcW w:w="854" w:type="dxa"/>
            <w:tcBorders>
              <w:top w:val="nil"/>
              <w:left w:val="nil"/>
              <w:bottom w:val="single" w:sz="4" w:space="0" w:color="auto"/>
              <w:right w:val="nil"/>
            </w:tcBorders>
            <w:shd w:val="clear" w:color="auto" w:fill="auto"/>
            <w:noWrap/>
            <w:hideMark/>
          </w:tcPr>
          <w:p w14:paraId="698EB5EB"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0.0</w:t>
            </w:r>
          </w:p>
        </w:tc>
      </w:tr>
      <w:tr w:rsidR="00453893" w:rsidRPr="0004333C" w14:paraId="20253A9C" w14:textId="77777777" w:rsidTr="00453893">
        <w:trPr>
          <w:trHeight w:val="405"/>
        </w:trPr>
        <w:tc>
          <w:tcPr>
            <w:tcW w:w="2430" w:type="dxa"/>
            <w:tcBorders>
              <w:top w:val="nil"/>
              <w:left w:val="nil"/>
              <w:bottom w:val="single" w:sz="4" w:space="0" w:color="auto"/>
              <w:right w:val="nil"/>
            </w:tcBorders>
            <w:shd w:val="clear" w:color="auto" w:fill="auto"/>
            <w:hideMark/>
          </w:tcPr>
          <w:p w14:paraId="6A899C1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Cumulative savings embedded (GWh) (E) </w:t>
            </w:r>
          </w:p>
        </w:tc>
        <w:tc>
          <w:tcPr>
            <w:tcW w:w="944" w:type="dxa"/>
            <w:tcBorders>
              <w:top w:val="nil"/>
              <w:left w:val="nil"/>
              <w:bottom w:val="single" w:sz="4" w:space="0" w:color="auto"/>
              <w:right w:val="nil"/>
            </w:tcBorders>
            <w:shd w:val="clear" w:color="auto" w:fill="auto"/>
            <w:noWrap/>
            <w:hideMark/>
          </w:tcPr>
          <w:p w14:paraId="3C35169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5BB04D3C"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50.0</w:t>
            </w:r>
          </w:p>
        </w:tc>
        <w:tc>
          <w:tcPr>
            <w:tcW w:w="854" w:type="dxa"/>
            <w:tcBorders>
              <w:top w:val="nil"/>
              <w:left w:val="nil"/>
              <w:bottom w:val="single" w:sz="4" w:space="0" w:color="auto"/>
              <w:right w:val="nil"/>
            </w:tcBorders>
            <w:shd w:val="clear" w:color="auto" w:fill="auto"/>
            <w:noWrap/>
            <w:hideMark/>
          </w:tcPr>
          <w:p w14:paraId="158FE159"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100.0</w:t>
            </w:r>
          </w:p>
        </w:tc>
        <w:tc>
          <w:tcPr>
            <w:tcW w:w="854" w:type="dxa"/>
            <w:tcBorders>
              <w:top w:val="nil"/>
              <w:left w:val="nil"/>
              <w:bottom w:val="single" w:sz="4" w:space="0" w:color="auto"/>
              <w:right w:val="nil"/>
            </w:tcBorders>
            <w:shd w:val="clear" w:color="auto" w:fill="auto"/>
            <w:noWrap/>
            <w:hideMark/>
          </w:tcPr>
          <w:p w14:paraId="4BC4D20C"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150.0</w:t>
            </w:r>
          </w:p>
        </w:tc>
        <w:tc>
          <w:tcPr>
            <w:tcW w:w="854" w:type="dxa"/>
            <w:tcBorders>
              <w:top w:val="nil"/>
              <w:left w:val="nil"/>
              <w:bottom w:val="single" w:sz="4" w:space="0" w:color="auto"/>
              <w:right w:val="nil"/>
            </w:tcBorders>
            <w:shd w:val="clear" w:color="auto" w:fill="auto"/>
            <w:noWrap/>
            <w:hideMark/>
          </w:tcPr>
          <w:p w14:paraId="58BAF179"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150.0</w:t>
            </w:r>
          </w:p>
        </w:tc>
        <w:tc>
          <w:tcPr>
            <w:tcW w:w="854" w:type="dxa"/>
            <w:tcBorders>
              <w:top w:val="nil"/>
              <w:left w:val="nil"/>
              <w:bottom w:val="single" w:sz="4" w:space="0" w:color="auto"/>
              <w:right w:val="nil"/>
            </w:tcBorders>
            <w:shd w:val="clear" w:color="auto" w:fill="auto"/>
            <w:noWrap/>
            <w:hideMark/>
          </w:tcPr>
          <w:p w14:paraId="16CE840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100.0</w:t>
            </w:r>
          </w:p>
        </w:tc>
        <w:tc>
          <w:tcPr>
            <w:tcW w:w="854" w:type="dxa"/>
            <w:tcBorders>
              <w:top w:val="nil"/>
              <w:left w:val="nil"/>
              <w:bottom w:val="single" w:sz="4" w:space="0" w:color="auto"/>
              <w:right w:val="nil"/>
            </w:tcBorders>
            <w:shd w:val="clear" w:color="auto" w:fill="auto"/>
            <w:noWrap/>
            <w:hideMark/>
          </w:tcPr>
          <w:p w14:paraId="0BAAD41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50.0</w:t>
            </w:r>
          </w:p>
        </w:tc>
        <w:tc>
          <w:tcPr>
            <w:tcW w:w="854" w:type="dxa"/>
            <w:tcBorders>
              <w:top w:val="nil"/>
              <w:left w:val="nil"/>
              <w:bottom w:val="single" w:sz="4" w:space="0" w:color="auto"/>
              <w:right w:val="nil"/>
            </w:tcBorders>
            <w:shd w:val="clear" w:color="auto" w:fill="auto"/>
            <w:noWrap/>
            <w:hideMark/>
          </w:tcPr>
          <w:p w14:paraId="3396180B"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0.0</w:t>
            </w:r>
          </w:p>
        </w:tc>
      </w:tr>
      <w:tr w:rsidR="00453893" w:rsidRPr="0004333C" w14:paraId="2B6330D7" w14:textId="77777777" w:rsidTr="00453893">
        <w:trPr>
          <w:trHeight w:val="405"/>
        </w:trPr>
        <w:tc>
          <w:tcPr>
            <w:tcW w:w="2430" w:type="dxa"/>
            <w:tcBorders>
              <w:top w:val="nil"/>
              <w:left w:val="nil"/>
              <w:bottom w:val="single" w:sz="4" w:space="0" w:color="auto"/>
              <w:right w:val="nil"/>
            </w:tcBorders>
            <w:shd w:val="clear" w:color="auto" w:fill="auto"/>
            <w:hideMark/>
          </w:tcPr>
          <w:p w14:paraId="4F4639A1"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Cumulative savings incremental (GWh) (I) </w:t>
            </w:r>
          </w:p>
        </w:tc>
        <w:tc>
          <w:tcPr>
            <w:tcW w:w="944" w:type="dxa"/>
            <w:tcBorders>
              <w:top w:val="nil"/>
              <w:left w:val="nil"/>
              <w:bottom w:val="single" w:sz="4" w:space="0" w:color="auto"/>
              <w:right w:val="nil"/>
            </w:tcBorders>
            <w:shd w:val="clear" w:color="auto" w:fill="auto"/>
            <w:noWrap/>
            <w:hideMark/>
          </w:tcPr>
          <w:p w14:paraId="541DAFDA"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w:t>
            </w:r>
          </w:p>
        </w:tc>
        <w:tc>
          <w:tcPr>
            <w:tcW w:w="854" w:type="dxa"/>
            <w:tcBorders>
              <w:top w:val="nil"/>
              <w:left w:val="nil"/>
              <w:bottom w:val="single" w:sz="4" w:space="0" w:color="auto"/>
              <w:right w:val="nil"/>
            </w:tcBorders>
            <w:shd w:val="clear" w:color="auto" w:fill="auto"/>
            <w:noWrap/>
            <w:hideMark/>
          </w:tcPr>
          <w:p w14:paraId="11F01A49"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950.0</w:t>
            </w:r>
          </w:p>
        </w:tc>
        <w:tc>
          <w:tcPr>
            <w:tcW w:w="854" w:type="dxa"/>
            <w:tcBorders>
              <w:top w:val="nil"/>
              <w:left w:val="nil"/>
              <w:bottom w:val="single" w:sz="4" w:space="0" w:color="auto"/>
              <w:right w:val="nil"/>
            </w:tcBorders>
            <w:shd w:val="clear" w:color="auto" w:fill="auto"/>
            <w:noWrap/>
            <w:hideMark/>
          </w:tcPr>
          <w:p w14:paraId="432D1F1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1,900.0</w:t>
            </w:r>
          </w:p>
        </w:tc>
        <w:tc>
          <w:tcPr>
            <w:tcW w:w="854" w:type="dxa"/>
            <w:tcBorders>
              <w:top w:val="nil"/>
              <w:left w:val="nil"/>
              <w:bottom w:val="single" w:sz="4" w:space="0" w:color="auto"/>
              <w:right w:val="nil"/>
            </w:tcBorders>
            <w:shd w:val="clear" w:color="auto" w:fill="auto"/>
            <w:noWrap/>
            <w:hideMark/>
          </w:tcPr>
          <w:p w14:paraId="350D79A9"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2,850.0</w:t>
            </w:r>
          </w:p>
        </w:tc>
        <w:tc>
          <w:tcPr>
            <w:tcW w:w="854" w:type="dxa"/>
            <w:tcBorders>
              <w:top w:val="nil"/>
              <w:left w:val="nil"/>
              <w:bottom w:val="single" w:sz="4" w:space="0" w:color="auto"/>
              <w:right w:val="nil"/>
            </w:tcBorders>
            <w:shd w:val="clear" w:color="auto" w:fill="auto"/>
            <w:noWrap/>
            <w:hideMark/>
          </w:tcPr>
          <w:p w14:paraId="610121DB"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2,850.0</w:t>
            </w:r>
          </w:p>
        </w:tc>
        <w:tc>
          <w:tcPr>
            <w:tcW w:w="854" w:type="dxa"/>
            <w:tcBorders>
              <w:top w:val="nil"/>
              <w:left w:val="nil"/>
              <w:bottom w:val="single" w:sz="4" w:space="0" w:color="auto"/>
              <w:right w:val="nil"/>
            </w:tcBorders>
            <w:shd w:val="clear" w:color="auto" w:fill="auto"/>
            <w:noWrap/>
            <w:hideMark/>
          </w:tcPr>
          <w:p w14:paraId="037CCA1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1,900.0</w:t>
            </w:r>
          </w:p>
        </w:tc>
        <w:tc>
          <w:tcPr>
            <w:tcW w:w="854" w:type="dxa"/>
            <w:tcBorders>
              <w:top w:val="nil"/>
              <w:left w:val="nil"/>
              <w:bottom w:val="single" w:sz="4" w:space="0" w:color="auto"/>
              <w:right w:val="nil"/>
            </w:tcBorders>
            <w:shd w:val="clear" w:color="auto" w:fill="auto"/>
            <w:noWrap/>
            <w:hideMark/>
          </w:tcPr>
          <w:p w14:paraId="6562A887"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950.0</w:t>
            </w:r>
          </w:p>
        </w:tc>
        <w:tc>
          <w:tcPr>
            <w:tcW w:w="854" w:type="dxa"/>
            <w:tcBorders>
              <w:top w:val="nil"/>
              <w:left w:val="nil"/>
              <w:bottom w:val="single" w:sz="4" w:space="0" w:color="auto"/>
              <w:right w:val="nil"/>
            </w:tcBorders>
            <w:shd w:val="clear" w:color="auto" w:fill="auto"/>
            <w:noWrap/>
            <w:hideMark/>
          </w:tcPr>
          <w:p w14:paraId="14E835C3"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0.0</w:t>
            </w:r>
          </w:p>
        </w:tc>
      </w:tr>
      <w:tr w:rsidR="00453893" w:rsidRPr="0004333C" w14:paraId="5EA6A13C" w14:textId="77777777" w:rsidTr="00453893">
        <w:trPr>
          <w:trHeight w:val="405"/>
        </w:trPr>
        <w:tc>
          <w:tcPr>
            <w:tcW w:w="2430" w:type="dxa"/>
            <w:tcBorders>
              <w:top w:val="nil"/>
              <w:left w:val="nil"/>
              <w:bottom w:val="single" w:sz="4" w:space="0" w:color="auto"/>
              <w:right w:val="nil"/>
            </w:tcBorders>
            <w:shd w:val="clear" w:color="auto" w:fill="auto"/>
            <w:hideMark/>
          </w:tcPr>
          <w:p w14:paraId="1755680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 xml:space="preserve">Adjusted sales after incremental savings (GWh) (Z) </w:t>
            </w:r>
          </w:p>
        </w:tc>
        <w:tc>
          <w:tcPr>
            <w:tcW w:w="944" w:type="dxa"/>
            <w:tcBorders>
              <w:top w:val="nil"/>
              <w:left w:val="nil"/>
              <w:bottom w:val="single" w:sz="4" w:space="0" w:color="auto"/>
              <w:right w:val="nil"/>
            </w:tcBorders>
            <w:shd w:val="clear" w:color="auto" w:fill="auto"/>
            <w:noWrap/>
            <w:hideMark/>
          </w:tcPr>
          <w:p w14:paraId="42845F55"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50,000.0</w:t>
            </w:r>
          </w:p>
        </w:tc>
        <w:tc>
          <w:tcPr>
            <w:tcW w:w="854" w:type="dxa"/>
            <w:tcBorders>
              <w:top w:val="nil"/>
              <w:left w:val="nil"/>
              <w:bottom w:val="single" w:sz="4" w:space="0" w:color="auto"/>
              <w:right w:val="nil"/>
            </w:tcBorders>
            <w:shd w:val="clear" w:color="auto" w:fill="auto"/>
            <w:noWrap/>
            <w:hideMark/>
          </w:tcPr>
          <w:p w14:paraId="6B4A1FB6"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49,550.0</w:t>
            </w:r>
          </w:p>
        </w:tc>
        <w:tc>
          <w:tcPr>
            <w:tcW w:w="854" w:type="dxa"/>
            <w:tcBorders>
              <w:top w:val="nil"/>
              <w:left w:val="nil"/>
              <w:bottom w:val="single" w:sz="4" w:space="0" w:color="auto"/>
              <w:right w:val="nil"/>
            </w:tcBorders>
            <w:shd w:val="clear" w:color="auto" w:fill="auto"/>
            <w:noWrap/>
            <w:hideMark/>
          </w:tcPr>
          <w:p w14:paraId="15AF6F2C"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49,105.0</w:t>
            </w:r>
          </w:p>
        </w:tc>
        <w:tc>
          <w:tcPr>
            <w:tcW w:w="854" w:type="dxa"/>
            <w:tcBorders>
              <w:top w:val="nil"/>
              <w:left w:val="nil"/>
              <w:bottom w:val="single" w:sz="4" w:space="0" w:color="auto"/>
              <w:right w:val="nil"/>
            </w:tcBorders>
            <w:shd w:val="clear" w:color="auto" w:fill="auto"/>
            <w:noWrap/>
            <w:hideMark/>
          </w:tcPr>
          <w:p w14:paraId="0648ADC0"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48,665.1</w:t>
            </w:r>
          </w:p>
        </w:tc>
        <w:tc>
          <w:tcPr>
            <w:tcW w:w="854" w:type="dxa"/>
            <w:tcBorders>
              <w:top w:val="nil"/>
              <w:left w:val="nil"/>
              <w:bottom w:val="single" w:sz="4" w:space="0" w:color="auto"/>
              <w:right w:val="nil"/>
            </w:tcBorders>
            <w:shd w:val="clear" w:color="auto" w:fill="auto"/>
            <w:noWrap/>
            <w:hideMark/>
          </w:tcPr>
          <w:p w14:paraId="2D3E4C28"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49,180.2</w:t>
            </w:r>
          </w:p>
        </w:tc>
        <w:tc>
          <w:tcPr>
            <w:tcW w:w="854" w:type="dxa"/>
            <w:tcBorders>
              <w:top w:val="nil"/>
              <w:left w:val="nil"/>
              <w:bottom w:val="single" w:sz="4" w:space="0" w:color="auto"/>
              <w:right w:val="nil"/>
            </w:tcBorders>
            <w:shd w:val="clear" w:color="auto" w:fill="auto"/>
            <w:noWrap/>
            <w:hideMark/>
          </w:tcPr>
          <w:p w14:paraId="49FC7738"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50,650.5</w:t>
            </w:r>
          </w:p>
        </w:tc>
        <w:tc>
          <w:tcPr>
            <w:tcW w:w="854" w:type="dxa"/>
            <w:tcBorders>
              <w:top w:val="nil"/>
              <w:left w:val="nil"/>
              <w:bottom w:val="single" w:sz="4" w:space="0" w:color="auto"/>
              <w:right w:val="nil"/>
            </w:tcBorders>
            <w:shd w:val="clear" w:color="auto" w:fill="auto"/>
            <w:noWrap/>
            <w:hideMark/>
          </w:tcPr>
          <w:p w14:paraId="75766D44"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52,126.0</w:t>
            </w:r>
          </w:p>
        </w:tc>
        <w:tc>
          <w:tcPr>
            <w:tcW w:w="854" w:type="dxa"/>
            <w:tcBorders>
              <w:top w:val="nil"/>
              <w:left w:val="nil"/>
              <w:bottom w:val="single" w:sz="4" w:space="0" w:color="auto"/>
              <w:right w:val="nil"/>
            </w:tcBorders>
            <w:shd w:val="clear" w:color="auto" w:fill="auto"/>
            <w:noWrap/>
            <w:hideMark/>
          </w:tcPr>
          <w:p w14:paraId="5B4AC64F" w14:textId="77777777" w:rsidR="00453893" w:rsidRPr="0004333C" w:rsidRDefault="00453893" w:rsidP="00453893">
            <w:pPr>
              <w:spacing w:after="0" w:line="240" w:lineRule="auto"/>
              <w:rPr>
                <w:rFonts w:ascii="Calibri" w:eastAsia="Times New Roman" w:hAnsi="Calibri" w:cs="Times New Roman"/>
                <w:color w:val="000000"/>
                <w:sz w:val="18"/>
                <w:szCs w:val="18"/>
              </w:rPr>
            </w:pPr>
            <w:r w:rsidRPr="0004333C">
              <w:rPr>
                <w:rFonts w:ascii="Calibri" w:eastAsia="Times New Roman" w:hAnsi="Calibri" w:cs="Times New Roman"/>
                <w:color w:val="000000"/>
                <w:sz w:val="18"/>
                <w:szCs w:val="18"/>
              </w:rPr>
              <w:t>53,606.8</w:t>
            </w:r>
          </w:p>
        </w:tc>
      </w:tr>
    </w:tbl>
    <w:p w14:paraId="79933E72" w14:textId="77777777" w:rsidR="00453893" w:rsidRPr="00D65A3B" w:rsidRDefault="00453893" w:rsidP="00722BD1">
      <w:pPr>
        <w:spacing w:after="0" w:line="240" w:lineRule="auto"/>
        <w:ind w:firstLine="360"/>
        <w:rPr>
          <w:rFonts w:ascii="Times New Roman" w:hAnsi="Times New Roman" w:cs="Times New Roman"/>
          <w:sz w:val="24"/>
          <w:szCs w:val="24"/>
        </w:rPr>
      </w:pPr>
    </w:p>
    <w:p w14:paraId="7D09F8FC" w14:textId="446B85C7" w:rsidR="00DE79F3" w:rsidRPr="006D4139" w:rsidRDefault="00CA2FE5" w:rsidP="006D4139">
      <w:pPr>
        <w:pStyle w:val="Heading2"/>
        <w:numPr>
          <w:ilvl w:val="0"/>
          <w:numId w:val="22"/>
        </w:numPr>
        <w:spacing w:after="240"/>
        <w:rPr>
          <w:rFonts w:ascii="Times New Roman" w:hAnsi="Times New Roman" w:cs="Times New Roman"/>
          <w:b/>
          <w:color w:val="auto"/>
        </w:rPr>
      </w:pPr>
      <w:r w:rsidRPr="006D4139">
        <w:rPr>
          <w:rFonts w:ascii="Times New Roman" w:hAnsi="Times New Roman" w:cs="Times New Roman"/>
          <w:b/>
          <w:color w:val="auto"/>
        </w:rPr>
        <w:t xml:space="preserve">Projecting Generation Impacts from </w:t>
      </w:r>
      <w:r w:rsidR="00DE79F3" w:rsidRPr="006D4139">
        <w:rPr>
          <w:rFonts w:ascii="Times New Roman" w:hAnsi="Times New Roman" w:cs="Times New Roman"/>
          <w:b/>
          <w:color w:val="auto"/>
        </w:rPr>
        <w:t>Renewable Portfolio Standards</w:t>
      </w:r>
    </w:p>
    <w:p w14:paraId="266B69B3" w14:textId="327E87EE" w:rsidR="00DE79F3" w:rsidRPr="00D65A3B" w:rsidRDefault="00DE79F3" w:rsidP="00CA2FE5">
      <w:pPr>
        <w:spacing w:line="36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Renewable </w:t>
      </w:r>
      <w:r w:rsidR="00EC236A">
        <w:rPr>
          <w:rFonts w:ascii="Times New Roman" w:hAnsi="Times New Roman" w:cs="Times New Roman"/>
          <w:sz w:val="24"/>
          <w:szCs w:val="24"/>
        </w:rPr>
        <w:t>p</w:t>
      </w:r>
      <w:r w:rsidRPr="00D65A3B">
        <w:rPr>
          <w:rFonts w:ascii="Times New Roman" w:hAnsi="Times New Roman" w:cs="Times New Roman"/>
          <w:sz w:val="24"/>
          <w:szCs w:val="24"/>
        </w:rPr>
        <w:t xml:space="preserve">ortfolio </w:t>
      </w:r>
      <w:r w:rsidR="00EC236A">
        <w:rPr>
          <w:rFonts w:ascii="Times New Roman" w:hAnsi="Times New Roman" w:cs="Times New Roman"/>
          <w:sz w:val="24"/>
          <w:szCs w:val="24"/>
        </w:rPr>
        <w:t>s</w:t>
      </w:r>
      <w:r w:rsidRPr="00D65A3B">
        <w:rPr>
          <w:rFonts w:ascii="Times New Roman" w:hAnsi="Times New Roman" w:cs="Times New Roman"/>
          <w:sz w:val="24"/>
          <w:szCs w:val="24"/>
        </w:rPr>
        <w:t xml:space="preserve">tandards (RPS) set </w:t>
      </w:r>
      <w:r w:rsidR="005847EE">
        <w:rPr>
          <w:rFonts w:ascii="Times New Roman" w:hAnsi="Times New Roman" w:cs="Times New Roman"/>
          <w:sz w:val="24"/>
          <w:szCs w:val="24"/>
        </w:rPr>
        <w:t xml:space="preserve">RE </w:t>
      </w:r>
      <w:r w:rsidRPr="00D65A3B">
        <w:rPr>
          <w:rFonts w:ascii="Times New Roman" w:hAnsi="Times New Roman" w:cs="Times New Roman"/>
          <w:sz w:val="24"/>
          <w:szCs w:val="24"/>
        </w:rPr>
        <w:t xml:space="preserve">targets </w:t>
      </w:r>
      <w:r w:rsidR="005847EE">
        <w:rPr>
          <w:rFonts w:ascii="Times New Roman" w:hAnsi="Times New Roman" w:cs="Times New Roman"/>
          <w:sz w:val="24"/>
          <w:szCs w:val="24"/>
        </w:rPr>
        <w:t xml:space="preserve">across </w:t>
      </w:r>
      <w:r w:rsidRPr="00D65A3B">
        <w:rPr>
          <w:rFonts w:ascii="Times New Roman" w:hAnsi="Times New Roman" w:cs="Times New Roman"/>
          <w:sz w:val="24"/>
          <w:szCs w:val="24"/>
        </w:rPr>
        <w:t xml:space="preserve">a specified </w:t>
      </w:r>
      <w:r w:rsidR="001C302A" w:rsidRPr="00D65A3B">
        <w:rPr>
          <w:rFonts w:ascii="Times New Roman" w:hAnsi="Times New Roman" w:cs="Times New Roman"/>
          <w:sz w:val="24"/>
          <w:szCs w:val="24"/>
        </w:rPr>
        <w:t xml:space="preserve">period of </w:t>
      </w:r>
      <w:r w:rsidRPr="00D65A3B">
        <w:rPr>
          <w:rFonts w:ascii="Times New Roman" w:hAnsi="Times New Roman" w:cs="Times New Roman"/>
          <w:sz w:val="24"/>
          <w:szCs w:val="24"/>
        </w:rPr>
        <w:t xml:space="preserve">time. </w:t>
      </w:r>
      <w:r w:rsidR="008555E3">
        <w:rPr>
          <w:rFonts w:ascii="Times New Roman" w:hAnsi="Times New Roman" w:cs="Times New Roman"/>
          <w:sz w:val="24"/>
          <w:szCs w:val="24"/>
        </w:rPr>
        <w:t>Most often</w:t>
      </w:r>
      <w:r w:rsidR="008555E3" w:rsidRPr="00D65A3B">
        <w:rPr>
          <w:rFonts w:ascii="Times New Roman" w:hAnsi="Times New Roman" w:cs="Times New Roman"/>
          <w:sz w:val="24"/>
          <w:szCs w:val="24"/>
        </w:rPr>
        <w:t xml:space="preserve"> </w:t>
      </w:r>
      <w:r w:rsidRPr="00D65A3B">
        <w:rPr>
          <w:rFonts w:ascii="Times New Roman" w:hAnsi="Times New Roman" w:cs="Times New Roman"/>
          <w:sz w:val="24"/>
          <w:szCs w:val="24"/>
        </w:rPr>
        <w:t xml:space="preserve">these </w:t>
      </w:r>
      <w:r w:rsidR="00CA2FE5" w:rsidRPr="00D65A3B">
        <w:rPr>
          <w:rFonts w:ascii="Times New Roman" w:hAnsi="Times New Roman" w:cs="Times New Roman"/>
          <w:sz w:val="24"/>
          <w:szCs w:val="24"/>
        </w:rPr>
        <w:t>state</w:t>
      </w:r>
      <w:r w:rsidR="001C302A" w:rsidRPr="00D65A3B">
        <w:rPr>
          <w:rFonts w:ascii="Times New Roman" w:hAnsi="Times New Roman" w:cs="Times New Roman"/>
          <w:sz w:val="24"/>
          <w:szCs w:val="24"/>
        </w:rPr>
        <w:t xml:space="preserve"> policies</w:t>
      </w:r>
      <w:r w:rsidR="00CA2FE5" w:rsidRPr="00D65A3B">
        <w:rPr>
          <w:rFonts w:ascii="Times New Roman" w:hAnsi="Times New Roman" w:cs="Times New Roman"/>
          <w:sz w:val="24"/>
          <w:szCs w:val="24"/>
        </w:rPr>
        <w:t xml:space="preserve"> </w:t>
      </w:r>
      <w:r w:rsidR="001C302A" w:rsidRPr="00D65A3B">
        <w:rPr>
          <w:rFonts w:ascii="Times New Roman" w:hAnsi="Times New Roman" w:cs="Times New Roman"/>
          <w:sz w:val="24"/>
          <w:szCs w:val="24"/>
        </w:rPr>
        <w:t>require</w:t>
      </w:r>
      <w:r w:rsidRPr="00D65A3B">
        <w:rPr>
          <w:rFonts w:ascii="Times New Roman" w:hAnsi="Times New Roman" w:cs="Times New Roman"/>
          <w:sz w:val="24"/>
          <w:szCs w:val="24"/>
        </w:rPr>
        <w:t xml:space="preserve"> that a specified </w:t>
      </w:r>
      <w:r w:rsidR="00071912">
        <w:rPr>
          <w:rFonts w:ascii="Times New Roman" w:hAnsi="Times New Roman" w:cs="Times New Roman"/>
          <w:sz w:val="24"/>
          <w:szCs w:val="24"/>
        </w:rPr>
        <w:t>percentage</w:t>
      </w:r>
      <w:r w:rsidR="00071912" w:rsidRPr="00D65A3B">
        <w:rPr>
          <w:rFonts w:ascii="Times New Roman" w:hAnsi="Times New Roman" w:cs="Times New Roman"/>
          <w:sz w:val="24"/>
          <w:szCs w:val="24"/>
        </w:rPr>
        <w:t xml:space="preserve"> </w:t>
      </w:r>
      <w:r w:rsidRPr="00D65A3B">
        <w:rPr>
          <w:rFonts w:ascii="Times New Roman" w:hAnsi="Times New Roman" w:cs="Times New Roman"/>
          <w:sz w:val="24"/>
          <w:szCs w:val="24"/>
        </w:rPr>
        <w:t>of the electricity sold</w:t>
      </w:r>
      <w:r w:rsidR="001C302A" w:rsidRPr="00D65A3B">
        <w:rPr>
          <w:rFonts w:ascii="Times New Roman" w:hAnsi="Times New Roman" w:cs="Times New Roman"/>
          <w:sz w:val="24"/>
          <w:szCs w:val="24"/>
        </w:rPr>
        <w:t xml:space="preserve"> by a utility </w:t>
      </w:r>
      <w:r w:rsidRPr="00D65A3B">
        <w:rPr>
          <w:rFonts w:ascii="Times New Roman" w:hAnsi="Times New Roman" w:cs="Times New Roman"/>
          <w:sz w:val="24"/>
          <w:szCs w:val="24"/>
        </w:rPr>
        <w:t>come</w:t>
      </w:r>
      <w:r w:rsidR="00883014">
        <w:rPr>
          <w:rFonts w:ascii="Times New Roman" w:hAnsi="Times New Roman" w:cs="Times New Roman"/>
          <w:sz w:val="24"/>
          <w:szCs w:val="24"/>
        </w:rPr>
        <w:t>s</w:t>
      </w:r>
      <w:r w:rsidRPr="00D65A3B">
        <w:rPr>
          <w:rFonts w:ascii="Times New Roman" w:hAnsi="Times New Roman" w:cs="Times New Roman"/>
          <w:sz w:val="24"/>
          <w:szCs w:val="24"/>
        </w:rPr>
        <w:t xml:space="preserve"> from </w:t>
      </w:r>
      <w:r w:rsidR="008555E3">
        <w:rPr>
          <w:rFonts w:ascii="Times New Roman" w:hAnsi="Times New Roman" w:cs="Times New Roman"/>
          <w:sz w:val="24"/>
          <w:szCs w:val="24"/>
        </w:rPr>
        <w:t xml:space="preserve">eligible </w:t>
      </w:r>
      <w:r w:rsidRPr="00D65A3B">
        <w:rPr>
          <w:rFonts w:ascii="Times New Roman" w:hAnsi="Times New Roman" w:cs="Times New Roman"/>
          <w:sz w:val="24"/>
          <w:szCs w:val="24"/>
        </w:rPr>
        <w:t>renewable technologies</w:t>
      </w:r>
      <w:r w:rsidR="0063014D" w:rsidRPr="00D65A3B">
        <w:rPr>
          <w:rFonts w:ascii="Times New Roman" w:hAnsi="Times New Roman" w:cs="Times New Roman"/>
          <w:sz w:val="24"/>
          <w:szCs w:val="24"/>
        </w:rPr>
        <w:t xml:space="preserve"> (e.g., wind, solar, biomass</w:t>
      </w:r>
      <w:r w:rsidR="00184E0B">
        <w:rPr>
          <w:rFonts w:ascii="Times New Roman" w:hAnsi="Times New Roman" w:cs="Times New Roman"/>
          <w:sz w:val="24"/>
          <w:szCs w:val="24"/>
        </w:rPr>
        <w:t>).</w:t>
      </w:r>
      <w:r w:rsidRPr="00D65A3B">
        <w:rPr>
          <w:rFonts w:ascii="Times New Roman" w:hAnsi="Times New Roman" w:cs="Times New Roman"/>
          <w:sz w:val="24"/>
          <w:szCs w:val="24"/>
        </w:rPr>
        <w:t xml:space="preserve"> </w:t>
      </w:r>
    </w:p>
    <w:p w14:paraId="01C2AF67" w14:textId="24FACDB4" w:rsidR="00E56B50" w:rsidRPr="00D65A3B" w:rsidRDefault="00DE79F3" w:rsidP="00E2716D">
      <w:pPr>
        <w:spacing w:line="36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A state </w:t>
      </w:r>
      <w:r w:rsidR="0043275D">
        <w:rPr>
          <w:rFonts w:ascii="Times New Roman" w:hAnsi="Times New Roman" w:cs="Times New Roman"/>
          <w:sz w:val="24"/>
          <w:szCs w:val="24"/>
        </w:rPr>
        <w:t xml:space="preserve">must project annual </w:t>
      </w:r>
      <w:r w:rsidR="00B15D0E">
        <w:rPr>
          <w:rFonts w:ascii="Times New Roman" w:hAnsi="Times New Roman" w:cs="Times New Roman"/>
          <w:sz w:val="24"/>
          <w:szCs w:val="24"/>
        </w:rPr>
        <w:t>RE</w:t>
      </w:r>
      <w:r w:rsidRPr="00D65A3B">
        <w:rPr>
          <w:rFonts w:ascii="Times New Roman" w:hAnsi="Times New Roman" w:cs="Times New Roman"/>
          <w:sz w:val="24"/>
          <w:szCs w:val="24"/>
        </w:rPr>
        <w:t xml:space="preserve"> </w:t>
      </w:r>
      <w:r w:rsidR="0043275D">
        <w:rPr>
          <w:rFonts w:ascii="Times New Roman" w:hAnsi="Times New Roman" w:cs="Times New Roman"/>
          <w:sz w:val="24"/>
          <w:szCs w:val="24"/>
        </w:rPr>
        <w:t xml:space="preserve">generation </w:t>
      </w:r>
      <w:r w:rsidRPr="00D65A3B">
        <w:rPr>
          <w:rFonts w:ascii="Times New Roman" w:hAnsi="Times New Roman" w:cs="Times New Roman"/>
          <w:sz w:val="24"/>
          <w:szCs w:val="24"/>
        </w:rPr>
        <w:t>using formulas specific to the state’s RPS policy, as shown below</w:t>
      </w:r>
      <w:r w:rsidR="00E2393C">
        <w:rPr>
          <w:rFonts w:ascii="Times New Roman" w:hAnsi="Times New Roman" w:cs="Times New Roman"/>
          <w:sz w:val="24"/>
          <w:szCs w:val="24"/>
        </w:rPr>
        <w:t>, or an EPA-approved alternative method</w:t>
      </w:r>
      <w:r w:rsidRPr="00D65A3B">
        <w:rPr>
          <w:rFonts w:ascii="Times New Roman" w:hAnsi="Times New Roman" w:cs="Times New Roman"/>
          <w:sz w:val="24"/>
          <w:szCs w:val="24"/>
        </w:rPr>
        <w:t xml:space="preserve">. Similar to the EERS approach </w:t>
      </w:r>
      <w:r w:rsidR="00CA2FE5" w:rsidRPr="00D65A3B">
        <w:rPr>
          <w:rFonts w:ascii="Times New Roman" w:hAnsi="Times New Roman" w:cs="Times New Roman"/>
          <w:sz w:val="24"/>
          <w:szCs w:val="24"/>
        </w:rPr>
        <w:t>described</w:t>
      </w:r>
      <w:r w:rsidRPr="00D65A3B">
        <w:rPr>
          <w:rFonts w:ascii="Times New Roman" w:hAnsi="Times New Roman" w:cs="Times New Roman"/>
          <w:sz w:val="24"/>
          <w:szCs w:val="24"/>
        </w:rPr>
        <w:t xml:space="preserve"> above, a state would select the appropriate sales basis</w:t>
      </w:r>
      <w:r w:rsidR="003C56E8">
        <w:rPr>
          <w:rFonts w:ascii="Times New Roman" w:hAnsi="Times New Roman" w:cs="Times New Roman"/>
          <w:sz w:val="24"/>
          <w:szCs w:val="24"/>
        </w:rPr>
        <w:t>,</w:t>
      </w:r>
      <w:r w:rsidRPr="00D65A3B">
        <w:rPr>
          <w:rFonts w:ascii="Times New Roman" w:hAnsi="Times New Roman" w:cs="Times New Roman"/>
          <w:sz w:val="24"/>
          <w:szCs w:val="24"/>
        </w:rPr>
        <w:t xml:space="preserve"> and if the basis is not total sales, a state could use a recent year of utility-level sales data from EIA and growth rates from EIA,</w:t>
      </w:r>
      <w:r w:rsidR="008162A7">
        <w:rPr>
          <w:rFonts w:ascii="Times New Roman" w:hAnsi="Times New Roman" w:cs="Times New Roman"/>
          <w:sz w:val="24"/>
          <w:szCs w:val="24"/>
        </w:rPr>
        <w:t xml:space="preserve"> </w:t>
      </w:r>
      <w:r w:rsidR="008D6F66">
        <w:rPr>
          <w:rFonts w:ascii="Times New Roman" w:hAnsi="Times New Roman" w:cs="Times New Roman"/>
          <w:sz w:val="24"/>
          <w:szCs w:val="24"/>
        </w:rPr>
        <w:t xml:space="preserve">an </w:t>
      </w:r>
      <w:r w:rsidR="008162A7">
        <w:rPr>
          <w:rFonts w:ascii="Times New Roman" w:hAnsi="Times New Roman" w:cs="Times New Roman"/>
          <w:sz w:val="24"/>
          <w:szCs w:val="24"/>
        </w:rPr>
        <w:lastRenderedPageBreak/>
        <w:t>RTO</w:t>
      </w:r>
      <w:r w:rsidR="008D6F66">
        <w:rPr>
          <w:rFonts w:ascii="Times New Roman" w:hAnsi="Times New Roman" w:cs="Times New Roman"/>
          <w:sz w:val="24"/>
          <w:szCs w:val="24"/>
        </w:rPr>
        <w:t>/</w:t>
      </w:r>
      <w:r w:rsidR="008162A7">
        <w:rPr>
          <w:rFonts w:ascii="Times New Roman" w:hAnsi="Times New Roman" w:cs="Times New Roman"/>
          <w:sz w:val="24"/>
          <w:szCs w:val="24"/>
        </w:rPr>
        <w:t>ISO, NERC or other public</w:t>
      </w:r>
      <w:r w:rsidRPr="00D65A3B">
        <w:rPr>
          <w:rFonts w:ascii="Times New Roman" w:hAnsi="Times New Roman" w:cs="Times New Roman"/>
          <w:sz w:val="24"/>
          <w:szCs w:val="24"/>
        </w:rPr>
        <w:t xml:space="preserve">ly available sources to develop </w:t>
      </w:r>
      <w:r w:rsidR="003A4E75">
        <w:rPr>
          <w:rFonts w:ascii="Times New Roman" w:hAnsi="Times New Roman" w:cs="Times New Roman"/>
          <w:sz w:val="24"/>
          <w:szCs w:val="24"/>
        </w:rPr>
        <w:t xml:space="preserve">base case </w:t>
      </w:r>
      <w:r w:rsidRPr="00D65A3B">
        <w:rPr>
          <w:rFonts w:ascii="Times New Roman" w:hAnsi="Times New Roman" w:cs="Times New Roman"/>
          <w:sz w:val="24"/>
          <w:szCs w:val="24"/>
        </w:rPr>
        <w:t xml:space="preserve">forecasts of sales for the utilities required to comply with the RPS. </w:t>
      </w:r>
    </w:p>
    <w:p w14:paraId="24CFBED0" w14:textId="1E72E8D0" w:rsidR="00DE79F3" w:rsidRPr="00D65A3B" w:rsidRDefault="00DE79F3" w:rsidP="00CA2FE5">
      <w:pPr>
        <w:spacing w:line="36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The design of the RPS will affect whether a state </w:t>
      </w:r>
      <w:r w:rsidR="006F26AC">
        <w:rPr>
          <w:rFonts w:ascii="Times New Roman" w:hAnsi="Times New Roman" w:cs="Times New Roman"/>
          <w:sz w:val="24"/>
          <w:szCs w:val="24"/>
        </w:rPr>
        <w:t>can</w:t>
      </w:r>
      <w:r w:rsidRPr="00D65A3B">
        <w:rPr>
          <w:rFonts w:ascii="Times New Roman" w:hAnsi="Times New Roman" w:cs="Times New Roman"/>
          <w:sz w:val="24"/>
          <w:szCs w:val="24"/>
        </w:rPr>
        <w:t xml:space="preserve"> assume full achievement of the RPS targets. Many RPS</w:t>
      </w:r>
      <w:r w:rsidR="00003B0C" w:rsidRPr="00D65A3B">
        <w:rPr>
          <w:rFonts w:ascii="Times New Roman" w:hAnsi="Times New Roman" w:cs="Times New Roman"/>
          <w:sz w:val="24"/>
          <w:szCs w:val="24"/>
        </w:rPr>
        <w:t>s</w:t>
      </w:r>
      <w:r w:rsidRPr="00D65A3B">
        <w:rPr>
          <w:rFonts w:ascii="Times New Roman" w:hAnsi="Times New Roman" w:cs="Times New Roman"/>
          <w:sz w:val="24"/>
          <w:szCs w:val="24"/>
        </w:rPr>
        <w:t xml:space="preserve"> include p</w:t>
      </w:r>
      <w:r w:rsidR="00E2393C">
        <w:rPr>
          <w:rFonts w:ascii="Times New Roman" w:hAnsi="Times New Roman" w:cs="Times New Roman"/>
          <w:sz w:val="24"/>
          <w:szCs w:val="24"/>
        </w:rPr>
        <w:t>rovisions for a</w:t>
      </w:r>
      <w:r w:rsidRPr="00D65A3B">
        <w:rPr>
          <w:rFonts w:ascii="Times New Roman" w:hAnsi="Times New Roman" w:cs="Times New Roman"/>
          <w:sz w:val="24"/>
          <w:szCs w:val="24"/>
        </w:rPr>
        <w:t xml:space="preserve">lternative </w:t>
      </w:r>
      <w:r w:rsidR="00E2393C">
        <w:rPr>
          <w:rFonts w:ascii="Times New Roman" w:hAnsi="Times New Roman" w:cs="Times New Roman"/>
          <w:sz w:val="24"/>
          <w:szCs w:val="24"/>
        </w:rPr>
        <w:t>c</w:t>
      </w:r>
      <w:r w:rsidRPr="00D65A3B">
        <w:rPr>
          <w:rFonts w:ascii="Times New Roman" w:hAnsi="Times New Roman" w:cs="Times New Roman"/>
          <w:sz w:val="24"/>
          <w:szCs w:val="24"/>
        </w:rPr>
        <w:t xml:space="preserve">ompliance </w:t>
      </w:r>
      <w:r w:rsidR="00E2393C">
        <w:rPr>
          <w:rFonts w:ascii="Times New Roman" w:hAnsi="Times New Roman" w:cs="Times New Roman"/>
          <w:sz w:val="24"/>
          <w:szCs w:val="24"/>
        </w:rPr>
        <w:t>p</w:t>
      </w:r>
      <w:r w:rsidRPr="00D65A3B">
        <w:rPr>
          <w:rFonts w:ascii="Times New Roman" w:hAnsi="Times New Roman" w:cs="Times New Roman"/>
          <w:sz w:val="24"/>
          <w:szCs w:val="24"/>
        </w:rPr>
        <w:t xml:space="preserve">ayments, which allow an entity to pay a fee </w:t>
      </w:r>
      <w:r w:rsidR="00865989">
        <w:rPr>
          <w:rFonts w:ascii="Times New Roman" w:hAnsi="Times New Roman" w:cs="Times New Roman"/>
          <w:sz w:val="24"/>
          <w:szCs w:val="24"/>
        </w:rPr>
        <w:t>in lieu of achieving the RPS</w:t>
      </w:r>
      <w:r w:rsidRPr="00D65A3B">
        <w:rPr>
          <w:rFonts w:ascii="Times New Roman" w:hAnsi="Times New Roman" w:cs="Times New Roman"/>
          <w:sz w:val="24"/>
          <w:szCs w:val="24"/>
        </w:rPr>
        <w:t xml:space="preserve">. </w:t>
      </w:r>
      <w:r w:rsidR="00E56B50" w:rsidRPr="00D65A3B">
        <w:rPr>
          <w:rFonts w:ascii="Times New Roman" w:hAnsi="Times New Roman" w:cs="Times New Roman"/>
          <w:sz w:val="24"/>
          <w:szCs w:val="24"/>
        </w:rPr>
        <w:t xml:space="preserve">Additionally, RPS policies </w:t>
      </w:r>
      <w:r w:rsidR="00865989">
        <w:rPr>
          <w:rFonts w:ascii="Times New Roman" w:hAnsi="Times New Roman" w:cs="Times New Roman"/>
          <w:sz w:val="24"/>
          <w:szCs w:val="24"/>
        </w:rPr>
        <w:t>may</w:t>
      </w:r>
      <w:r w:rsidR="00E56B50" w:rsidRPr="00D65A3B">
        <w:rPr>
          <w:rFonts w:ascii="Times New Roman" w:hAnsi="Times New Roman" w:cs="Times New Roman"/>
          <w:sz w:val="24"/>
          <w:szCs w:val="24"/>
        </w:rPr>
        <w:t xml:space="preserve"> include </w:t>
      </w:r>
      <w:r w:rsidR="006F26AC">
        <w:rPr>
          <w:rFonts w:ascii="Times New Roman" w:hAnsi="Times New Roman" w:cs="Times New Roman"/>
          <w:sz w:val="24"/>
          <w:szCs w:val="24"/>
        </w:rPr>
        <w:t>sources</w:t>
      </w:r>
      <w:r w:rsidR="00E56B50" w:rsidRPr="00D65A3B">
        <w:rPr>
          <w:rFonts w:ascii="Times New Roman" w:hAnsi="Times New Roman" w:cs="Times New Roman"/>
          <w:sz w:val="24"/>
          <w:szCs w:val="24"/>
        </w:rPr>
        <w:t xml:space="preserve"> that </w:t>
      </w:r>
      <w:r w:rsidR="00970A83">
        <w:rPr>
          <w:rFonts w:ascii="Times New Roman" w:hAnsi="Times New Roman" w:cs="Times New Roman"/>
          <w:sz w:val="24"/>
          <w:szCs w:val="24"/>
        </w:rPr>
        <w:t>are not eligible</w:t>
      </w:r>
      <w:r w:rsidR="00980513">
        <w:rPr>
          <w:rFonts w:ascii="Times New Roman" w:hAnsi="Times New Roman" w:cs="Times New Roman"/>
          <w:sz w:val="24"/>
          <w:szCs w:val="24"/>
        </w:rPr>
        <w:t xml:space="preserve"> for CPP compliance purposes.</w:t>
      </w:r>
      <w:r w:rsidR="00E56B50" w:rsidRPr="00D65A3B">
        <w:rPr>
          <w:rFonts w:ascii="Times New Roman" w:hAnsi="Times New Roman" w:cs="Times New Roman"/>
          <w:sz w:val="24"/>
          <w:szCs w:val="24"/>
        </w:rPr>
        <w:t xml:space="preserve"> In </w:t>
      </w:r>
      <w:r w:rsidR="00CA2FE5" w:rsidRPr="00D65A3B">
        <w:rPr>
          <w:rFonts w:ascii="Times New Roman" w:hAnsi="Times New Roman" w:cs="Times New Roman"/>
          <w:sz w:val="24"/>
          <w:szCs w:val="24"/>
        </w:rPr>
        <w:t xml:space="preserve">such </w:t>
      </w:r>
      <w:r w:rsidR="00E56B50" w:rsidRPr="00D65A3B">
        <w:rPr>
          <w:rFonts w:ascii="Times New Roman" w:hAnsi="Times New Roman" w:cs="Times New Roman"/>
          <w:sz w:val="24"/>
          <w:szCs w:val="24"/>
        </w:rPr>
        <w:t>case</w:t>
      </w:r>
      <w:r w:rsidR="00CA2FE5" w:rsidRPr="00D65A3B">
        <w:rPr>
          <w:rFonts w:ascii="Times New Roman" w:hAnsi="Times New Roman" w:cs="Times New Roman"/>
          <w:sz w:val="24"/>
          <w:szCs w:val="24"/>
        </w:rPr>
        <w:t>s</w:t>
      </w:r>
      <w:r w:rsidR="00E56B50" w:rsidRPr="00D65A3B">
        <w:rPr>
          <w:rFonts w:ascii="Times New Roman" w:hAnsi="Times New Roman" w:cs="Times New Roman"/>
          <w:sz w:val="24"/>
          <w:szCs w:val="24"/>
        </w:rPr>
        <w:t xml:space="preserve">, only </w:t>
      </w:r>
      <w:r w:rsidR="00A95249" w:rsidRPr="00D65A3B">
        <w:rPr>
          <w:rFonts w:ascii="Times New Roman" w:hAnsi="Times New Roman" w:cs="Times New Roman"/>
          <w:sz w:val="24"/>
          <w:szCs w:val="24"/>
        </w:rPr>
        <w:t xml:space="preserve">generation </w:t>
      </w:r>
      <w:r w:rsidR="00E56B50" w:rsidRPr="00D65A3B">
        <w:rPr>
          <w:rFonts w:ascii="Times New Roman" w:hAnsi="Times New Roman" w:cs="Times New Roman"/>
          <w:sz w:val="24"/>
          <w:szCs w:val="24"/>
        </w:rPr>
        <w:t xml:space="preserve">impacts from </w:t>
      </w:r>
      <w:r w:rsidR="00B15D0E">
        <w:rPr>
          <w:rFonts w:ascii="Times New Roman" w:hAnsi="Times New Roman" w:cs="Times New Roman"/>
          <w:sz w:val="24"/>
          <w:szCs w:val="24"/>
        </w:rPr>
        <w:t>eligible</w:t>
      </w:r>
      <w:r w:rsidR="00E56B50" w:rsidRPr="00D65A3B">
        <w:rPr>
          <w:rFonts w:ascii="Times New Roman" w:hAnsi="Times New Roman" w:cs="Times New Roman"/>
          <w:sz w:val="24"/>
          <w:szCs w:val="24"/>
        </w:rPr>
        <w:t xml:space="preserve"> </w:t>
      </w:r>
      <w:r w:rsidR="00B15D0E">
        <w:rPr>
          <w:rFonts w:ascii="Times New Roman" w:hAnsi="Times New Roman" w:cs="Times New Roman"/>
          <w:sz w:val="24"/>
          <w:szCs w:val="24"/>
        </w:rPr>
        <w:t>RE</w:t>
      </w:r>
      <w:r w:rsidR="00E56B50" w:rsidRPr="00D65A3B">
        <w:rPr>
          <w:rFonts w:ascii="Times New Roman" w:hAnsi="Times New Roman" w:cs="Times New Roman"/>
          <w:sz w:val="24"/>
          <w:szCs w:val="24"/>
        </w:rPr>
        <w:t xml:space="preserve"> sources should be </w:t>
      </w:r>
      <w:r w:rsidR="00FC595C">
        <w:rPr>
          <w:rFonts w:ascii="Times New Roman" w:hAnsi="Times New Roman" w:cs="Times New Roman"/>
          <w:sz w:val="24"/>
          <w:szCs w:val="24"/>
        </w:rPr>
        <w:t>included in a state’s CO</w:t>
      </w:r>
      <w:r w:rsidR="00FC595C" w:rsidRPr="00FC595C">
        <w:rPr>
          <w:rFonts w:ascii="Times New Roman" w:hAnsi="Times New Roman" w:cs="Times New Roman"/>
          <w:sz w:val="24"/>
          <w:szCs w:val="24"/>
          <w:vertAlign w:val="subscript"/>
        </w:rPr>
        <w:t>2</w:t>
      </w:r>
      <w:r w:rsidR="00FC595C">
        <w:rPr>
          <w:rFonts w:ascii="Times New Roman" w:hAnsi="Times New Roman" w:cs="Times New Roman"/>
          <w:sz w:val="24"/>
          <w:szCs w:val="24"/>
        </w:rPr>
        <w:t xml:space="preserve"> emission </w:t>
      </w:r>
      <w:r w:rsidR="00865989">
        <w:rPr>
          <w:rFonts w:ascii="Times New Roman" w:hAnsi="Times New Roman" w:cs="Times New Roman"/>
          <w:sz w:val="24"/>
          <w:szCs w:val="24"/>
        </w:rPr>
        <w:t>performance projection</w:t>
      </w:r>
      <w:r w:rsidR="00E56B50" w:rsidRPr="00D65A3B">
        <w:rPr>
          <w:rFonts w:ascii="Times New Roman" w:hAnsi="Times New Roman" w:cs="Times New Roman"/>
          <w:sz w:val="24"/>
          <w:szCs w:val="24"/>
        </w:rPr>
        <w:t>.</w:t>
      </w:r>
      <w:r w:rsidR="001A5E18">
        <w:rPr>
          <w:rStyle w:val="FootnoteReference"/>
          <w:rFonts w:ascii="Times New Roman" w:hAnsi="Times New Roman" w:cs="Times New Roman"/>
          <w:sz w:val="24"/>
          <w:szCs w:val="24"/>
        </w:rPr>
        <w:footnoteReference w:id="18"/>
      </w:r>
    </w:p>
    <w:p w14:paraId="50D7F47A" w14:textId="0996C5D6" w:rsidR="00DE79F3" w:rsidRPr="00D65A3B" w:rsidRDefault="00DE79F3" w:rsidP="00970A83">
      <w:pPr>
        <w:spacing w:line="360" w:lineRule="auto"/>
        <w:ind w:firstLine="360"/>
        <w:rPr>
          <w:rFonts w:ascii="Times New Roman" w:hAnsi="Times New Roman" w:cs="Times New Roman"/>
          <w:sz w:val="24"/>
          <w:szCs w:val="24"/>
        </w:rPr>
      </w:pPr>
      <w:r w:rsidRPr="00865989">
        <w:rPr>
          <w:rFonts w:ascii="Times New Roman" w:hAnsi="Times New Roman" w:cs="Times New Roman"/>
          <w:sz w:val="24"/>
          <w:szCs w:val="24"/>
        </w:rPr>
        <w:t xml:space="preserve">The general formulas a state </w:t>
      </w:r>
      <w:r w:rsidR="00AE1886" w:rsidRPr="00865989">
        <w:rPr>
          <w:rFonts w:ascii="Times New Roman" w:hAnsi="Times New Roman" w:cs="Times New Roman"/>
          <w:sz w:val="24"/>
          <w:szCs w:val="24"/>
        </w:rPr>
        <w:t xml:space="preserve">must </w:t>
      </w:r>
      <w:r w:rsidRPr="00865989">
        <w:rPr>
          <w:rFonts w:ascii="Times New Roman" w:hAnsi="Times New Roman" w:cs="Times New Roman"/>
          <w:sz w:val="24"/>
          <w:szCs w:val="24"/>
        </w:rPr>
        <w:t xml:space="preserve">use to quantify annual </w:t>
      </w:r>
      <w:r w:rsidR="00865989">
        <w:rPr>
          <w:rFonts w:ascii="Times New Roman" w:hAnsi="Times New Roman" w:cs="Times New Roman"/>
          <w:sz w:val="24"/>
          <w:szCs w:val="24"/>
        </w:rPr>
        <w:t>generation</w:t>
      </w:r>
      <w:r w:rsidRPr="00865989">
        <w:rPr>
          <w:rFonts w:ascii="Times New Roman" w:hAnsi="Times New Roman" w:cs="Times New Roman"/>
          <w:sz w:val="24"/>
          <w:szCs w:val="24"/>
        </w:rPr>
        <w:t xml:space="preserve"> impacts of an RPS policy for each year (t) are shown below</w:t>
      </w:r>
      <w:r w:rsidR="00865989">
        <w:rPr>
          <w:rFonts w:ascii="Times New Roman" w:hAnsi="Times New Roman" w:cs="Times New Roman"/>
          <w:sz w:val="24"/>
          <w:szCs w:val="24"/>
        </w:rPr>
        <w:t xml:space="preserve">, though a state </w:t>
      </w:r>
      <w:r w:rsidR="00865989" w:rsidRPr="00865989">
        <w:rPr>
          <w:rFonts w:ascii="Times New Roman" w:hAnsi="Times New Roman" w:cs="Times New Roman"/>
          <w:sz w:val="24"/>
          <w:szCs w:val="24"/>
        </w:rPr>
        <w:t xml:space="preserve">may propose a different methodology if it better represents the </w:t>
      </w:r>
      <w:r w:rsidR="00865989">
        <w:rPr>
          <w:rFonts w:ascii="Times New Roman" w:hAnsi="Times New Roman" w:cs="Times New Roman"/>
          <w:sz w:val="24"/>
          <w:szCs w:val="24"/>
        </w:rPr>
        <w:t xml:space="preserve">state’s </w:t>
      </w:r>
      <w:r w:rsidR="00865989" w:rsidRPr="00865989">
        <w:rPr>
          <w:rFonts w:ascii="Times New Roman" w:hAnsi="Times New Roman" w:cs="Times New Roman"/>
          <w:sz w:val="24"/>
          <w:szCs w:val="24"/>
        </w:rPr>
        <w:t>RPS.</w:t>
      </w:r>
      <w:r w:rsidR="002B0BD7">
        <w:rPr>
          <w:rStyle w:val="FootnoteReference"/>
          <w:rFonts w:ascii="Times New Roman" w:hAnsi="Times New Roman" w:cs="Times New Roman"/>
          <w:sz w:val="24"/>
          <w:szCs w:val="24"/>
        </w:rPr>
        <w:footnoteReference w:id="19"/>
      </w:r>
      <w:r w:rsidR="00865989">
        <w:rPr>
          <w:rFonts w:ascii="Times New Roman" w:hAnsi="Times New Roman" w:cs="Times New Roman"/>
          <w:sz w:val="24"/>
          <w:szCs w:val="24"/>
        </w:rPr>
        <w:t xml:space="preserve"> </w:t>
      </w:r>
    </w:p>
    <w:p w14:paraId="07CABEAC" w14:textId="19242621" w:rsidR="00DE79F3" w:rsidRPr="00D65A3B" w:rsidRDefault="00CA2FE5" w:rsidP="00CA2FE5">
      <w:pPr>
        <w:spacing w:after="0" w:line="240" w:lineRule="auto"/>
        <w:ind w:left="720"/>
        <w:rPr>
          <w:rFonts w:ascii="Times New Roman" w:hAnsi="Times New Roman" w:cs="Times New Roman"/>
          <w:b/>
          <w:sz w:val="24"/>
          <w:szCs w:val="24"/>
        </w:rPr>
      </w:pPr>
      <w:r w:rsidRPr="00D65A3B">
        <w:rPr>
          <w:rFonts w:ascii="Times New Roman" w:hAnsi="Times New Roman" w:cs="Times New Roman"/>
          <w:b/>
          <w:sz w:val="24"/>
          <w:szCs w:val="24"/>
        </w:rPr>
        <w:t xml:space="preserve">1. </w:t>
      </w:r>
      <w:r w:rsidR="00DE79F3" w:rsidRPr="00D65A3B">
        <w:rPr>
          <w:rFonts w:ascii="Times New Roman" w:hAnsi="Times New Roman" w:cs="Times New Roman"/>
          <w:b/>
          <w:sz w:val="24"/>
          <w:szCs w:val="24"/>
        </w:rPr>
        <w:t>RPS with Annual Targets Specified in Percent of Retail Sales Terms</w:t>
      </w:r>
    </w:p>
    <w:p w14:paraId="08017181" w14:textId="77777777" w:rsidR="00DE79F3" w:rsidRPr="00D65A3B" w:rsidRDefault="00DE79F3" w:rsidP="00E56B50">
      <w:pPr>
        <w:spacing w:after="0" w:line="240" w:lineRule="auto"/>
        <w:ind w:left="360"/>
        <w:rPr>
          <w:rFonts w:ascii="Times New Roman" w:hAnsi="Times New Roman" w:cs="Times New Roman"/>
          <w:sz w:val="24"/>
          <w:szCs w:val="24"/>
        </w:rPr>
      </w:pPr>
    </w:p>
    <w:p w14:paraId="3A6C0B00" w14:textId="43B274BB" w:rsidR="00E56B50" w:rsidRPr="00D65A3B" w:rsidRDefault="00E56B50" w:rsidP="00E56B50">
      <w:pPr>
        <w:spacing w:after="0" w:line="240" w:lineRule="auto"/>
        <w:ind w:left="360"/>
        <w:rPr>
          <w:rFonts w:ascii="Times New Roman" w:hAnsi="Times New Roman" w:cs="Times New Roman"/>
          <w:sz w:val="24"/>
          <w:szCs w:val="24"/>
        </w:rPr>
      </w:pPr>
      <w:r w:rsidRPr="00D65A3B">
        <w:rPr>
          <w:rFonts w:ascii="Times New Roman" w:hAnsi="Times New Roman" w:cs="Times New Roman"/>
          <w:sz w:val="24"/>
          <w:szCs w:val="24"/>
        </w:rPr>
        <w:t xml:space="preserve">A(t) = r(t) </w:t>
      </w:r>
      <w:r w:rsidR="008D2DB7">
        <w:rPr>
          <w:rFonts w:ascii="Times New Roman" w:hAnsi="Times New Roman" w:cs="Times New Roman"/>
          <w:sz w:val="24"/>
          <w:szCs w:val="24"/>
        </w:rPr>
        <w:t>x</w:t>
      </w:r>
      <w:r w:rsidRPr="00D65A3B">
        <w:rPr>
          <w:rFonts w:ascii="Times New Roman" w:hAnsi="Times New Roman" w:cs="Times New Roman"/>
          <w:sz w:val="24"/>
          <w:szCs w:val="24"/>
        </w:rPr>
        <w:t xml:space="preserve"> Z(t) – MWh</w:t>
      </w:r>
      <w:r w:rsidRPr="00D65A3B">
        <w:rPr>
          <w:rFonts w:ascii="Times New Roman" w:hAnsi="Times New Roman" w:cs="Times New Roman"/>
          <w:sz w:val="24"/>
          <w:szCs w:val="24"/>
          <w:vertAlign w:val="subscript"/>
        </w:rPr>
        <w:t>ineligible</w:t>
      </w:r>
      <w:r w:rsidRPr="00D65A3B">
        <w:rPr>
          <w:rFonts w:ascii="Times New Roman" w:hAnsi="Times New Roman" w:cs="Times New Roman"/>
          <w:sz w:val="24"/>
          <w:szCs w:val="24"/>
        </w:rPr>
        <w:t>(t)</w:t>
      </w:r>
    </w:p>
    <w:p w14:paraId="5DEECE1F" w14:textId="77777777" w:rsidR="00DE79F3" w:rsidRPr="00D65A3B" w:rsidRDefault="00DE79F3" w:rsidP="00E56B50">
      <w:pPr>
        <w:spacing w:after="0" w:line="240" w:lineRule="auto"/>
        <w:ind w:left="360"/>
        <w:rPr>
          <w:rFonts w:ascii="Times New Roman" w:hAnsi="Times New Roman" w:cs="Times New Roman"/>
          <w:sz w:val="24"/>
          <w:szCs w:val="24"/>
        </w:rPr>
      </w:pPr>
    </w:p>
    <w:p w14:paraId="2D667446" w14:textId="77777777" w:rsidR="00DE79F3" w:rsidRPr="00D65A3B" w:rsidRDefault="00DE79F3" w:rsidP="00E56B50">
      <w:pPr>
        <w:spacing w:after="0" w:line="240" w:lineRule="auto"/>
        <w:ind w:left="360"/>
        <w:rPr>
          <w:rFonts w:ascii="Times New Roman" w:hAnsi="Times New Roman" w:cs="Times New Roman"/>
          <w:sz w:val="24"/>
          <w:szCs w:val="24"/>
        </w:rPr>
      </w:pPr>
      <w:r w:rsidRPr="00D65A3B">
        <w:rPr>
          <w:rFonts w:ascii="Times New Roman" w:hAnsi="Times New Roman" w:cs="Times New Roman"/>
          <w:sz w:val="24"/>
          <w:szCs w:val="24"/>
        </w:rPr>
        <w:t>Where:</w:t>
      </w:r>
    </w:p>
    <w:p w14:paraId="4E876251" w14:textId="77777777" w:rsidR="00E56B50" w:rsidRPr="00D65A3B" w:rsidRDefault="00E56B50" w:rsidP="00E56B50">
      <w:pPr>
        <w:spacing w:after="0" w:line="240" w:lineRule="auto"/>
        <w:ind w:left="360"/>
        <w:rPr>
          <w:rFonts w:ascii="Times New Roman" w:hAnsi="Times New Roman" w:cs="Times New Roman"/>
          <w:sz w:val="24"/>
          <w:szCs w:val="24"/>
        </w:rPr>
      </w:pPr>
      <w:r w:rsidRPr="00D65A3B">
        <w:rPr>
          <w:rFonts w:ascii="Times New Roman" w:hAnsi="Times New Roman" w:cs="Times New Roman"/>
          <w:sz w:val="24"/>
          <w:szCs w:val="24"/>
        </w:rPr>
        <w:t>A is the total MWh of CPP-qualifying renewable generation in a future year,</w:t>
      </w:r>
    </w:p>
    <w:p w14:paraId="3AD3A2CE" w14:textId="77777777" w:rsidR="00E56B50" w:rsidRPr="00D65A3B" w:rsidRDefault="00E56B50" w:rsidP="00E56B50">
      <w:pPr>
        <w:spacing w:after="0" w:line="240" w:lineRule="auto"/>
        <w:ind w:left="360"/>
        <w:rPr>
          <w:rFonts w:ascii="Times New Roman" w:hAnsi="Times New Roman" w:cs="Times New Roman"/>
          <w:sz w:val="24"/>
          <w:szCs w:val="24"/>
        </w:rPr>
      </w:pPr>
      <w:r w:rsidRPr="00D65A3B">
        <w:rPr>
          <w:rFonts w:ascii="Times New Roman" w:hAnsi="Times New Roman" w:cs="Times New Roman"/>
          <w:sz w:val="24"/>
          <w:szCs w:val="24"/>
        </w:rPr>
        <w:t>r is the annual RPS percent RE target,</w:t>
      </w:r>
    </w:p>
    <w:p w14:paraId="64198975" w14:textId="24B12D79" w:rsidR="00E56B50" w:rsidRPr="00D65A3B" w:rsidRDefault="00E56B50" w:rsidP="00E56B50">
      <w:pPr>
        <w:spacing w:after="0" w:line="240" w:lineRule="auto"/>
        <w:ind w:left="360"/>
        <w:rPr>
          <w:rFonts w:ascii="Times New Roman" w:hAnsi="Times New Roman" w:cs="Times New Roman"/>
          <w:sz w:val="24"/>
          <w:szCs w:val="24"/>
        </w:rPr>
      </w:pPr>
      <w:r w:rsidRPr="00D65A3B">
        <w:rPr>
          <w:rFonts w:ascii="Times New Roman" w:hAnsi="Times New Roman" w:cs="Times New Roman"/>
          <w:sz w:val="24"/>
          <w:szCs w:val="24"/>
        </w:rPr>
        <w:t xml:space="preserve">Z is the forecasted </w:t>
      </w:r>
      <w:r w:rsidR="00110C22">
        <w:rPr>
          <w:rFonts w:ascii="Times New Roman" w:hAnsi="Times New Roman" w:cs="Times New Roman"/>
          <w:sz w:val="24"/>
          <w:szCs w:val="24"/>
        </w:rPr>
        <w:t xml:space="preserve">electricity </w:t>
      </w:r>
      <w:r w:rsidRPr="00D65A3B">
        <w:rPr>
          <w:rFonts w:ascii="Times New Roman" w:hAnsi="Times New Roman" w:cs="Times New Roman"/>
          <w:sz w:val="24"/>
          <w:szCs w:val="24"/>
        </w:rPr>
        <w:t>sales that fall under the RPS policy, and</w:t>
      </w:r>
    </w:p>
    <w:p w14:paraId="42BB386D" w14:textId="77777777" w:rsidR="00E56B50" w:rsidRDefault="00E56B50" w:rsidP="00E56B50">
      <w:pPr>
        <w:spacing w:after="0" w:line="240" w:lineRule="auto"/>
        <w:ind w:left="360"/>
        <w:rPr>
          <w:rFonts w:ascii="Times New Roman" w:hAnsi="Times New Roman" w:cs="Times New Roman"/>
          <w:sz w:val="24"/>
          <w:szCs w:val="24"/>
        </w:rPr>
      </w:pPr>
      <w:r w:rsidRPr="00D65A3B">
        <w:rPr>
          <w:rFonts w:ascii="Times New Roman" w:hAnsi="Times New Roman" w:cs="Times New Roman"/>
          <w:sz w:val="24"/>
          <w:szCs w:val="24"/>
        </w:rPr>
        <w:t>MWh</w:t>
      </w:r>
      <w:r w:rsidRPr="00D65A3B">
        <w:rPr>
          <w:rFonts w:ascii="Times New Roman" w:hAnsi="Times New Roman" w:cs="Times New Roman"/>
          <w:sz w:val="24"/>
          <w:szCs w:val="24"/>
          <w:vertAlign w:val="subscript"/>
        </w:rPr>
        <w:t>ineligible</w:t>
      </w:r>
      <w:r w:rsidRPr="00D65A3B">
        <w:rPr>
          <w:rFonts w:ascii="Times New Roman" w:hAnsi="Times New Roman" w:cs="Times New Roman"/>
          <w:sz w:val="24"/>
          <w:szCs w:val="24"/>
          <w:vertAlign w:val="superscript"/>
        </w:rPr>
        <w:t xml:space="preserve"> </w:t>
      </w:r>
      <w:r w:rsidRPr="00D65A3B">
        <w:rPr>
          <w:rFonts w:ascii="Times New Roman" w:hAnsi="Times New Roman" w:cs="Times New Roman"/>
          <w:sz w:val="24"/>
          <w:szCs w:val="24"/>
        </w:rPr>
        <w:t>is the MWh of generation from technologies ineligible under CPP</w:t>
      </w:r>
    </w:p>
    <w:p w14:paraId="44AD631E" w14:textId="11AADEB7" w:rsidR="00B15D0E" w:rsidRPr="00D65A3B" w:rsidRDefault="00B15D0E" w:rsidP="00E56B5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 is the year </w:t>
      </w:r>
    </w:p>
    <w:p w14:paraId="23708F28" w14:textId="77777777" w:rsidR="00E56B50" w:rsidRPr="00D65A3B" w:rsidRDefault="00E56B50" w:rsidP="00E56B50">
      <w:pPr>
        <w:spacing w:after="0" w:line="240" w:lineRule="auto"/>
        <w:ind w:left="360"/>
        <w:rPr>
          <w:rFonts w:ascii="Times New Roman" w:hAnsi="Times New Roman" w:cs="Times New Roman"/>
          <w:sz w:val="24"/>
          <w:szCs w:val="24"/>
        </w:rPr>
      </w:pPr>
    </w:p>
    <w:p w14:paraId="5B33CB12" w14:textId="77777777" w:rsidR="00FD15F0" w:rsidRDefault="00E56B50" w:rsidP="00FD15F0">
      <w:pPr>
        <w:spacing w:after="0" w:line="360" w:lineRule="auto"/>
        <w:rPr>
          <w:rFonts w:ascii="Times New Roman" w:hAnsi="Times New Roman" w:cs="Times New Roman"/>
          <w:sz w:val="24"/>
          <w:szCs w:val="24"/>
        </w:rPr>
      </w:pPr>
      <w:r w:rsidRPr="00D65A3B">
        <w:rPr>
          <w:rFonts w:ascii="Times New Roman" w:hAnsi="Times New Roman" w:cs="Times New Roman"/>
          <w:sz w:val="24"/>
          <w:szCs w:val="24"/>
        </w:rPr>
        <w:t>Note that each state should apply this general formula to its specific RPS design</w:t>
      </w:r>
      <w:r w:rsidR="00587E42">
        <w:rPr>
          <w:rFonts w:ascii="Times New Roman" w:hAnsi="Times New Roman" w:cs="Times New Roman"/>
          <w:sz w:val="24"/>
          <w:szCs w:val="24"/>
        </w:rPr>
        <w:t xml:space="preserve">. </w:t>
      </w:r>
      <w:r w:rsidRPr="00D65A3B">
        <w:rPr>
          <w:rFonts w:ascii="Times New Roman" w:hAnsi="Times New Roman" w:cs="Times New Roman"/>
          <w:sz w:val="24"/>
          <w:szCs w:val="24"/>
        </w:rPr>
        <w:t xml:space="preserve">For example, if a specified percentage of </w:t>
      </w:r>
      <w:r w:rsidR="00B15D0E">
        <w:rPr>
          <w:rFonts w:ascii="Times New Roman" w:hAnsi="Times New Roman" w:cs="Times New Roman"/>
          <w:sz w:val="24"/>
          <w:szCs w:val="24"/>
        </w:rPr>
        <w:t>RE</w:t>
      </w:r>
      <w:r w:rsidRPr="00D65A3B">
        <w:rPr>
          <w:rFonts w:ascii="Times New Roman" w:hAnsi="Times New Roman" w:cs="Times New Roman"/>
          <w:sz w:val="24"/>
          <w:szCs w:val="24"/>
        </w:rPr>
        <w:t xml:space="preserve"> is required to be met by sales from </w:t>
      </w:r>
      <w:r w:rsidR="00A95249" w:rsidRPr="00D65A3B">
        <w:rPr>
          <w:rFonts w:ascii="Times New Roman" w:hAnsi="Times New Roman" w:cs="Times New Roman"/>
          <w:sz w:val="24"/>
          <w:szCs w:val="24"/>
        </w:rPr>
        <w:t>investor-owned utilities</w:t>
      </w:r>
      <w:r w:rsidRPr="00D65A3B">
        <w:rPr>
          <w:rFonts w:ascii="Times New Roman" w:hAnsi="Times New Roman" w:cs="Times New Roman"/>
          <w:sz w:val="24"/>
          <w:szCs w:val="24"/>
        </w:rPr>
        <w:t xml:space="preserve"> and separate percentage from rural cooperatives, then the state should apply the formula individually </w:t>
      </w:r>
      <w:r w:rsidRPr="00D65A3B">
        <w:rPr>
          <w:rFonts w:ascii="Times New Roman" w:hAnsi="Times New Roman" w:cs="Times New Roman"/>
          <w:sz w:val="24"/>
          <w:szCs w:val="24"/>
        </w:rPr>
        <w:lastRenderedPageBreak/>
        <w:t xml:space="preserve">for each class and </w:t>
      </w:r>
      <w:r w:rsidR="0063014D" w:rsidRPr="00D65A3B">
        <w:rPr>
          <w:rFonts w:ascii="Times New Roman" w:hAnsi="Times New Roman" w:cs="Times New Roman"/>
          <w:sz w:val="24"/>
          <w:szCs w:val="24"/>
        </w:rPr>
        <w:t xml:space="preserve">sum </w:t>
      </w:r>
      <w:r w:rsidRPr="00D65A3B">
        <w:rPr>
          <w:rFonts w:ascii="Times New Roman" w:hAnsi="Times New Roman" w:cs="Times New Roman"/>
          <w:sz w:val="24"/>
          <w:szCs w:val="24"/>
        </w:rPr>
        <w:t>the MWh for each to calculate A(t)</w:t>
      </w:r>
      <w:r w:rsidR="00587E42">
        <w:rPr>
          <w:rFonts w:ascii="Times New Roman" w:hAnsi="Times New Roman" w:cs="Times New Roman"/>
          <w:sz w:val="24"/>
          <w:szCs w:val="24"/>
        </w:rPr>
        <w:t xml:space="preserve">. </w:t>
      </w:r>
      <w:r w:rsidRPr="00D65A3B">
        <w:rPr>
          <w:rFonts w:ascii="Times New Roman" w:hAnsi="Times New Roman" w:cs="Times New Roman"/>
          <w:sz w:val="24"/>
          <w:szCs w:val="24"/>
        </w:rPr>
        <w:t xml:space="preserve">Additionally, each state plan </w:t>
      </w:r>
      <w:r w:rsidR="009C5341">
        <w:rPr>
          <w:rFonts w:ascii="Times New Roman" w:hAnsi="Times New Roman" w:cs="Times New Roman"/>
          <w:sz w:val="24"/>
          <w:szCs w:val="24"/>
        </w:rPr>
        <w:t xml:space="preserve">should </w:t>
      </w:r>
      <w:r w:rsidRPr="00D65A3B">
        <w:rPr>
          <w:rFonts w:ascii="Times New Roman" w:hAnsi="Times New Roman" w:cs="Times New Roman"/>
          <w:sz w:val="24"/>
          <w:szCs w:val="24"/>
        </w:rPr>
        <w:t xml:space="preserve">estimate the MWh of generation from </w:t>
      </w:r>
      <w:r w:rsidR="0063014D" w:rsidRPr="00D65A3B">
        <w:rPr>
          <w:rFonts w:ascii="Times New Roman" w:hAnsi="Times New Roman" w:cs="Times New Roman"/>
          <w:sz w:val="24"/>
          <w:szCs w:val="24"/>
        </w:rPr>
        <w:t xml:space="preserve">any </w:t>
      </w:r>
      <w:r w:rsidRPr="00D65A3B">
        <w:rPr>
          <w:rFonts w:ascii="Times New Roman" w:hAnsi="Times New Roman" w:cs="Times New Roman"/>
          <w:sz w:val="24"/>
          <w:szCs w:val="24"/>
        </w:rPr>
        <w:t>technologies that fall within the scope of its RPS but outside CPP</w:t>
      </w:r>
      <w:r w:rsidR="00587E42">
        <w:rPr>
          <w:rFonts w:ascii="Times New Roman" w:hAnsi="Times New Roman" w:cs="Times New Roman"/>
          <w:sz w:val="24"/>
          <w:szCs w:val="24"/>
        </w:rPr>
        <w:t xml:space="preserve">. </w:t>
      </w:r>
      <w:r w:rsidRPr="00D65A3B">
        <w:rPr>
          <w:rFonts w:ascii="Times New Roman" w:hAnsi="Times New Roman" w:cs="Times New Roman"/>
          <w:sz w:val="24"/>
          <w:szCs w:val="24"/>
        </w:rPr>
        <w:t>This</w:t>
      </w:r>
      <w:r w:rsidR="009C5341">
        <w:rPr>
          <w:rFonts w:ascii="Times New Roman" w:hAnsi="Times New Roman" w:cs="Times New Roman"/>
          <w:sz w:val="24"/>
          <w:szCs w:val="24"/>
        </w:rPr>
        <w:t xml:space="preserve"> </w:t>
      </w:r>
      <w:r w:rsidR="009C5341" w:rsidRPr="00D65A3B">
        <w:rPr>
          <w:rFonts w:ascii="Times New Roman" w:hAnsi="Times New Roman" w:cs="Times New Roman"/>
          <w:sz w:val="24"/>
          <w:szCs w:val="24"/>
        </w:rPr>
        <w:t>estimate</w:t>
      </w:r>
      <w:r w:rsidRPr="00D65A3B">
        <w:rPr>
          <w:rFonts w:ascii="Times New Roman" w:hAnsi="Times New Roman" w:cs="Times New Roman"/>
          <w:sz w:val="24"/>
          <w:szCs w:val="24"/>
        </w:rPr>
        <w:t xml:space="preserve"> (MWh</w:t>
      </w:r>
      <w:r w:rsidRPr="00D65A3B">
        <w:rPr>
          <w:rFonts w:ascii="Times New Roman" w:hAnsi="Times New Roman" w:cs="Times New Roman"/>
          <w:sz w:val="24"/>
          <w:szCs w:val="24"/>
          <w:vertAlign w:val="subscript"/>
        </w:rPr>
        <w:t>ineligible</w:t>
      </w:r>
      <w:r w:rsidRPr="00D65A3B">
        <w:rPr>
          <w:rFonts w:ascii="Times New Roman" w:hAnsi="Times New Roman" w:cs="Times New Roman"/>
          <w:sz w:val="24"/>
          <w:szCs w:val="24"/>
        </w:rPr>
        <w:t>) can be based on planned and/or expected new capacities for these technologies and best-available historical capacity factors.</w:t>
      </w:r>
    </w:p>
    <w:p w14:paraId="4EB676CC" w14:textId="2D4F6C9A" w:rsidR="00453893" w:rsidRDefault="00FD15F0" w:rsidP="00A04FD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take a </w:t>
      </w:r>
      <w:r w:rsidR="00453893" w:rsidRPr="00453893">
        <w:rPr>
          <w:rFonts w:ascii="Times New Roman" w:hAnsi="Times New Roman" w:cs="Times New Roman"/>
          <w:sz w:val="24"/>
          <w:szCs w:val="24"/>
        </w:rPr>
        <w:t xml:space="preserve">representative state </w:t>
      </w:r>
      <w:r>
        <w:rPr>
          <w:rFonts w:ascii="Times New Roman" w:hAnsi="Times New Roman" w:cs="Times New Roman"/>
          <w:sz w:val="24"/>
          <w:szCs w:val="24"/>
        </w:rPr>
        <w:t xml:space="preserve">with </w:t>
      </w:r>
      <w:r w:rsidR="00453893" w:rsidRPr="00453893">
        <w:rPr>
          <w:rFonts w:ascii="Times New Roman" w:hAnsi="Times New Roman" w:cs="Times New Roman"/>
          <w:sz w:val="24"/>
          <w:szCs w:val="24"/>
        </w:rPr>
        <w:t>an RPS target of 10% in 2015, rising to 15% by 2020. Forecasted sales in 2015 are 75,000 gigawatthours (GWh), growing in subsequent years. In 2015, the renewable requirement is 7,500 GWh, but 500 GWh of the RPS is met by technologies ineligible under the final CPP. As a result, eligible renewable generation is 7,000 GWh in 2015. Assuming the same MWh</w:t>
      </w:r>
      <w:r w:rsidR="00453893" w:rsidRPr="00453893">
        <w:rPr>
          <w:rFonts w:ascii="Times New Roman" w:hAnsi="Times New Roman" w:cs="Times New Roman"/>
          <w:sz w:val="24"/>
          <w:szCs w:val="24"/>
          <w:vertAlign w:val="subscript"/>
        </w:rPr>
        <w:t>ineligible</w:t>
      </w:r>
      <w:r w:rsidR="00453893" w:rsidRPr="00453893">
        <w:rPr>
          <w:rFonts w:ascii="Times New Roman" w:hAnsi="Times New Roman" w:cs="Times New Roman"/>
          <w:sz w:val="24"/>
          <w:szCs w:val="24"/>
        </w:rPr>
        <w:t xml:space="preserve"> in future years, the state would predict 11,500 GWh of CPP eligible renewables in 2020.</w:t>
      </w:r>
      <w:r w:rsidR="00923A46">
        <w:rPr>
          <w:rFonts w:ascii="Times New Roman" w:hAnsi="Times New Roman" w:cs="Times New Roman"/>
          <w:sz w:val="24"/>
          <w:szCs w:val="24"/>
        </w:rPr>
        <w:t xml:space="preserve"> </w:t>
      </w:r>
      <w:r w:rsidR="00766A5B">
        <w:rPr>
          <w:rFonts w:ascii="Times New Roman" w:hAnsi="Times New Roman" w:cs="Times New Roman"/>
          <w:sz w:val="24"/>
          <w:szCs w:val="24"/>
        </w:rPr>
        <w:t xml:space="preserve">The table below applies this example to the above formula. </w:t>
      </w:r>
      <w:r w:rsidR="00453893" w:rsidRPr="00453893">
        <w:rPr>
          <w:rFonts w:ascii="Times New Roman" w:hAnsi="Times New Roman" w:cs="Times New Roman"/>
          <w:sz w:val="24"/>
          <w:szCs w:val="24"/>
        </w:rPr>
        <w:t>This is a common type of RPS policy. States with structures similar to this include Massachusetts, North Carolina, and Illinois.</w:t>
      </w:r>
    </w:p>
    <w:p w14:paraId="0714355A" w14:textId="77777777" w:rsidR="00A04FD1" w:rsidRPr="00453893" w:rsidRDefault="00A04FD1" w:rsidP="00A04FD1">
      <w:pPr>
        <w:spacing w:after="0" w:line="360" w:lineRule="auto"/>
        <w:ind w:firstLine="720"/>
        <w:rPr>
          <w:rFonts w:ascii="Times New Roman" w:hAnsi="Times New Roman" w:cs="Times New Roman"/>
          <w:sz w:val="24"/>
          <w:szCs w:val="24"/>
        </w:rPr>
      </w:pPr>
    </w:p>
    <w:p w14:paraId="48F8544A" w14:textId="4F4B7DF1" w:rsidR="00453893" w:rsidRPr="00010FA0" w:rsidRDefault="00453893" w:rsidP="00453893">
      <w:pPr>
        <w:rPr>
          <w:rFonts w:cs="Times New Roman"/>
          <w:i/>
          <w:iCs/>
          <w:sz w:val="24"/>
          <w:szCs w:val="24"/>
        </w:rPr>
      </w:pPr>
      <w:r w:rsidRPr="00010FA0">
        <w:rPr>
          <w:rFonts w:cs="Times New Roman"/>
          <w:i/>
          <w:iCs/>
          <w:szCs w:val="24"/>
        </w:rPr>
        <w:t xml:space="preserve">Table </w:t>
      </w:r>
      <w:r w:rsidR="008407A3" w:rsidRPr="00010FA0">
        <w:rPr>
          <w:rFonts w:cs="Times New Roman"/>
          <w:i/>
          <w:iCs/>
          <w:szCs w:val="24"/>
        </w:rPr>
        <w:t>5</w:t>
      </w:r>
      <w:r w:rsidRPr="00010FA0">
        <w:rPr>
          <w:rFonts w:cs="Times New Roman"/>
          <w:i/>
          <w:iCs/>
          <w:szCs w:val="24"/>
        </w:rPr>
        <w:t>: Example Qualifying Renewable Energy Calculation</w:t>
      </w:r>
      <w:r w:rsidR="00010FA0">
        <w:rPr>
          <w:rFonts w:cs="Times New Roman"/>
          <w:i/>
          <w:iCs/>
          <w:szCs w:val="24"/>
        </w:rPr>
        <w:t xml:space="preserve"> </w:t>
      </w:r>
    </w:p>
    <w:tbl>
      <w:tblPr>
        <w:tblW w:w="10005" w:type="dxa"/>
        <w:tblLayout w:type="fixed"/>
        <w:tblLook w:val="04A0" w:firstRow="1" w:lastRow="0" w:firstColumn="1" w:lastColumn="0" w:noHBand="0" w:noVBand="1"/>
      </w:tblPr>
      <w:tblGrid>
        <w:gridCol w:w="3060"/>
        <w:gridCol w:w="1160"/>
        <w:gridCol w:w="1360"/>
        <w:gridCol w:w="1005"/>
        <w:gridCol w:w="1170"/>
        <w:gridCol w:w="1260"/>
        <w:gridCol w:w="990"/>
      </w:tblGrid>
      <w:tr w:rsidR="00453893" w:rsidRPr="009D4937" w14:paraId="5D8B7154" w14:textId="77777777" w:rsidTr="00453893">
        <w:tc>
          <w:tcPr>
            <w:tcW w:w="3060" w:type="dxa"/>
            <w:tcBorders>
              <w:top w:val="single" w:sz="4" w:space="0" w:color="auto"/>
              <w:left w:val="nil"/>
              <w:bottom w:val="single" w:sz="4" w:space="0" w:color="auto"/>
              <w:right w:val="nil"/>
            </w:tcBorders>
            <w:shd w:val="clear" w:color="auto" w:fill="auto"/>
            <w:noWrap/>
            <w:vAlign w:val="bottom"/>
            <w:hideMark/>
          </w:tcPr>
          <w:p w14:paraId="79C66F19" w14:textId="77777777" w:rsidR="00453893" w:rsidRPr="009D4937" w:rsidRDefault="00453893" w:rsidP="00453893">
            <w:pPr>
              <w:rPr>
                <w:rFonts w:cs="Times New Roman"/>
                <w:sz w:val="18"/>
                <w:szCs w:val="18"/>
              </w:rPr>
            </w:pPr>
          </w:p>
        </w:tc>
        <w:tc>
          <w:tcPr>
            <w:tcW w:w="1160" w:type="dxa"/>
            <w:tcBorders>
              <w:top w:val="single" w:sz="4" w:space="0" w:color="auto"/>
              <w:left w:val="nil"/>
              <w:bottom w:val="single" w:sz="4" w:space="0" w:color="auto"/>
              <w:right w:val="nil"/>
            </w:tcBorders>
            <w:shd w:val="clear" w:color="auto" w:fill="auto"/>
            <w:noWrap/>
            <w:vAlign w:val="bottom"/>
            <w:hideMark/>
          </w:tcPr>
          <w:p w14:paraId="4CA11894" w14:textId="77777777" w:rsidR="00453893" w:rsidRPr="009D4937" w:rsidRDefault="00453893" w:rsidP="00453893">
            <w:pPr>
              <w:rPr>
                <w:rFonts w:cs="Times New Roman"/>
                <w:b/>
                <w:bCs/>
                <w:sz w:val="18"/>
                <w:szCs w:val="18"/>
              </w:rPr>
            </w:pPr>
            <w:r w:rsidRPr="009D4937">
              <w:rPr>
                <w:rFonts w:cs="Times New Roman"/>
                <w:b/>
                <w:bCs/>
                <w:sz w:val="18"/>
                <w:szCs w:val="18"/>
              </w:rPr>
              <w:t>2015</w:t>
            </w:r>
          </w:p>
        </w:tc>
        <w:tc>
          <w:tcPr>
            <w:tcW w:w="1360" w:type="dxa"/>
            <w:tcBorders>
              <w:top w:val="single" w:sz="4" w:space="0" w:color="auto"/>
              <w:left w:val="nil"/>
              <w:bottom w:val="single" w:sz="4" w:space="0" w:color="auto"/>
              <w:right w:val="nil"/>
            </w:tcBorders>
            <w:shd w:val="clear" w:color="auto" w:fill="auto"/>
            <w:noWrap/>
            <w:vAlign w:val="bottom"/>
            <w:hideMark/>
          </w:tcPr>
          <w:p w14:paraId="5B38C167" w14:textId="77777777" w:rsidR="00453893" w:rsidRPr="009D4937" w:rsidRDefault="00453893" w:rsidP="00453893">
            <w:pPr>
              <w:rPr>
                <w:rFonts w:cs="Times New Roman"/>
                <w:b/>
                <w:bCs/>
                <w:sz w:val="18"/>
                <w:szCs w:val="18"/>
              </w:rPr>
            </w:pPr>
            <w:r w:rsidRPr="009D4937">
              <w:rPr>
                <w:rFonts w:cs="Times New Roman"/>
                <w:b/>
                <w:bCs/>
                <w:sz w:val="18"/>
                <w:szCs w:val="18"/>
              </w:rPr>
              <w:t>2016</w:t>
            </w:r>
          </w:p>
        </w:tc>
        <w:tc>
          <w:tcPr>
            <w:tcW w:w="1005" w:type="dxa"/>
            <w:tcBorders>
              <w:top w:val="single" w:sz="4" w:space="0" w:color="auto"/>
              <w:left w:val="nil"/>
              <w:bottom w:val="single" w:sz="4" w:space="0" w:color="auto"/>
              <w:right w:val="nil"/>
            </w:tcBorders>
            <w:shd w:val="clear" w:color="auto" w:fill="auto"/>
            <w:noWrap/>
            <w:vAlign w:val="bottom"/>
            <w:hideMark/>
          </w:tcPr>
          <w:p w14:paraId="2B606BE1" w14:textId="77777777" w:rsidR="00453893" w:rsidRPr="009D4937" w:rsidRDefault="00453893" w:rsidP="00453893">
            <w:pPr>
              <w:rPr>
                <w:rFonts w:cs="Times New Roman"/>
                <w:b/>
                <w:bCs/>
                <w:sz w:val="18"/>
                <w:szCs w:val="18"/>
              </w:rPr>
            </w:pPr>
            <w:r w:rsidRPr="009D4937">
              <w:rPr>
                <w:rFonts w:cs="Times New Roman"/>
                <w:b/>
                <w:bCs/>
                <w:sz w:val="18"/>
                <w:szCs w:val="18"/>
              </w:rPr>
              <w:t>2017</w:t>
            </w:r>
          </w:p>
        </w:tc>
        <w:tc>
          <w:tcPr>
            <w:tcW w:w="1170" w:type="dxa"/>
            <w:tcBorders>
              <w:top w:val="single" w:sz="4" w:space="0" w:color="auto"/>
              <w:left w:val="nil"/>
              <w:bottom w:val="single" w:sz="4" w:space="0" w:color="auto"/>
              <w:right w:val="nil"/>
            </w:tcBorders>
            <w:shd w:val="clear" w:color="auto" w:fill="auto"/>
            <w:noWrap/>
            <w:vAlign w:val="bottom"/>
            <w:hideMark/>
          </w:tcPr>
          <w:p w14:paraId="2D1759F3" w14:textId="77777777" w:rsidR="00453893" w:rsidRPr="009D4937" w:rsidRDefault="00453893" w:rsidP="00453893">
            <w:pPr>
              <w:rPr>
                <w:rFonts w:cs="Times New Roman"/>
                <w:b/>
                <w:bCs/>
                <w:sz w:val="18"/>
                <w:szCs w:val="18"/>
              </w:rPr>
            </w:pPr>
            <w:r w:rsidRPr="009D4937">
              <w:rPr>
                <w:rFonts w:cs="Times New Roman"/>
                <w:b/>
                <w:bCs/>
                <w:sz w:val="18"/>
                <w:szCs w:val="18"/>
              </w:rPr>
              <w:t>2018</w:t>
            </w:r>
          </w:p>
        </w:tc>
        <w:tc>
          <w:tcPr>
            <w:tcW w:w="1260" w:type="dxa"/>
            <w:tcBorders>
              <w:top w:val="single" w:sz="4" w:space="0" w:color="auto"/>
              <w:left w:val="nil"/>
              <w:bottom w:val="single" w:sz="4" w:space="0" w:color="auto"/>
              <w:right w:val="nil"/>
            </w:tcBorders>
            <w:shd w:val="clear" w:color="auto" w:fill="auto"/>
            <w:noWrap/>
            <w:vAlign w:val="bottom"/>
            <w:hideMark/>
          </w:tcPr>
          <w:p w14:paraId="73E2967E" w14:textId="77777777" w:rsidR="00453893" w:rsidRPr="009D4937" w:rsidRDefault="00453893" w:rsidP="00453893">
            <w:pPr>
              <w:rPr>
                <w:rFonts w:cs="Times New Roman"/>
                <w:b/>
                <w:bCs/>
                <w:sz w:val="18"/>
                <w:szCs w:val="18"/>
              </w:rPr>
            </w:pPr>
            <w:r w:rsidRPr="009D4937">
              <w:rPr>
                <w:rFonts w:cs="Times New Roman"/>
                <w:b/>
                <w:bCs/>
                <w:sz w:val="18"/>
                <w:szCs w:val="18"/>
              </w:rPr>
              <w:t>2019</w:t>
            </w:r>
          </w:p>
        </w:tc>
        <w:tc>
          <w:tcPr>
            <w:tcW w:w="990" w:type="dxa"/>
            <w:tcBorders>
              <w:top w:val="single" w:sz="4" w:space="0" w:color="auto"/>
              <w:left w:val="nil"/>
              <w:bottom w:val="single" w:sz="4" w:space="0" w:color="auto"/>
              <w:right w:val="nil"/>
            </w:tcBorders>
            <w:shd w:val="clear" w:color="auto" w:fill="auto"/>
            <w:noWrap/>
            <w:vAlign w:val="bottom"/>
            <w:hideMark/>
          </w:tcPr>
          <w:p w14:paraId="56B44A18" w14:textId="77777777" w:rsidR="00453893" w:rsidRPr="009D4937" w:rsidRDefault="00453893" w:rsidP="00453893">
            <w:pPr>
              <w:rPr>
                <w:rFonts w:cs="Times New Roman"/>
                <w:b/>
                <w:bCs/>
                <w:sz w:val="18"/>
                <w:szCs w:val="18"/>
              </w:rPr>
            </w:pPr>
            <w:r w:rsidRPr="009D4937">
              <w:rPr>
                <w:rFonts w:cs="Times New Roman"/>
                <w:b/>
                <w:bCs/>
                <w:sz w:val="18"/>
                <w:szCs w:val="18"/>
              </w:rPr>
              <w:t>2020</w:t>
            </w:r>
          </w:p>
        </w:tc>
      </w:tr>
      <w:tr w:rsidR="00453893" w:rsidRPr="009D4937" w14:paraId="14134CBA" w14:textId="77777777" w:rsidTr="00453893">
        <w:tc>
          <w:tcPr>
            <w:tcW w:w="3060" w:type="dxa"/>
            <w:tcBorders>
              <w:top w:val="single" w:sz="4" w:space="0" w:color="auto"/>
              <w:left w:val="nil"/>
              <w:bottom w:val="single" w:sz="4" w:space="0" w:color="auto"/>
              <w:right w:val="nil"/>
            </w:tcBorders>
            <w:shd w:val="clear" w:color="auto" w:fill="auto"/>
            <w:noWrap/>
            <w:vAlign w:val="bottom"/>
            <w:hideMark/>
          </w:tcPr>
          <w:p w14:paraId="498791F6" w14:textId="77777777" w:rsidR="00453893" w:rsidRPr="009D4937" w:rsidRDefault="00453893" w:rsidP="00453893">
            <w:pPr>
              <w:rPr>
                <w:rFonts w:cs="Times New Roman"/>
                <w:sz w:val="18"/>
                <w:szCs w:val="18"/>
              </w:rPr>
            </w:pPr>
            <w:r w:rsidRPr="009D4937">
              <w:rPr>
                <w:rFonts w:cs="Times New Roman"/>
                <w:sz w:val="18"/>
                <w:szCs w:val="18"/>
              </w:rPr>
              <w:t>RPS Target (%)</w:t>
            </w:r>
          </w:p>
        </w:tc>
        <w:tc>
          <w:tcPr>
            <w:tcW w:w="1160" w:type="dxa"/>
            <w:tcBorders>
              <w:top w:val="single" w:sz="4" w:space="0" w:color="auto"/>
              <w:left w:val="nil"/>
              <w:bottom w:val="single" w:sz="4" w:space="0" w:color="auto"/>
              <w:right w:val="nil"/>
            </w:tcBorders>
            <w:shd w:val="clear" w:color="auto" w:fill="auto"/>
            <w:noWrap/>
            <w:vAlign w:val="bottom"/>
            <w:hideMark/>
          </w:tcPr>
          <w:p w14:paraId="70F75A2A" w14:textId="77777777" w:rsidR="00453893" w:rsidRPr="009D4937" w:rsidRDefault="00453893" w:rsidP="00453893">
            <w:pPr>
              <w:rPr>
                <w:rFonts w:cs="Times New Roman"/>
                <w:sz w:val="18"/>
                <w:szCs w:val="18"/>
              </w:rPr>
            </w:pPr>
            <w:r w:rsidRPr="009D4937">
              <w:rPr>
                <w:rFonts w:cs="Times New Roman"/>
                <w:sz w:val="18"/>
                <w:szCs w:val="18"/>
              </w:rPr>
              <w:t>10%</w:t>
            </w:r>
          </w:p>
        </w:tc>
        <w:tc>
          <w:tcPr>
            <w:tcW w:w="1360" w:type="dxa"/>
            <w:tcBorders>
              <w:top w:val="single" w:sz="4" w:space="0" w:color="auto"/>
              <w:left w:val="nil"/>
              <w:bottom w:val="single" w:sz="4" w:space="0" w:color="auto"/>
              <w:right w:val="nil"/>
            </w:tcBorders>
            <w:shd w:val="clear" w:color="auto" w:fill="auto"/>
            <w:noWrap/>
            <w:vAlign w:val="bottom"/>
            <w:hideMark/>
          </w:tcPr>
          <w:p w14:paraId="5C4AE841" w14:textId="77777777" w:rsidR="00453893" w:rsidRPr="009D4937" w:rsidRDefault="00453893" w:rsidP="00453893">
            <w:pPr>
              <w:rPr>
                <w:rFonts w:cs="Times New Roman"/>
                <w:sz w:val="18"/>
                <w:szCs w:val="18"/>
              </w:rPr>
            </w:pPr>
            <w:r w:rsidRPr="009D4937">
              <w:rPr>
                <w:rFonts w:cs="Times New Roman"/>
                <w:sz w:val="18"/>
                <w:szCs w:val="18"/>
              </w:rPr>
              <w:t>11%</w:t>
            </w:r>
          </w:p>
        </w:tc>
        <w:tc>
          <w:tcPr>
            <w:tcW w:w="1005" w:type="dxa"/>
            <w:tcBorders>
              <w:top w:val="single" w:sz="4" w:space="0" w:color="auto"/>
              <w:left w:val="nil"/>
              <w:bottom w:val="single" w:sz="4" w:space="0" w:color="auto"/>
              <w:right w:val="nil"/>
            </w:tcBorders>
            <w:shd w:val="clear" w:color="auto" w:fill="auto"/>
            <w:noWrap/>
            <w:vAlign w:val="bottom"/>
            <w:hideMark/>
          </w:tcPr>
          <w:p w14:paraId="40BCEE23" w14:textId="77777777" w:rsidR="00453893" w:rsidRPr="009D4937" w:rsidRDefault="00453893" w:rsidP="00453893">
            <w:pPr>
              <w:rPr>
                <w:rFonts w:cs="Times New Roman"/>
                <w:sz w:val="18"/>
                <w:szCs w:val="18"/>
              </w:rPr>
            </w:pPr>
            <w:r w:rsidRPr="009D4937">
              <w:rPr>
                <w:rFonts w:cs="Times New Roman"/>
                <w:sz w:val="18"/>
                <w:szCs w:val="18"/>
              </w:rPr>
              <w:t>12%</w:t>
            </w:r>
          </w:p>
        </w:tc>
        <w:tc>
          <w:tcPr>
            <w:tcW w:w="1170" w:type="dxa"/>
            <w:tcBorders>
              <w:top w:val="single" w:sz="4" w:space="0" w:color="auto"/>
              <w:left w:val="nil"/>
              <w:bottom w:val="single" w:sz="4" w:space="0" w:color="auto"/>
              <w:right w:val="nil"/>
            </w:tcBorders>
            <w:shd w:val="clear" w:color="auto" w:fill="auto"/>
            <w:noWrap/>
            <w:vAlign w:val="bottom"/>
            <w:hideMark/>
          </w:tcPr>
          <w:p w14:paraId="2B089D77" w14:textId="77777777" w:rsidR="00453893" w:rsidRPr="009D4937" w:rsidRDefault="00453893" w:rsidP="00453893">
            <w:pPr>
              <w:rPr>
                <w:rFonts w:cs="Times New Roman"/>
                <w:sz w:val="18"/>
                <w:szCs w:val="18"/>
              </w:rPr>
            </w:pPr>
            <w:r w:rsidRPr="009D4937">
              <w:rPr>
                <w:rFonts w:cs="Times New Roman"/>
                <w:sz w:val="18"/>
                <w:szCs w:val="18"/>
              </w:rPr>
              <w:t>13%</w:t>
            </w:r>
          </w:p>
        </w:tc>
        <w:tc>
          <w:tcPr>
            <w:tcW w:w="1260" w:type="dxa"/>
            <w:tcBorders>
              <w:top w:val="single" w:sz="4" w:space="0" w:color="auto"/>
              <w:left w:val="nil"/>
              <w:bottom w:val="single" w:sz="4" w:space="0" w:color="auto"/>
              <w:right w:val="nil"/>
            </w:tcBorders>
            <w:shd w:val="clear" w:color="auto" w:fill="auto"/>
            <w:noWrap/>
            <w:vAlign w:val="bottom"/>
            <w:hideMark/>
          </w:tcPr>
          <w:p w14:paraId="048DB587" w14:textId="77777777" w:rsidR="00453893" w:rsidRPr="009D4937" w:rsidRDefault="00453893" w:rsidP="00453893">
            <w:pPr>
              <w:rPr>
                <w:rFonts w:cs="Times New Roman"/>
                <w:sz w:val="18"/>
                <w:szCs w:val="18"/>
              </w:rPr>
            </w:pPr>
            <w:r w:rsidRPr="009D4937">
              <w:rPr>
                <w:rFonts w:cs="Times New Roman"/>
                <w:sz w:val="18"/>
                <w:szCs w:val="18"/>
              </w:rPr>
              <w:t>14%</w:t>
            </w:r>
          </w:p>
        </w:tc>
        <w:tc>
          <w:tcPr>
            <w:tcW w:w="990" w:type="dxa"/>
            <w:tcBorders>
              <w:top w:val="single" w:sz="4" w:space="0" w:color="auto"/>
              <w:left w:val="nil"/>
              <w:bottom w:val="single" w:sz="4" w:space="0" w:color="auto"/>
              <w:right w:val="nil"/>
            </w:tcBorders>
            <w:shd w:val="clear" w:color="auto" w:fill="auto"/>
            <w:noWrap/>
            <w:vAlign w:val="bottom"/>
            <w:hideMark/>
          </w:tcPr>
          <w:p w14:paraId="4B79A09C" w14:textId="77777777" w:rsidR="00453893" w:rsidRPr="009D4937" w:rsidRDefault="00453893" w:rsidP="00453893">
            <w:pPr>
              <w:rPr>
                <w:rFonts w:cs="Times New Roman"/>
                <w:sz w:val="18"/>
                <w:szCs w:val="18"/>
              </w:rPr>
            </w:pPr>
            <w:r w:rsidRPr="009D4937">
              <w:rPr>
                <w:rFonts w:cs="Times New Roman"/>
                <w:sz w:val="18"/>
                <w:szCs w:val="18"/>
              </w:rPr>
              <w:t>15%</w:t>
            </w:r>
          </w:p>
        </w:tc>
      </w:tr>
      <w:tr w:rsidR="00453893" w:rsidRPr="009D4937" w14:paraId="345B0E03" w14:textId="77777777" w:rsidTr="00453893">
        <w:tc>
          <w:tcPr>
            <w:tcW w:w="3060" w:type="dxa"/>
            <w:tcBorders>
              <w:top w:val="single" w:sz="4" w:space="0" w:color="auto"/>
              <w:left w:val="nil"/>
              <w:bottom w:val="single" w:sz="4" w:space="0" w:color="auto"/>
              <w:right w:val="nil"/>
            </w:tcBorders>
            <w:shd w:val="clear" w:color="auto" w:fill="auto"/>
            <w:noWrap/>
            <w:vAlign w:val="bottom"/>
            <w:hideMark/>
          </w:tcPr>
          <w:p w14:paraId="43733D0F" w14:textId="77777777" w:rsidR="00453893" w:rsidRPr="009D4937" w:rsidRDefault="00453893" w:rsidP="00453893">
            <w:pPr>
              <w:rPr>
                <w:rFonts w:cs="Times New Roman"/>
                <w:sz w:val="18"/>
                <w:szCs w:val="18"/>
              </w:rPr>
            </w:pPr>
            <w:r w:rsidRPr="009D4937">
              <w:rPr>
                <w:rFonts w:cs="Times New Roman"/>
                <w:sz w:val="18"/>
                <w:szCs w:val="18"/>
              </w:rPr>
              <w:t>Forecast Sales (GWh)</w:t>
            </w:r>
          </w:p>
        </w:tc>
        <w:tc>
          <w:tcPr>
            <w:tcW w:w="1160" w:type="dxa"/>
            <w:tcBorders>
              <w:top w:val="single" w:sz="4" w:space="0" w:color="auto"/>
              <w:left w:val="nil"/>
              <w:bottom w:val="single" w:sz="4" w:space="0" w:color="auto"/>
              <w:right w:val="nil"/>
            </w:tcBorders>
            <w:shd w:val="clear" w:color="auto" w:fill="auto"/>
            <w:noWrap/>
            <w:vAlign w:val="bottom"/>
            <w:hideMark/>
          </w:tcPr>
          <w:p w14:paraId="36FA38D9" w14:textId="77777777" w:rsidR="00453893" w:rsidRPr="009D4937" w:rsidRDefault="00453893" w:rsidP="00453893">
            <w:pPr>
              <w:rPr>
                <w:rFonts w:cs="Times New Roman"/>
                <w:sz w:val="18"/>
                <w:szCs w:val="18"/>
              </w:rPr>
            </w:pPr>
            <w:r w:rsidRPr="009D4937">
              <w:rPr>
                <w:rFonts w:cs="Times New Roman"/>
                <w:sz w:val="18"/>
                <w:szCs w:val="18"/>
              </w:rPr>
              <w:t>75,000</w:t>
            </w:r>
          </w:p>
        </w:tc>
        <w:tc>
          <w:tcPr>
            <w:tcW w:w="1360" w:type="dxa"/>
            <w:tcBorders>
              <w:top w:val="single" w:sz="4" w:space="0" w:color="auto"/>
              <w:left w:val="nil"/>
              <w:bottom w:val="single" w:sz="4" w:space="0" w:color="auto"/>
              <w:right w:val="nil"/>
            </w:tcBorders>
            <w:shd w:val="clear" w:color="auto" w:fill="auto"/>
            <w:noWrap/>
            <w:vAlign w:val="bottom"/>
            <w:hideMark/>
          </w:tcPr>
          <w:p w14:paraId="3863B2DA" w14:textId="77777777" w:rsidR="00453893" w:rsidRPr="009D4937" w:rsidRDefault="00453893" w:rsidP="00453893">
            <w:pPr>
              <w:rPr>
                <w:rFonts w:cs="Times New Roman"/>
                <w:sz w:val="18"/>
                <w:szCs w:val="18"/>
              </w:rPr>
            </w:pPr>
            <w:r w:rsidRPr="009D4937">
              <w:rPr>
                <w:rFonts w:cs="Times New Roman"/>
                <w:sz w:val="18"/>
                <w:szCs w:val="18"/>
              </w:rPr>
              <w:t>76,000</w:t>
            </w:r>
          </w:p>
        </w:tc>
        <w:tc>
          <w:tcPr>
            <w:tcW w:w="1005" w:type="dxa"/>
            <w:tcBorders>
              <w:top w:val="single" w:sz="4" w:space="0" w:color="auto"/>
              <w:left w:val="nil"/>
              <w:bottom w:val="single" w:sz="4" w:space="0" w:color="auto"/>
              <w:right w:val="nil"/>
            </w:tcBorders>
            <w:shd w:val="clear" w:color="auto" w:fill="auto"/>
            <w:noWrap/>
            <w:vAlign w:val="bottom"/>
            <w:hideMark/>
          </w:tcPr>
          <w:p w14:paraId="63D11CC0" w14:textId="77777777" w:rsidR="00453893" w:rsidRPr="009D4937" w:rsidRDefault="00453893" w:rsidP="00453893">
            <w:pPr>
              <w:rPr>
                <w:rFonts w:cs="Times New Roman"/>
                <w:sz w:val="18"/>
                <w:szCs w:val="18"/>
              </w:rPr>
            </w:pPr>
            <w:r w:rsidRPr="009D4937">
              <w:rPr>
                <w:rFonts w:cs="Times New Roman"/>
                <w:sz w:val="18"/>
                <w:szCs w:val="18"/>
              </w:rPr>
              <w:t>77,000</w:t>
            </w:r>
          </w:p>
        </w:tc>
        <w:tc>
          <w:tcPr>
            <w:tcW w:w="1170" w:type="dxa"/>
            <w:tcBorders>
              <w:top w:val="single" w:sz="4" w:space="0" w:color="auto"/>
              <w:left w:val="nil"/>
              <w:bottom w:val="single" w:sz="4" w:space="0" w:color="auto"/>
              <w:right w:val="nil"/>
            </w:tcBorders>
            <w:shd w:val="clear" w:color="auto" w:fill="auto"/>
            <w:noWrap/>
            <w:vAlign w:val="bottom"/>
            <w:hideMark/>
          </w:tcPr>
          <w:p w14:paraId="6848DD7F" w14:textId="77777777" w:rsidR="00453893" w:rsidRPr="009D4937" w:rsidRDefault="00453893" w:rsidP="00453893">
            <w:pPr>
              <w:rPr>
                <w:rFonts w:cs="Times New Roman"/>
                <w:sz w:val="18"/>
                <w:szCs w:val="18"/>
              </w:rPr>
            </w:pPr>
            <w:r w:rsidRPr="009D4937">
              <w:rPr>
                <w:rFonts w:cs="Times New Roman"/>
                <w:sz w:val="18"/>
                <w:szCs w:val="18"/>
              </w:rPr>
              <w:t>78,000</w:t>
            </w:r>
          </w:p>
        </w:tc>
        <w:tc>
          <w:tcPr>
            <w:tcW w:w="1260" w:type="dxa"/>
            <w:tcBorders>
              <w:top w:val="single" w:sz="4" w:space="0" w:color="auto"/>
              <w:left w:val="nil"/>
              <w:bottom w:val="single" w:sz="4" w:space="0" w:color="auto"/>
              <w:right w:val="nil"/>
            </w:tcBorders>
            <w:shd w:val="clear" w:color="auto" w:fill="auto"/>
            <w:noWrap/>
            <w:vAlign w:val="bottom"/>
            <w:hideMark/>
          </w:tcPr>
          <w:p w14:paraId="4E66329E" w14:textId="77777777" w:rsidR="00453893" w:rsidRPr="009D4937" w:rsidRDefault="00453893" w:rsidP="00453893">
            <w:pPr>
              <w:rPr>
                <w:rFonts w:cs="Times New Roman"/>
                <w:sz w:val="18"/>
                <w:szCs w:val="18"/>
              </w:rPr>
            </w:pPr>
            <w:r w:rsidRPr="009D4937">
              <w:rPr>
                <w:rFonts w:cs="Times New Roman"/>
                <w:sz w:val="18"/>
                <w:szCs w:val="18"/>
              </w:rPr>
              <w:t>79,000</w:t>
            </w:r>
          </w:p>
        </w:tc>
        <w:tc>
          <w:tcPr>
            <w:tcW w:w="990" w:type="dxa"/>
            <w:tcBorders>
              <w:top w:val="single" w:sz="4" w:space="0" w:color="auto"/>
              <w:left w:val="nil"/>
              <w:bottom w:val="single" w:sz="4" w:space="0" w:color="auto"/>
              <w:right w:val="nil"/>
            </w:tcBorders>
            <w:shd w:val="clear" w:color="auto" w:fill="auto"/>
            <w:noWrap/>
            <w:vAlign w:val="bottom"/>
            <w:hideMark/>
          </w:tcPr>
          <w:p w14:paraId="41B0BD4D" w14:textId="77777777" w:rsidR="00453893" w:rsidRPr="009D4937" w:rsidRDefault="00453893" w:rsidP="00453893">
            <w:pPr>
              <w:rPr>
                <w:rFonts w:cs="Times New Roman"/>
                <w:sz w:val="18"/>
                <w:szCs w:val="18"/>
              </w:rPr>
            </w:pPr>
            <w:r w:rsidRPr="009D4937">
              <w:rPr>
                <w:rFonts w:cs="Times New Roman"/>
                <w:sz w:val="18"/>
                <w:szCs w:val="18"/>
              </w:rPr>
              <w:t>80,000</w:t>
            </w:r>
          </w:p>
        </w:tc>
      </w:tr>
      <w:tr w:rsidR="00453893" w:rsidRPr="009D4937" w14:paraId="04F31655" w14:textId="77777777" w:rsidTr="00453893">
        <w:tc>
          <w:tcPr>
            <w:tcW w:w="3060" w:type="dxa"/>
            <w:tcBorders>
              <w:top w:val="single" w:sz="4" w:space="0" w:color="auto"/>
              <w:left w:val="nil"/>
              <w:bottom w:val="single" w:sz="4" w:space="0" w:color="auto"/>
              <w:right w:val="nil"/>
            </w:tcBorders>
            <w:shd w:val="clear" w:color="auto" w:fill="auto"/>
            <w:noWrap/>
            <w:vAlign w:val="bottom"/>
            <w:hideMark/>
          </w:tcPr>
          <w:p w14:paraId="2435572B" w14:textId="77777777" w:rsidR="00453893" w:rsidRPr="009D4937" w:rsidRDefault="00453893" w:rsidP="00453893">
            <w:pPr>
              <w:rPr>
                <w:rFonts w:cs="Times New Roman"/>
                <w:sz w:val="18"/>
                <w:szCs w:val="18"/>
              </w:rPr>
            </w:pPr>
            <w:r w:rsidRPr="009D4937">
              <w:rPr>
                <w:rFonts w:cs="Times New Roman"/>
                <w:sz w:val="18"/>
                <w:szCs w:val="18"/>
              </w:rPr>
              <w:t>Required RE Gen (GWh)</w:t>
            </w:r>
          </w:p>
        </w:tc>
        <w:tc>
          <w:tcPr>
            <w:tcW w:w="1160" w:type="dxa"/>
            <w:tcBorders>
              <w:top w:val="single" w:sz="4" w:space="0" w:color="auto"/>
              <w:left w:val="nil"/>
              <w:bottom w:val="single" w:sz="4" w:space="0" w:color="auto"/>
              <w:right w:val="nil"/>
            </w:tcBorders>
            <w:shd w:val="clear" w:color="auto" w:fill="auto"/>
            <w:noWrap/>
            <w:vAlign w:val="bottom"/>
            <w:hideMark/>
          </w:tcPr>
          <w:p w14:paraId="2D5DCA70" w14:textId="77777777" w:rsidR="00453893" w:rsidRPr="009D4937" w:rsidRDefault="00453893" w:rsidP="00453893">
            <w:pPr>
              <w:rPr>
                <w:rFonts w:cs="Times New Roman"/>
                <w:sz w:val="18"/>
                <w:szCs w:val="18"/>
              </w:rPr>
            </w:pPr>
            <w:r w:rsidRPr="009D4937">
              <w:rPr>
                <w:rFonts w:cs="Times New Roman"/>
                <w:sz w:val="18"/>
                <w:szCs w:val="18"/>
              </w:rPr>
              <w:t>7,500</w:t>
            </w:r>
          </w:p>
        </w:tc>
        <w:tc>
          <w:tcPr>
            <w:tcW w:w="1360" w:type="dxa"/>
            <w:tcBorders>
              <w:top w:val="single" w:sz="4" w:space="0" w:color="auto"/>
              <w:left w:val="nil"/>
              <w:bottom w:val="single" w:sz="4" w:space="0" w:color="auto"/>
              <w:right w:val="nil"/>
            </w:tcBorders>
            <w:shd w:val="clear" w:color="auto" w:fill="auto"/>
            <w:noWrap/>
            <w:vAlign w:val="bottom"/>
            <w:hideMark/>
          </w:tcPr>
          <w:p w14:paraId="022BFEE9" w14:textId="77777777" w:rsidR="00453893" w:rsidRPr="009D4937" w:rsidRDefault="00453893" w:rsidP="00453893">
            <w:pPr>
              <w:rPr>
                <w:rFonts w:cs="Times New Roman"/>
                <w:sz w:val="18"/>
                <w:szCs w:val="18"/>
              </w:rPr>
            </w:pPr>
            <w:r w:rsidRPr="009D4937">
              <w:rPr>
                <w:rFonts w:cs="Times New Roman"/>
                <w:sz w:val="18"/>
                <w:szCs w:val="18"/>
              </w:rPr>
              <w:t>8,360</w:t>
            </w:r>
          </w:p>
        </w:tc>
        <w:tc>
          <w:tcPr>
            <w:tcW w:w="1005" w:type="dxa"/>
            <w:tcBorders>
              <w:top w:val="single" w:sz="4" w:space="0" w:color="auto"/>
              <w:left w:val="nil"/>
              <w:bottom w:val="single" w:sz="4" w:space="0" w:color="auto"/>
              <w:right w:val="nil"/>
            </w:tcBorders>
            <w:shd w:val="clear" w:color="auto" w:fill="auto"/>
            <w:noWrap/>
            <w:vAlign w:val="bottom"/>
            <w:hideMark/>
          </w:tcPr>
          <w:p w14:paraId="6CDEEA69" w14:textId="77777777" w:rsidR="00453893" w:rsidRPr="009D4937" w:rsidRDefault="00453893" w:rsidP="00453893">
            <w:pPr>
              <w:rPr>
                <w:rFonts w:cs="Times New Roman"/>
                <w:sz w:val="18"/>
                <w:szCs w:val="18"/>
              </w:rPr>
            </w:pPr>
            <w:r w:rsidRPr="009D4937">
              <w:rPr>
                <w:rFonts w:cs="Times New Roman"/>
                <w:sz w:val="18"/>
                <w:szCs w:val="18"/>
              </w:rPr>
              <w:t>9,240</w:t>
            </w:r>
          </w:p>
        </w:tc>
        <w:tc>
          <w:tcPr>
            <w:tcW w:w="1170" w:type="dxa"/>
            <w:tcBorders>
              <w:top w:val="single" w:sz="4" w:space="0" w:color="auto"/>
              <w:left w:val="nil"/>
              <w:bottom w:val="single" w:sz="4" w:space="0" w:color="auto"/>
              <w:right w:val="nil"/>
            </w:tcBorders>
            <w:shd w:val="clear" w:color="auto" w:fill="auto"/>
            <w:noWrap/>
            <w:vAlign w:val="bottom"/>
            <w:hideMark/>
          </w:tcPr>
          <w:p w14:paraId="3ED3C013" w14:textId="77777777" w:rsidR="00453893" w:rsidRPr="009D4937" w:rsidRDefault="00453893" w:rsidP="00453893">
            <w:pPr>
              <w:rPr>
                <w:rFonts w:cs="Times New Roman"/>
                <w:sz w:val="18"/>
                <w:szCs w:val="18"/>
              </w:rPr>
            </w:pPr>
            <w:r w:rsidRPr="009D4937">
              <w:rPr>
                <w:rFonts w:cs="Times New Roman"/>
                <w:sz w:val="18"/>
                <w:szCs w:val="18"/>
              </w:rPr>
              <w:t>10,140</w:t>
            </w:r>
          </w:p>
        </w:tc>
        <w:tc>
          <w:tcPr>
            <w:tcW w:w="1260" w:type="dxa"/>
            <w:tcBorders>
              <w:top w:val="single" w:sz="4" w:space="0" w:color="auto"/>
              <w:left w:val="nil"/>
              <w:bottom w:val="single" w:sz="4" w:space="0" w:color="auto"/>
              <w:right w:val="nil"/>
            </w:tcBorders>
            <w:shd w:val="clear" w:color="auto" w:fill="auto"/>
            <w:noWrap/>
            <w:vAlign w:val="bottom"/>
            <w:hideMark/>
          </w:tcPr>
          <w:p w14:paraId="5C7C621B" w14:textId="77777777" w:rsidR="00453893" w:rsidRPr="009D4937" w:rsidRDefault="00453893" w:rsidP="00453893">
            <w:pPr>
              <w:rPr>
                <w:rFonts w:cs="Times New Roman"/>
                <w:sz w:val="18"/>
                <w:szCs w:val="18"/>
              </w:rPr>
            </w:pPr>
            <w:r w:rsidRPr="009D4937">
              <w:rPr>
                <w:rFonts w:cs="Times New Roman"/>
                <w:sz w:val="18"/>
                <w:szCs w:val="18"/>
              </w:rPr>
              <w:t>11,060</w:t>
            </w:r>
          </w:p>
        </w:tc>
        <w:tc>
          <w:tcPr>
            <w:tcW w:w="990" w:type="dxa"/>
            <w:tcBorders>
              <w:top w:val="single" w:sz="4" w:space="0" w:color="auto"/>
              <w:left w:val="nil"/>
              <w:bottom w:val="single" w:sz="4" w:space="0" w:color="auto"/>
              <w:right w:val="nil"/>
            </w:tcBorders>
            <w:shd w:val="clear" w:color="auto" w:fill="auto"/>
            <w:noWrap/>
            <w:vAlign w:val="bottom"/>
            <w:hideMark/>
          </w:tcPr>
          <w:p w14:paraId="2ACC9168" w14:textId="77777777" w:rsidR="00453893" w:rsidRPr="009D4937" w:rsidRDefault="00453893" w:rsidP="00453893">
            <w:pPr>
              <w:rPr>
                <w:rFonts w:cs="Times New Roman"/>
                <w:sz w:val="18"/>
                <w:szCs w:val="18"/>
              </w:rPr>
            </w:pPr>
            <w:r w:rsidRPr="009D4937">
              <w:rPr>
                <w:rFonts w:cs="Times New Roman"/>
                <w:sz w:val="18"/>
                <w:szCs w:val="18"/>
              </w:rPr>
              <w:t>12,000</w:t>
            </w:r>
          </w:p>
        </w:tc>
      </w:tr>
      <w:tr w:rsidR="00453893" w:rsidRPr="009D4937" w14:paraId="2FEB7F8D" w14:textId="77777777" w:rsidTr="00453893">
        <w:tc>
          <w:tcPr>
            <w:tcW w:w="3060" w:type="dxa"/>
            <w:tcBorders>
              <w:top w:val="single" w:sz="4" w:space="0" w:color="auto"/>
              <w:left w:val="nil"/>
              <w:bottom w:val="single" w:sz="4" w:space="0" w:color="auto"/>
              <w:right w:val="nil"/>
            </w:tcBorders>
            <w:shd w:val="clear" w:color="auto" w:fill="auto"/>
            <w:noWrap/>
            <w:vAlign w:val="bottom"/>
            <w:hideMark/>
          </w:tcPr>
          <w:p w14:paraId="7CAC5C4B" w14:textId="77777777" w:rsidR="00453893" w:rsidRPr="009D4937" w:rsidRDefault="00453893" w:rsidP="00453893">
            <w:pPr>
              <w:rPr>
                <w:rFonts w:cs="Times New Roman"/>
                <w:sz w:val="18"/>
                <w:szCs w:val="18"/>
              </w:rPr>
            </w:pPr>
            <w:r w:rsidRPr="009D4937">
              <w:rPr>
                <w:rFonts w:cs="Times New Roman"/>
                <w:sz w:val="18"/>
                <w:szCs w:val="18"/>
              </w:rPr>
              <w:t>CPP Ineligible RE Gen (GWh)</w:t>
            </w:r>
          </w:p>
        </w:tc>
        <w:tc>
          <w:tcPr>
            <w:tcW w:w="1160" w:type="dxa"/>
            <w:tcBorders>
              <w:top w:val="single" w:sz="4" w:space="0" w:color="auto"/>
              <w:left w:val="nil"/>
              <w:bottom w:val="single" w:sz="4" w:space="0" w:color="auto"/>
              <w:right w:val="nil"/>
            </w:tcBorders>
            <w:shd w:val="clear" w:color="auto" w:fill="auto"/>
            <w:noWrap/>
            <w:hideMark/>
          </w:tcPr>
          <w:p w14:paraId="7B5DA9E5" w14:textId="77777777" w:rsidR="00453893" w:rsidRPr="009D4937" w:rsidRDefault="00453893" w:rsidP="00453893">
            <w:pPr>
              <w:rPr>
                <w:rFonts w:cs="Times New Roman"/>
                <w:sz w:val="18"/>
                <w:szCs w:val="18"/>
              </w:rPr>
            </w:pPr>
            <w:r w:rsidRPr="009D4937">
              <w:rPr>
                <w:rFonts w:cs="Times New Roman"/>
                <w:sz w:val="18"/>
                <w:szCs w:val="18"/>
              </w:rPr>
              <w:t>500</w:t>
            </w:r>
          </w:p>
        </w:tc>
        <w:tc>
          <w:tcPr>
            <w:tcW w:w="1360" w:type="dxa"/>
            <w:tcBorders>
              <w:top w:val="single" w:sz="4" w:space="0" w:color="auto"/>
              <w:left w:val="nil"/>
              <w:bottom w:val="single" w:sz="4" w:space="0" w:color="auto"/>
              <w:right w:val="nil"/>
            </w:tcBorders>
            <w:shd w:val="clear" w:color="auto" w:fill="auto"/>
            <w:noWrap/>
            <w:hideMark/>
          </w:tcPr>
          <w:p w14:paraId="534BB1BF" w14:textId="77777777" w:rsidR="00453893" w:rsidRPr="009D4937" w:rsidRDefault="00453893" w:rsidP="00453893">
            <w:pPr>
              <w:rPr>
                <w:rFonts w:cs="Times New Roman"/>
                <w:sz w:val="18"/>
                <w:szCs w:val="18"/>
              </w:rPr>
            </w:pPr>
            <w:r w:rsidRPr="009D4937">
              <w:rPr>
                <w:rFonts w:cs="Times New Roman"/>
                <w:sz w:val="18"/>
                <w:szCs w:val="18"/>
              </w:rPr>
              <w:t>500</w:t>
            </w:r>
          </w:p>
        </w:tc>
        <w:tc>
          <w:tcPr>
            <w:tcW w:w="1005" w:type="dxa"/>
            <w:tcBorders>
              <w:top w:val="single" w:sz="4" w:space="0" w:color="auto"/>
              <w:left w:val="nil"/>
              <w:bottom w:val="single" w:sz="4" w:space="0" w:color="auto"/>
              <w:right w:val="nil"/>
            </w:tcBorders>
            <w:shd w:val="clear" w:color="auto" w:fill="auto"/>
            <w:noWrap/>
            <w:hideMark/>
          </w:tcPr>
          <w:p w14:paraId="19EEDA76" w14:textId="77777777" w:rsidR="00453893" w:rsidRPr="009D4937" w:rsidRDefault="00453893" w:rsidP="00453893">
            <w:pPr>
              <w:rPr>
                <w:rFonts w:cs="Times New Roman"/>
                <w:sz w:val="18"/>
                <w:szCs w:val="18"/>
              </w:rPr>
            </w:pPr>
            <w:r w:rsidRPr="009D4937">
              <w:rPr>
                <w:rFonts w:cs="Times New Roman"/>
                <w:sz w:val="18"/>
                <w:szCs w:val="18"/>
              </w:rPr>
              <w:t>500</w:t>
            </w:r>
          </w:p>
        </w:tc>
        <w:tc>
          <w:tcPr>
            <w:tcW w:w="1170" w:type="dxa"/>
            <w:tcBorders>
              <w:top w:val="single" w:sz="4" w:space="0" w:color="auto"/>
              <w:left w:val="nil"/>
              <w:bottom w:val="single" w:sz="4" w:space="0" w:color="auto"/>
              <w:right w:val="nil"/>
            </w:tcBorders>
            <w:shd w:val="clear" w:color="auto" w:fill="auto"/>
            <w:noWrap/>
            <w:hideMark/>
          </w:tcPr>
          <w:p w14:paraId="7B3F8DD2" w14:textId="77777777" w:rsidR="00453893" w:rsidRPr="009D4937" w:rsidRDefault="00453893" w:rsidP="00453893">
            <w:pPr>
              <w:rPr>
                <w:rFonts w:cs="Times New Roman"/>
                <w:sz w:val="18"/>
                <w:szCs w:val="18"/>
              </w:rPr>
            </w:pPr>
            <w:r w:rsidRPr="009D4937">
              <w:rPr>
                <w:rFonts w:cs="Times New Roman"/>
                <w:sz w:val="18"/>
                <w:szCs w:val="18"/>
              </w:rPr>
              <w:t>500</w:t>
            </w:r>
          </w:p>
        </w:tc>
        <w:tc>
          <w:tcPr>
            <w:tcW w:w="1260" w:type="dxa"/>
            <w:tcBorders>
              <w:top w:val="single" w:sz="4" w:space="0" w:color="auto"/>
              <w:left w:val="nil"/>
              <w:bottom w:val="single" w:sz="4" w:space="0" w:color="auto"/>
              <w:right w:val="nil"/>
            </w:tcBorders>
            <w:shd w:val="clear" w:color="auto" w:fill="auto"/>
            <w:noWrap/>
            <w:hideMark/>
          </w:tcPr>
          <w:p w14:paraId="5030B0E4" w14:textId="77777777" w:rsidR="00453893" w:rsidRPr="009D4937" w:rsidRDefault="00453893" w:rsidP="00453893">
            <w:pPr>
              <w:rPr>
                <w:rFonts w:cs="Times New Roman"/>
                <w:sz w:val="18"/>
                <w:szCs w:val="18"/>
              </w:rPr>
            </w:pPr>
            <w:r w:rsidRPr="009D4937">
              <w:rPr>
                <w:rFonts w:cs="Times New Roman"/>
                <w:sz w:val="18"/>
                <w:szCs w:val="18"/>
              </w:rPr>
              <w:t>500</w:t>
            </w:r>
          </w:p>
        </w:tc>
        <w:tc>
          <w:tcPr>
            <w:tcW w:w="990" w:type="dxa"/>
            <w:tcBorders>
              <w:top w:val="single" w:sz="4" w:space="0" w:color="auto"/>
              <w:left w:val="nil"/>
              <w:bottom w:val="single" w:sz="4" w:space="0" w:color="auto"/>
              <w:right w:val="nil"/>
            </w:tcBorders>
            <w:shd w:val="clear" w:color="auto" w:fill="auto"/>
            <w:noWrap/>
            <w:hideMark/>
          </w:tcPr>
          <w:p w14:paraId="76FF018D" w14:textId="77777777" w:rsidR="00453893" w:rsidRPr="009D4937" w:rsidRDefault="00453893" w:rsidP="00453893">
            <w:pPr>
              <w:rPr>
                <w:rFonts w:cs="Times New Roman"/>
                <w:sz w:val="18"/>
                <w:szCs w:val="18"/>
              </w:rPr>
            </w:pPr>
            <w:r w:rsidRPr="009D4937">
              <w:rPr>
                <w:rFonts w:cs="Times New Roman"/>
                <w:sz w:val="18"/>
                <w:szCs w:val="18"/>
              </w:rPr>
              <w:t>500</w:t>
            </w:r>
          </w:p>
        </w:tc>
      </w:tr>
      <w:tr w:rsidR="00453893" w:rsidRPr="009D4937" w14:paraId="7F139599" w14:textId="77777777" w:rsidTr="00453893">
        <w:tc>
          <w:tcPr>
            <w:tcW w:w="3060" w:type="dxa"/>
            <w:tcBorders>
              <w:top w:val="single" w:sz="4" w:space="0" w:color="auto"/>
              <w:left w:val="nil"/>
              <w:bottom w:val="single" w:sz="4" w:space="0" w:color="auto"/>
              <w:right w:val="nil"/>
            </w:tcBorders>
            <w:shd w:val="clear" w:color="auto" w:fill="auto"/>
            <w:noWrap/>
            <w:vAlign w:val="bottom"/>
            <w:hideMark/>
          </w:tcPr>
          <w:p w14:paraId="78890B7A" w14:textId="77777777" w:rsidR="00453893" w:rsidRPr="009D4937" w:rsidRDefault="00453893" w:rsidP="00453893">
            <w:pPr>
              <w:rPr>
                <w:rFonts w:cs="Times New Roman"/>
                <w:sz w:val="18"/>
                <w:szCs w:val="18"/>
              </w:rPr>
            </w:pPr>
            <w:r w:rsidRPr="009D4937">
              <w:rPr>
                <w:rFonts w:cs="Times New Roman"/>
                <w:sz w:val="18"/>
                <w:szCs w:val="18"/>
              </w:rPr>
              <w:t>CPP Eligible RE Gen (GWh)</w:t>
            </w:r>
          </w:p>
        </w:tc>
        <w:tc>
          <w:tcPr>
            <w:tcW w:w="1160" w:type="dxa"/>
            <w:tcBorders>
              <w:top w:val="single" w:sz="4" w:space="0" w:color="auto"/>
              <w:left w:val="nil"/>
              <w:bottom w:val="single" w:sz="4" w:space="0" w:color="auto"/>
              <w:right w:val="nil"/>
            </w:tcBorders>
            <w:shd w:val="clear" w:color="auto" w:fill="auto"/>
            <w:noWrap/>
            <w:hideMark/>
          </w:tcPr>
          <w:p w14:paraId="3C8A3D8F" w14:textId="77777777" w:rsidR="00453893" w:rsidRPr="009D4937" w:rsidRDefault="00453893" w:rsidP="00453893">
            <w:pPr>
              <w:rPr>
                <w:rFonts w:cs="Times New Roman"/>
                <w:sz w:val="18"/>
                <w:szCs w:val="18"/>
              </w:rPr>
            </w:pPr>
            <w:r w:rsidRPr="009D4937">
              <w:rPr>
                <w:rFonts w:cs="Times New Roman"/>
                <w:sz w:val="18"/>
                <w:szCs w:val="18"/>
              </w:rPr>
              <w:t>7,000</w:t>
            </w:r>
          </w:p>
        </w:tc>
        <w:tc>
          <w:tcPr>
            <w:tcW w:w="1360" w:type="dxa"/>
            <w:tcBorders>
              <w:top w:val="single" w:sz="4" w:space="0" w:color="auto"/>
              <w:left w:val="nil"/>
              <w:bottom w:val="single" w:sz="4" w:space="0" w:color="auto"/>
              <w:right w:val="nil"/>
            </w:tcBorders>
            <w:shd w:val="clear" w:color="auto" w:fill="auto"/>
            <w:noWrap/>
            <w:hideMark/>
          </w:tcPr>
          <w:p w14:paraId="1E6862B4" w14:textId="77777777" w:rsidR="00453893" w:rsidRPr="009D4937" w:rsidRDefault="00453893" w:rsidP="00453893">
            <w:pPr>
              <w:rPr>
                <w:rFonts w:cs="Times New Roman"/>
                <w:sz w:val="18"/>
                <w:szCs w:val="18"/>
              </w:rPr>
            </w:pPr>
            <w:r w:rsidRPr="009D4937">
              <w:rPr>
                <w:rFonts w:cs="Times New Roman"/>
                <w:sz w:val="18"/>
                <w:szCs w:val="18"/>
              </w:rPr>
              <w:t>7,860</w:t>
            </w:r>
          </w:p>
        </w:tc>
        <w:tc>
          <w:tcPr>
            <w:tcW w:w="1005" w:type="dxa"/>
            <w:tcBorders>
              <w:top w:val="single" w:sz="4" w:space="0" w:color="auto"/>
              <w:left w:val="nil"/>
              <w:bottom w:val="single" w:sz="4" w:space="0" w:color="auto"/>
              <w:right w:val="nil"/>
            </w:tcBorders>
            <w:shd w:val="clear" w:color="auto" w:fill="auto"/>
            <w:noWrap/>
            <w:hideMark/>
          </w:tcPr>
          <w:p w14:paraId="259F5F5F" w14:textId="77777777" w:rsidR="00453893" w:rsidRPr="009D4937" w:rsidRDefault="00453893" w:rsidP="00453893">
            <w:pPr>
              <w:rPr>
                <w:rFonts w:cs="Times New Roman"/>
                <w:sz w:val="18"/>
                <w:szCs w:val="18"/>
              </w:rPr>
            </w:pPr>
            <w:r w:rsidRPr="009D4937">
              <w:rPr>
                <w:rFonts w:cs="Times New Roman"/>
                <w:sz w:val="18"/>
                <w:szCs w:val="18"/>
              </w:rPr>
              <w:t>8,740</w:t>
            </w:r>
          </w:p>
        </w:tc>
        <w:tc>
          <w:tcPr>
            <w:tcW w:w="1170" w:type="dxa"/>
            <w:tcBorders>
              <w:top w:val="single" w:sz="4" w:space="0" w:color="auto"/>
              <w:left w:val="nil"/>
              <w:bottom w:val="single" w:sz="4" w:space="0" w:color="auto"/>
              <w:right w:val="nil"/>
            </w:tcBorders>
            <w:shd w:val="clear" w:color="auto" w:fill="auto"/>
            <w:noWrap/>
            <w:hideMark/>
          </w:tcPr>
          <w:p w14:paraId="6E1A7A07" w14:textId="77777777" w:rsidR="00453893" w:rsidRPr="009D4937" w:rsidRDefault="00453893" w:rsidP="00453893">
            <w:pPr>
              <w:rPr>
                <w:rFonts w:cs="Times New Roman"/>
                <w:sz w:val="18"/>
                <w:szCs w:val="18"/>
              </w:rPr>
            </w:pPr>
            <w:r w:rsidRPr="009D4937">
              <w:rPr>
                <w:rFonts w:cs="Times New Roman"/>
                <w:sz w:val="18"/>
                <w:szCs w:val="18"/>
              </w:rPr>
              <w:t>9,640</w:t>
            </w:r>
          </w:p>
        </w:tc>
        <w:tc>
          <w:tcPr>
            <w:tcW w:w="1260" w:type="dxa"/>
            <w:tcBorders>
              <w:top w:val="single" w:sz="4" w:space="0" w:color="auto"/>
              <w:left w:val="nil"/>
              <w:bottom w:val="single" w:sz="4" w:space="0" w:color="auto"/>
              <w:right w:val="nil"/>
            </w:tcBorders>
            <w:shd w:val="clear" w:color="auto" w:fill="auto"/>
            <w:noWrap/>
            <w:hideMark/>
          </w:tcPr>
          <w:p w14:paraId="08C8596E" w14:textId="77777777" w:rsidR="00453893" w:rsidRPr="009D4937" w:rsidRDefault="00453893" w:rsidP="00453893">
            <w:pPr>
              <w:rPr>
                <w:rFonts w:cs="Times New Roman"/>
                <w:sz w:val="18"/>
                <w:szCs w:val="18"/>
              </w:rPr>
            </w:pPr>
            <w:r w:rsidRPr="009D4937">
              <w:rPr>
                <w:rFonts w:cs="Times New Roman"/>
                <w:sz w:val="18"/>
                <w:szCs w:val="18"/>
              </w:rPr>
              <w:t>10,560</w:t>
            </w:r>
          </w:p>
        </w:tc>
        <w:tc>
          <w:tcPr>
            <w:tcW w:w="990" w:type="dxa"/>
            <w:tcBorders>
              <w:top w:val="single" w:sz="4" w:space="0" w:color="auto"/>
              <w:left w:val="nil"/>
              <w:bottom w:val="single" w:sz="4" w:space="0" w:color="auto"/>
              <w:right w:val="nil"/>
            </w:tcBorders>
            <w:shd w:val="clear" w:color="auto" w:fill="auto"/>
            <w:noWrap/>
            <w:hideMark/>
          </w:tcPr>
          <w:p w14:paraId="091B803F" w14:textId="77777777" w:rsidR="00453893" w:rsidRPr="009D4937" w:rsidRDefault="00453893" w:rsidP="00453893">
            <w:pPr>
              <w:rPr>
                <w:rFonts w:cs="Times New Roman"/>
                <w:sz w:val="18"/>
                <w:szCs w:val="18"/>
              </w:rPr>
            </w:pPr>
            <w:r w:rsidRPr="009D4937">
              <w:rPr>
                <w:rFonts w:cs="Times New Roman"/>
                <w:sz w:val="18"/>
                <w:szCs w:val="18"/>
              </w:rPr>
              <w:t>11,500</w:t>
            </w:r>
          </w:p>
        </w:tc>
      </w:tr>
    </w:tbl>
    <w:p w14:paraId="2D5F0EF0" w14:textId="77777777" w:rsidR="00453893" w:rsidRPr="00453893" w:rsidRDefault="00453893" w:rsidP="00453893">
      <w:pPr>
        <w:rPr>
          <w:rFonts w:ascii="Times New Roman" w:hAnsi="Times New Roman" w:cs="Times New Roman"/>
          <w:sz w:val="24"/>
          <w:szCs w:val="24"/>
        </w:rPr>
      </w:pPr>
    </w:p>
    <w:p w14:paraId="2633A5AD" w14:textId="66F6306F" w:rsidR="00E56B50" w:rsidRPr="00D65A3B" w:rsidRDefault="00CA2FE5" w:rsidP="00C87A1B">
      <w:pPr>
        <w:spacing w:after="0" w:line="240" w:lineRule="auto"/>
        <w:ind w:left="360" w:firstLine="360"/>
        <w:rPr>
          <w:rFonts w:ascii="Times New Roman" w:hAnsi="Times New Roman" w:cs="Times New Roman"/>
          <w:b/>
          <w:sz w:val="24"/>
          <w:szCs w:val="24"/>
        </w:rPr>
      </w:pPr>
      <w:r w:rsidRPr="00D65A3B">
        <w:rPr>
          <w:rFonts w:ascii="Times New Roman" w:hAnsi="Times New Roman" w:cs="Times New Roman"/>
          <w:b/>
          <w:sz w:val="24"/>
          <w:szCs w:val="24"/>
        </w:rPr>
        <w:t xml:space="preserve">2. </w:t>
      </w:r>
      <w:r w:rsidR="00E56B50" w:rsidRPr="00D65A3B">
        <w:rPr>
          <w:rFonts w:ascii="Times New Roman" w:hAnsi="Times New Roman" w:cs="Times New Roman"/>
          <w:b/>
          <w:sz w:val="24"/>
          <w:szCs w:val="24"/>
        </w:rPr>
        <w:t>RPS with Annual Targets Specified in Absolute Capacity Terms (MW)</w:t>
      </w:r>
    </w:p>
    <w:p w14:paraId="26679825" w14:textId="77777777" w:rsidR="00E56B50" w:rsidRPr="00D65A3B" w:rsidRDefault="00E56B50" w:rsidP="00E56B50">
      <w:pPr>
        <w:spacing w:after="0" w:line="240" w:lineRule="auto"/>
        <w:ind w:left="360"/>
        <w:rPr>
          <w:rFonts w:ascii="Times New Roman" w:hAnsi="Times New Roman" w:cs="Times New Roman"/>
          <w:sz w:val="24"/>
          <w:szCs w:val="24"/>
        </w:rPr>
      </w:pPr>
    </w:p>
    <w:p w14:paraId="6F44830E" w14:textId="37118FDD" w:rsidR="00E56B50" w:rsidRPr="00D65A3B" w:rsidRDefault="00E56B50" w:rsidP="00CA2FE5">
      <w:pPr>
        <w:spacing w:after="0" w:line="36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RPS policies often include technology “carve-outs” that specify required contributions of </w:t>
      </w:r>
      <w:r w:rsidR="00674E76">
        <w:rPr>
          <w:rFonts w:ascii="Times New Roman" w:hAnsi="Times New Roman" w:cs="Times New Roman"/>
          <w:sz w:val="24"/>
          <w:szCs w:val="24"/>
        </w:rPr>
        <w:t xml:space="preserve">particular </w:t>
      </w:r>
      <w:r w:rsidRPr="00D65A3B">
        <w:rPr>
          <w:rFonts w:ascii="Times New Roman" w:hAnsi="Times New Roman" w:cs="Times New Roman"/>
          <w:sz w:val="24"/>
          <w:szCs w:val="24"/>
        </w:rPr>
        <w:t>technology types</w:t>
      </w:r>
      <w:r w:rsidR="00587E42">
        <w:rPr>
          <w:rFonts w:ascii="Times New Roman" w:hAnsi="Times New Roman" w:cs="Times New Roman"/>
          <w:sz w:val="24"/>
          <w:szCs w:val="24"/>
        </w:rPr>
        <w:t xml:space="preserve">. </w:t>
      </w:r>
      <w:r w:rsidR="00592143">
        <w:rPr>
          <w:rFonts w:ascii="Times New Roman" w:hAnsi="Times New Roman" w:cs="Times New Roman"/>
          <w:sz w:val="24"/>
          <w:szCs w:val="24"/>
        </w:rPr>
        <w:t>E</w:t>
      </w:r>
      <w:r w:rsidRPr="00D65A3B">
        <w:rPr>
          <w:rFonts w:ascii="Times New Roman" w:hAnsi="Times New Roman" w:cs="Times New Roman"/>
          <w:sz w:val="24"/>
          <w:szCs w:val="24"/>
        </w:rPr>
        <w:t>ven where these carve-outs are not specified, many different technologies can contribute to meet an RPS</w:t>
      </w:r>
      <w:r w:rsidR="00587E42">
        <w:rPr>
          <w:rFonts w:ascii="Times New Roman" w:hAnsi="Times New Roman" w:cs="Times New Roman"/>
          <w:sz w:val="24"/>
          <w:szCs w:val="24"/>
        </w:rPr>
        <w:t xml:space="preserve">. </w:t>
      </w:r>
      <w:r w:rsidRPr="00D65A3B">
        <w:rPr>
          <w:rFonts w:ascii="Times New Roman" w:hAnsi="Times New Roman" w:cs="Times New Roman"/>
          <w:sz w:val="24"/>
          <w:szCs w:val="24"/>
        </w:rPr>
        <w:t xml:space="preserve">The formula below </w:t>
      </w:r>
      <w:r w:rsidR="00674E76">
        <w:rPr>
          <w:rFonts w:ascii="Times New Roman" w:hAnsi="Times New Roman" w:cs="Times New Roman"/>
          <w:sz w:val="24"/>
          <w:szCs w:val="24"/>
        </w:rPr>
        <w:t>illustrates</w:t>
      </w:r>
      <w:r w:rsidR="00344301">
        <w:rPr>
          <w:rFonts w:ascii="Times New Roman" w:hAnsi="Times New Roman" w:cs="Times New Roman"/>
          <w:sz w:val="24"/>
          <w:szCs w:val="24"/>
        </w:rPr>
        <w:t xml:space="preserve"> three</w:t>
      </w:r>
      <w:r w:rsidRPr="00D65A3B">
        <w:rPr>
          <w:rFonts w:ascii="Times New Roman" w:hAnsi="Times New Roman" w:cs="Times New Roman"/>
          <w:sz w:val="24"/>
          <w:szCs w:val="24"/>
        </w:rPr>
        <w:t xml:space="preserve"> different technologies contributing to an RPS</w:t>
      </w:r>
      <w:r w:rsidR="00587E42">
        <w:rPr>
          <w:rFonts w:ascii="Times New Roman" w:hAnsi="Times New Roman" w:cs="Times New Roman"/>
          <w:sz w:val="24"/>
          <w:szCs w:val="24"/>
        </w:rPr>
        <w:t xml:space="preserve">. </w:t>
      </w:r>
      <w:r w:rsidRPr="00D65A3B">
        <w:rPr>
          <w:rFonts w:ascii="Times New Roman" w:hAnsi="Times New Roman" w:cs="Times New Roman"/>
          <w:sz w:val="24"/>
          <w:szCs w:val="24"/>
        </w:rPr>
        <w:t xml:space="preserve">The distinction between technology types is important in calculating </w:t>
      </w:r>
      <w:r w:rsidR="00B15D0E">
        <w:rPr>
          <w:rFonts w:ascii="Times New Roman" w:hAnsi="Times New Roman" w:cs="Times New Roman"/>
          <w:sz w:val="24"/>
          <w:szCs w:val="24"/>
        </w:rPr>
        <w:t>RE</w:t>
      </w:r>
      <w:r w:rsidRPr="00D65A3B" w:rsidDel="00527B8E">
        <w:rPr>
          <w:rFonts w:ascii="Times New Roman" w:hAnsi="Times New Roman" w:cs="Times New Roman"/>
          <w:sz w:val="24"/>
          <w:szCs w:val="24"/>
        </w:rPr>
        <w:t xml:space="preserve"> </w:t>
      </w:r>
      <w:r w:rsidR="00527B8E">
        <w:rPr>
          <w:rFonts w:ascii="Times New Roman" w:hAnsi="Times New Roman" w:cs="Times New Roman"/>
          <w:sz w:val="24"/>
          <w:szCs w:val="24"/>
        </w:rPr>
        <w:t>generation</w:t>
      </w:r>
      <w:r w:rsidR="00527B8E" w:rsidRPr="00D65A3B">
        <w:rPr>
          <w:rFonts w:ascii="Times New Roman" w:hAnsi="Times New Roman" w:cs="Times New Roman"/>
          <w:sz w:val="24"/>
          <w:szCs w:val="24"/>
        </w:rPr>
        <w:t xml:space="preserve"> </w:t>
      </w:r>
      <w:r w:rsidRPr="00D65A3B">
        <w:rPr>
          <w:rFonts w:ascii="Times New Roman" w:hAnsi="Times New Roman" w:cs="Times New Roman"/>
          <w:sz w:val="24"/>
          <w:szCs w:val="24"/>
        </w:rPr>
        <w:t>from a capacity-based RPS due to the differences in the underlying operating characteristics of technologies (i.e., capacity factors)</w:t>
      </w:r>
      <w:r w:rsidR="00587E42">
        <w:rPr>
          <w:rFonts w:ascii="Times New Roman" w:hAnsi="Times New Roman" w:cs="Times New Roman"/>
          <w:sz w:val="24"/>
          <w:szCs w:val="24"/>
        </w:rPr>
        <w:t xml:space="preserve">. </w:t>
      </w:r>
      <w:r w:rsidRPr="00D65A3B">
        <w:rPr>
          <w:rFonts w:ascii="Times New Roman" w:hAnsi="Times New Roman" w:cs="Times New Roman"/>
          <w:sz w:val="24"/>
          <w:szCs w:val="24"/>
        </w:rPr>
        <w:t>Each state should include the number of technology types that best applies to its own RPS design</w:t>
      </w:r>
      <w:r w:rsidR="00587E42">
        <w:rPr>
          <w:rFonts w:ascii="Times New Roman" w:hAnsi="Times New Roman" w:cs="Times New Roman"/>
          <w:sz w:val="24"/>
          <w:szCs w:val="24"/>
        </w:rPr>
        <w:t xml:space="preserve">. </w:t>
      </w:r>
      <w:r w:rsidR="0014320E">
        <w:rPr>
          <w:rFonts w:ascii="Times New Roman" w:hAnsi="Times New Roman" w:cs="Times New Roman"/>
          <w:sz w:val="24"/>
          <w:szCs w:val="24"/>
        </w:rPr>
        <w:t>In</w:t>
      </w:r>
      <w:r w:rsidRPr="00D65A3B">
        <w:rPr>
          <w:rFonts w:ascii="Times New Roman" w:hAnsi="Times New Roman" w:cs="Times New Roman"/>
          <w:sz w:val="24"/>
          <w:szCs w:val="24"/>
        </w:rPr>
        <w:t xml:space="preserve"> this </w:t>
      </w:r>
      <w:r w:rsidR="0014320E">
        <w:rPr>
          <w:rFonts w:ascii="Times New Roman" w:hAnsi="Times New Roman" w:cs="Times New Roman"/>
          <w:sz w:val="24"/>
          <w:szCs w:val="24"/>
        </w:rPr>
        <w:t>example</w:t>
      </w:r>
      <w:r w:rsidRPr="00D65A3B">
        <w:rPr>
          <w:rFonts w:ascii="Times New Roman" w:hAnsi="Times New Roman" w:cs="Times New Roman"/>
          <w:sz w:val="24"/>
          <w:szCs w:val="24"/>
        </w:rPr>
        <w:t xml:space="preserve">, each </w:t>
      </w:r>
      <w:r w:rsidRPr="00D65A3B">
        <w:rPr>
          <w:rFonts w:ascii="Times New Roman" w:hAnsi="Times New Roman" w:cs="Times New Roman"/>
          <w:sz w:val="24"/>
          <w:szCs w:val="24"/>
        </w:rPr>
        <w:lastRenderedPageBreak/>
        <w:t>technology (1, 2, and 3) is a</w:t>
      </w:r>
      <w:r w:rsidR="00DB7298">
        <w:rPr>
          <w:rFonts w:ascii="Times New Roman" w:hAnsi="Times New Roman" w:cs="Times New Roman"/>
          <w:sz w:val="24"/>
          <w:szCs w:val="24"/>
        </w:rPr>
        <w:t>n</w:t>
      </w:r>
      <w:r w:rsidRPr="00D65A3B">
        <w:rPr>
          <w:rFonts w:ascii="Times New Roman" w:hAnsi="Times New Roman" w:cs="Times New Roman"/>
          <w:sz w:val="24"/>
          <w:szCs w:val="24"/>
        </w:rPr>
        <w:t xml:space="preserve"> </w:t>
      </w:r>
      <w:r w:rsidR="00DB7298">
        <w:rPr>
          <w:rFonts w:ascii="Times New Roman" w:hAnsi="Times New Roman" w:cs="Times New Roman"/>
          <w:sz w:val="24"/>
          <w:szCs w:val="24"/>
        </w:rPr>
        <w:t>eligible</w:t>
      </w:r>
      <w:r w:rsidR="00DB7298" w:rsidRPr="00D65A3B">
        <w:rPr>
          <w:rFonts w:ascii="Times New Roman" w:hAnsi="Times New Roman" w:cs="Times New Roman"/>
          <w:sz w:val="24"/>
          <w:szCs w:val="24"/>
        </w:rPr>
        <w:t xml:space="preserve"> </w:t>
      </w:r>
      <w:r w:rsidR="00674E76">
        <w:rPr>
          <w:rFonts w:ascii="Times New Roman" w:hAnsi="Times New Roman" w:cs="Times New Roman"/>
          <w:sz w:val="24"/>
          <w:szCs w:val="24"/>
        </w:rPr>
        <w:t>RE</w:t>
      </w:r>
      <w:r w:rsidRPr="00D65A3B">
        <w:rPr>
          <w:rFonts w:ascii="Times New Roman" w:hAnsi="Times New Roman" w:cs="Times New Roman"/>
          <w:sz w:val="24"/>
          <w:szCs w:val="24"/>
        </w:rPr>
        <w:t xml:space="preserve"> </w:t>
      </w:r>
      <w:r w:rsidR="00550935">
        <w:rPr>
          <w:rFonts w:ascii="Times New Roman" w:hAnsi="Times New Roman" w:cs="Times New Roman"/>
          <w:sz w:val="24"/>
          <w:szCs w:val="24"/>
        </w:rPr>
        <w:t>re</w:t>
      </w:r>
      <w:r w:rsidRPr="00D65A3B">
        <w:rPr>
          <w:rFonts w:ascii="Times New Roman" w:hAnsi="Times New Roman" w:cs="Times New Roman"/>
          <w:sz w:val="24"/>
          <w:szCs w:val="24"/>
        </w:rPr>
        <w:t>source</w:t>
      </w:r>
      <w:r w:rsidR="00550935">
        <w:rPr>
          <w:rFonts w:ascii="Times New Roman" w:hAnsi="Times New Roman" w:cs="Times New Roman"/>
          <w:sz w:val="24"/>
          <w:szCs w:val="24"/>
        </w:rPr>
        <w:t xml:space="preserve"> per the final emission guidelines</w:t>
      </w:r>
      <w:r w:rsidRPr="00D65A3B">
        <w:rPr>
          <w:rFonts w:ascii="Times New Roman" w:hAnsi="Times New Roman" w:cs="Times New Roman"/>
          <w:sz w:val="24"/>
          <w:szCs w:val="24"/>
        </w:rPr>
        <w:t xml:space="preserve">; </w:t>
      </w:r>
      <w:r w:rsidR="00674E76">
        <w:rPr>
          <w:rFonts w:ascii="Times New Roman" w:hAnsi="Times New Roman" w:cs="Times New Roman"/>
          <w:sz w:val="24"/>
          <w:szCs w:val="24"/>
        </w:rPr>
        <w:t>a</w:t>
      </w:r>
      <w:r w:rsidRPr="00D65A3B">
        <w:rPr>
          <w:rFonts w:ascii="Times New Roman" w:hAnsi="Times New Roman" w:cs="Times New Roman"/>
          <w:sz w:val="24"/>
          <w:szCs w:val="24"/>
        </w:rPr>
        <w:t xml:space="preserve"> technolog</w:t>
      </w:r>
      <w:r w:rsidR="00674E76">
        <w:rPr>
          <w:rFonts w:ascii="Times New Roman" w:hAnsi="Times New Roman" w:cs="Times New Roman"/>
          <w:sz w:val="24"/>
          <w:szCs w:val="24"/>
        </w:rPr>
        <w:t>y</w:t>
      </w:r>
      <w:r w:rsidRPr="00D65A3B">
        <w:rPr>
          <w:rFonts w:ascii="Times New Roman" w:hAnsi="Times New Roman" w:cs="Times New Roman"/>
          <w:sz w:val="24"/>
          <w:szCs w:val="24"/>
        </w:rPr>
        <w:t xml:space="preserve"> that </w:t>
      </w:r>
      <w:r w:rsidR="00674E76">
        <w:rPr>
          <w:rFonts w:ascii="Times New Roman" w:hAnsi="Times New Roman" w:cs="Times New Roman"/>
          <w:sz w:val="24"/>
          <w:szCs w:val="24"/>
        </w:rPr>
        <w:t xml:space="preserve">is </w:t>
      </w:r>
      <w:r w:rsidR="00665C0A">
        <w:rPr>
          <w:rFonts w:ascii="Times New Roman" w:hAnsi="Times New Roman" w:cs="Times New Roman"/>
          <w:sz w:val="24"/>
          <w:szCs w:val="24"/>
        </w:rPr>
        <w:t xml:space="preserve">not </w:t>
      </w:r>
      <w:r w:rsidR="00674E76">
        <w:rPr>
          <w:rFonts w:ascii="Times New Roman" w:hAnsi="Times New Roman" w:cs="Times New Roman"/>
          <w:sz w:val="24"/>
          <w:szCs w:val="24"/>
        </w:rPr>
        <w:t xml:space="preserve">an </w:t>
      </w:r>
      <w:r w:rsidR="00665C0A">
        <w:rPr>
          <w:rFonts w:ascii="Times New Roman" w:hAnsi="Times New Roman" w:cs="Times New Roman"/>
          <w:sz w:val="24"/>
          <w:szCs w:val="24"/>
        </w:rPr>
        <w:t xml:space="preserve">eligible RE </w:t>
      </w:r>
      <w:r w:rsidR="00674E76">
        <w:rPr>
          <w:rFonts w:ascii="Times New Roman" w:hAnsi="Times New Roman" w:cs="Times New Roman"/>
          <w:sz w:val="24"/>
          <w:szCs w:val="24"/>
        </w:rPr>
        <w:t>resource</w:t>
      </w:r>
      <w:r w:rsidR="003609BD" w:rsidRPr="00D65A3B">
        <w:rPr>
          <w:rFonts w:ascii="Times New Roman" w:hAnsi="Times New Roman" w:cs="Times New Roman"/>
          <w:sz w:val="24"/>
          <w:szCs w:val="24"/>
        </w:rPr>
        <w:t xml:space="preserve"> </w:t>
      </w:r>
      <w:r w:rsidRPr="00D65A3B">
        <w:rPr>
          <w:rFonts w:ascii="Times New Roman" w:hAnsi="Times New Roman" w:cs="Times New Roman"/>
          <w:sz w:val="24"/>
          <w:szCs w:val="24"/>
        </w:rPr>
        <w:t>should not be included in the formula</w:t>
      </w:r>
      <w:r w:rsidR="00903BF7">
        <w:rPr>
          <w:rFonts w:ascii="Times New Roman" w:hAnsi="Times New Roman" w:cs="Times New Roman"/>
          <w:sz w:val="24"/>
          <w:szCs w:val="24"/>
        </w:rPr>
        <w:t>.</w:t>
      </w:r>
      <w:r w:rsidR="001A72B7">
        <w:rPr>
          <w:rStyle w:val="FootnoteReference"/>
          <w:rFonts w:ascii="Times New Roman" w:hAnsi="Times New Roman" w:cs="Times New Roman"/>
          <w:sz w:val="24"/>
          <w:szCs w:val="24"/>
        </w:rPr>
        <w:footnoteReference w:id="20"/>
      </w:r>
    </w:p>
    <w:p w14:paraId="32649218" w14:textId="77777777" w:rsidR="00DE79F3" w:rsidRPr="00D65A3B" w:rsidRDefault="00DE79F3" w:rsidP="00E56B50">
      <w:pPr>
        <w:spacing w:after="0" w:line="240" w:lineRule="auto"/>
        <w:ind w:left="360"/>
        <w:rPr>
          <w:rFonts w:ascii="Times New Roman" w:hAnsi="Times New Roman" w:cs="Times New Roman"/>
          <w:sz w:val="24"/>
          <w:szCs w:val="24"/>
        </w:rPr>
      </w:pPr>
    </w:p>
    <w:p w14:paraId="57456CAC" w14:textId="6BD87C41" w:rsidR="00DE79F3" w:rsidRPr="00D65A3B" w:rsidRDefault="00DE79F3" w:rsidP="00E56B50">
      <w:pPr>
        <w:spacing w:after="0" w:line="240" w:lineRule="auto"/>
        <w:ind w:left="360"/>
        <w:rPr>
          <w:rFonts w:ascii="Times New Roman" w:hAnsi="Times New Roman" w:cs="Times New Roman"/>
          <w:sz w:val="24"/>
          <w:szCs w:val="24"/>
        </w:rPr>
      </w:pPr>
      <w:r w:rsidRPr="00D65A3B">
        <w:rPr>
          <w:rFonts w:ascii="Times New Roman" w:hAnsi="Times New Roman" w:cs="Times New Roman"/>
          <w:sz w:val="24"/>
          <w:szCs w:val="24"/>
        </w:rPr>
        <w:t xml:space="preserve">A(t) = </w:t>
      </w:r>
      <w:r w:rsidR="00B76473">
        <w:rPr>
          <w:rFonts w:ascii="Times New Roman" w:hAnsi="Times New Roman" w:cs="Times New Roman"/>
          <w:sz w:val="24"/>
          <w:szCs w:val="24"/>
        </w:rPr>
        <w:t>[</w:t>
      </w:r>
      <w:r w:rsidRPr="00D65A3B">
        <w:rPr>
          <w:rFonts w:ascii="Times New Roman" w:hAnsi="Times New Roman" w:cs="Times New Roman"/>
          <w:sz w:val="24"/>
          <w:szCs w:val="24"/>
        </w:rPr>
        <w:t>f</w:t>
      </w:r>
      <w:r w:rsidRPr="00D65A3B">
        <w:rPr>
          <w:rFonts w:ascii="Times New Roman" w:hAnsi="Times New Roman" w:cs="Times New Roman"/>
          <w:sz w:val="24"/>
          <w:szCs w:val="24"/>
          <w:vertAlign w:val="subscript"/>
        </w:rPr>
        <w:t>1</w:t>
      </w:r>
      <w:r w:rsidRPr="00D65A3B">
        <w:rPr>
          <w:rFonts w:ascii="Times New Roman" w:hAnsi="Times New Roman" w:cs="Times New Roman"/>
          <w:sz w:val="24"/>
          <w:szCs w:val="24"/>
        </w:rPr>
        <w:t xml:space="preserve">(t) </w:t>
      </w:r>
      <w:r w:rsidR="008D2DB7">
        <w:rPr>
          <w:rFonts w:ascii="Times New Roman" w:hAnsi="Times New Roman" w:cs="Times New Roman"/>
          <w:sz w:val="24"/>
          <w:szCs w:val="24"/>
        </w:rPr>
        <w:t>x</w:t>
      </w:r>
      <w:r w:rsidRPr="00D65A3B">
        <w:rPr>
          <w:rFonts w:ascii="Times New Roman" w:hAnsi="Times New Roman" w:cs="Times New Roman"/>
          <w:sz w:val="24"/>
          <w:szCs w:val="24"/>
        </w:rPr>
        <w:t xml:space="preserve"> C</w:t>
      </w:r>
      <w:r w:rsidRPr="00D65A3B">
        <w:rPr>
          <w:rFonts w:ascii="Times New Roman" w:hAnsi="Times New Roman" w:cs="Times New Roman"/>
          <w:sz w:val="24"/>
          <w:szCs w:val="24"/>
          <w:vertAlign w:val="subscript"/>
        </w:rPr>
        <w:t>1</w:t>
      </w:r>
      <w:r w:rsidRPr="00D65A3B">
        <w:rPr>
          <w:rFonts w:ascii="Times New Roman" w:hAnsi="Times New Roman" w:cs="Times New Roman"/>
          <w:sz w:val="24"/>
          <w:szCs w:val="24"/>
        </w:rPr>
        <w:t>(t) + f</w:t>
      </w:r>
      <w:r w:rsidRPr="00D65A3B">
        <w:rPr>
          <w:rFonts w:ascii="Times New Roman" w:hAnsi="Times New Roman" w:cs="Times New Roman"/>
          <w:sz w:val="24"/>
          <w:szCs w:val="24"/>
          <w:vertAlign w:val="subscript"/>
        </w:rPr>
        <w:t>2</w:t>
      </w:r>
      <w:r w:rsidRPr="00D65A3B">
        <w:rPr>
          <w:rFonts w:ascii="Times New Roman" w:hAnsi="Times New Roman" w:cs="Times New Roman"/>
          <w:sz w:val="24"/>
          <w:szCs w:val="24"/>
        </w:rPr>
        <w:t xml:space="preserve">(t) </w:t>
      </w:r>
      <w:r w:rsidR="008D2DB7">
        <w:rPr>
          <w:rFonts w:ascii="Times New Roman" w:hAnsi="Times New Roman" w:cs="Times New Roman"/>
          <w:sz w:val="24"/>
          <w:szCs w:val="24"/>
        </w:rPr>
        <w:t>x</w:t>
      </w:r>
      <w:r w:rsidRPr="00D65A3B">
        <w:rPr>
          <w:rFonts w:ascii="Times New Roman" w:hAnsi="Times New Roman" w:cs="Times New Roman"/>
          <w:sz w:val="24"/>
          <w:szCs w:val="24"/>
        </w:rPr>
        <w:t xml:space="preserve"> C</w:t>
      </w:r>
      <w:r w:rsidRPr="00D65A3B">
        <w:rPr>
          <w:rFonts w:ascii="Times New Roman" w:hAnsi="Times New Roman" w:cs="Times New Roman"/>
          <w:sz w:val="24"/>
          <w:szCs w:val="24"/>
          <w:vertAlign w:val="subscript"/>
        </w:rPr>
        <w:t>2</w:t>
      </w:r>
      <w:r w:rsidRPr="00D65A3B">
        <w:rPr>
          <w:rFonts w:ascii="Times New Roman" w:hAnsi="Times New Roman" w:cs="Times New Roman"/>
          <w:sz w:val="24"/>
          <w:szCs w:val="24"/>
        </w:rPr>
        <w:t>(t) + f</w:t>
      </w:r>
      <w:r w:rsidRPr="00D65A3B">
        <w:rPr>
          <w:rFonts w:ascii="Times New Roman" w:hAnsi="Times New Roman" w:cs="Times New Roman"/>
          <w:sz w:val="24"/>
          <w:szCs w:val="24"/>
          <w:vertAlign w:val="subscript"/>
        </w:rPr>
        <w:t>3</w:t>
      </w:r>
      <w:r w:rsidRPr="00D65A3B">
        <w:rPr>
          <w:rFonts w:ascii="Times New Roman" w:hAnsi="Times New Roman" w:cs="Times New Roman"/>
          <w:sz w:val="24"/>
          <w:szCs w:val="24"/>
        </w:rPr>
        <w:t xml:space="preserve">(t) </w:t>
      </w:r>
      <w:r w:rsidR="008D2DB7">
        <w:rPr>
          <w:rFonts w:ascii="Times New Roman" w:hAnsi="Times New Roman" w:cs="Times New Roman"/>
          <w:sz w:val="24"/>
          <w:szCs w:val="24"/>
        </w:rPr>
        <w:t>x</w:t>
      </w:r>
      <w:r w:rsidRPr="00D65A3B">
        <w:rPr>
          <w:rFonts w:ascii="Times New Roman" w:hAnsi="Times New Roman" w:cs="Times New Roman"/>
          <w:sz w:val="24"/>
          <w:szCs w:val="24"/>
        </w:rPr>
        <w:t xml:space="preserve"> C</w:t>
      </w:r>
      <w:r w:rsidRPr="00D65A3B">
        <w:rPr>
          <w:rFonts w:ascii="Times New Roman" w:hAnsi="Times New Roman" w:cs="Times New Roman"/>
          <w:sz w:val="24"/>
          <w:szCs w:val="24"/>
          <w:vertAlign w:val="subscript"/>
        </w:rPr>
        <w:t>3</w:t>
      </w:r>
      <w:r w:rsidRPr="00D65A3B">
        <w:rPr>
          <w:rFonts w:ascii="Times New Roman" w:hAnsi="Times New Roman" w:cs="Times New Roman"/>
          <w:sz w:val="24"/>
          <w:szCs w:val="24"/>
          <w:vertAlign w:val="subscript"/>
        </w:rPr>
        <w:softHyphen/>
      </w:r>
      <w:r w:rsidRPr="00D65A3B">
        <w:rPr>
          <w:rFonts w:ascii="Times New Roman" w:hAnsi="Times New Roman" w:cs="Times New Roman"/>
          <w:sz w:val="24"/>
          <w:szCs w:val="24"/>
        </w:rPr>
        <w:t>(t)</w:t>
      </w:r>
      <w:r w:rsidR="00B76473">
        <w:rPr>
          <w:rFonts w:ascii="Times New Roman" w:hAnsi="Times New Roman" w:cs="Times New Roman"/>
          <w:sz w:val="24"/>
          <w:szCs w:val="24"/>
        </w:rPr>
        <w:t xml:space="preserve">] x </w:t>
      </w:r>
      <w:r w:rsidR="008D2DB7">
        <w:rPr>
          <w:rFonts w:ascii="Times New Roman" w:hAnsi="Times New Roman" w:cs="Times New Roman"/>
          <w:sz w:val="24"/>
          <w:szCs w:val="24"/>
        </w:rPr>
        <w:t>H</w:t>
      </w:r>
    </w:p>
    <w:p w14:paraId="1D66E70A" w14:textId="77777777" w:rsidR="00DE79F3" w:rsidRPr="00D65A3B" w:rsidRDefault="00DE79F3" w:rsidP="00E56B50">
      <w:pPr>
        <w:spacing w:after="0" w:line="240" w:lineRule="auto"/>
        <w:ind w:left="360"/>
        <w:rPr>
          <w:rFonts w:ascii="Times New Roman" w:hAnsi="Times New Roman" w:cs="Times New Roman"/>
          <w:sz w:val="24"/>
          <w:szCs w:val="24"/>
        </w:rPr>
      </w:pPr>
    </w:p>
    <w:p w14:paraId="0FBA3B55" w14:textId="77777777" w:rsidR="00DE79F3" w:rsidRPr="00D65A3B" w:rsidRDefault="00DE79F3" w:rsidP="00E56B50">
      <w:pPr>
        <w:spacing w:after="0" w:line="240" w:lineRule="auto"/>
        <w:ind w:left="360"/>
        <w:rPr>
          <w:rFonts w:ascii="Times New Roman" w:hAnsi="Times New Roman" w:cs="Times New Roman"/>
          <w:sz w:val="24"/>
          <w:szCs w:val="24"/>
        </w:rPr>
      </w:pPr>
      <w:r w:rsidRPr="00D65A3B">
        <w:rPr>
          <w:rFonts w:ascii="Times New Roman" w:hAnsi="Times New Roman" w:cs="Times New Roman"/>
          <w:sz w:val="24"/>
          <w:szCs w:val="24"/>
        </w:rPr>
        <w:t xml:space="preserve">Where: </w:t>
      </w:r>
    </w:p>
    <w:p w14:paraId="7682F767" w14:textId="05F0B2E3" w:rsidR="00DE79F3" w:rsidRPr="00D65A3B" w:rsidRDefault="00E56B50" w:rsidP="00E56B50">
      <w:pPr>
        <w:spacing w:after="0" w:line="240" w:lineRule="auto"/>
        <w:ind w:left="360"/>
        <w:rPr>
          <w:rFonts w:ascii="Times New Roman" w:hAnsi="Times New Roman" w:cs="Times New Roman"/>
          <w:sz w:val="24"/>
          <w:szCs w:val="24"/>
          <w:vertAlign w:val="superscript"/>
        </w:rPr>
      </w:pPr>
      <w:r w:rsidRPr="00D65A3B">
        <w:rPr>
          <w:rFonts w:ascii="Times New Roman" w:hAnsi="Times New Roman" w:cs="Times New Roman"/>
          <w:sz w:val="24"/>
          <w:szCs w:val="24"/>
        </w:rPr>
        <w:t xml:space="preserve">A is the total MWh of </w:t>
      </w:r>
      <w:r w:rsidR="00DC1CE2">
        <w:rPr>
          <w:rFonts w:ascii="Times New Roman" w:hAnsi="Times New Roman" w:cs="Times New Roman"/>
          <w:sz w:val="24"/>
          <w:szCs w:val="24"/>
        </w:rPr>
        <w:t>eligible</w:t>
      </w:r>
      <w:r w:rsidR="00DE79F3" w:rsidRPr="00D65A3B">
        <w:rPr>
          <w:rFonts w:ascii="Times New Roman" w:hAnsi="Times New Roman" w:cs="Times New Roman"/>
          <w:sz w:val="24"/>
          <w:szCs w:val="24"/>
        </w:rPr>
        <w:t xml:space="preserve"> renewable generation in a future year, </w:t>
      </w:r>
      <w:r w:rsidR="00DE79F3" w:rsidRPr="00D65A3B">
        <w:rPr>
          <w:rFonts w:ascii="Times New Roman" w:hAnsi="Times New Roman" w:cs="Times New Roman"/>
          <w:sz w:val="24"/>
          <w:szCs w:val="24"/>
          <w:vertAlign w:val="superscript"/>
        </w:rPr>
        <w:t xml:space="preserve"> </w:t>
      </w:r>
    </w:p>
    <w:p w14:paraId="195A2E38" w14:textId="0B2F82FF" w:rsidR="00DE79F3" w:rsidRPr="00D65A3B" w:rsidRDefault="00DE79F3" w:rsidP="00E56B50">
      <w:pPr>
        <w:spacing w:after="0" w:line="240" w:lineRule="auto"/>
        <w:ind w:left="360"/>
        <w:rPr>
          <w:rFonts w:ascii="Times New Roman" w:hAnsi="Times New Roman" w:cs="Times New Roman"/>
          <w:sz w:val="24"/>
          <w:szCs w:val="24"/>
        </w:rPr>
      </w:pPr>
      <w:r w:rsidRPr="00D65A3B">
        <w:rPr>
          <w:rFonts w:ascii="Times New Roman" w:hAnsi="Times New Roman" w:cs="Times New Roman"/>
          <w:sz w:val="24"/>
          <w:szCs w:val="24"/>
        </w:rPr>
        <w:t>f</w:t>
      </w:r>
      <w:r w:rsidRPr="00D65A3B">
        <w:rPr>
          <w:rFonts w:ascii="Times New Roman" w:hAnsi="Times New Roman" w:cs="Times New Roman"/>
          <w:sz w:val="24"/>
          <w:szCs w:val="24"/>
          <w:vertAlign w:val="subscript"/>
        </w:rPr>
        <w:t>1</w:t>
      </w:r>
      <w:r w:rsidRPr="00D65A3B">
        <w:rPr>
          <w:rFonts w:ascii="Times New Roman" w:hAnsi="Times New Roman" w:cs="Times New Roman"/>
          <w:sz w:val="24"/>
          <w:szCs w:val="24"/>
        </w:rPr>
        <w:t>, f</w:t>
      </w:r>
      <w:r w:rsidRPr="00D65A3B">
        <w:rPr>
          <w:rFonts w:ascii="Times New Roman" w:hAnsi="Times New Roman" w:cs="Times New Roman"/>
          <w:sz w:val="24"/>
          <w:szCs w:val="24"/>
          <w:vertAlign w:val="subscript"/>
        </w:rPr>
        <w:t>2</w:t>
      </w:r>
      <w:r w:rsidRPr="00D65A3B">
        <w:rPr>
          <w:rFonts w:ascii="Times New Roman" w:hAnsi="Times New Roman" w:cs="Times New Roman"/>
          <w:sz w:val="24"/>
          <w:szCs w:val="24"/>
        </w:rPr>
        <w:t>, and f</w:t>
      </w:r>
      <w:r w:rsidRPr="00D65A3B">
        <w:rPr>
          <w:rFonts w:ascii="Times New Roman" w:hAnsi="Times New Roman" w:cs="Times New Roman"/>
          <w:sz w:val="24"/>
          <w:szCs w:val="24"/>
          <w:vertAlign w:val="subscript"/>
        </w:rPr>
        <w:t>3</w:t>
      </w:r>
      <w:r w:rsidRPr="00D65A3B">
        <w:rPr>
          <w:rFonts w:ascii="Times New Roman" w:hAnsi="Times New Roman" w:cs="Times New Roman"/>
          <w:sz w:val="24"/>
          <w:szCs w:val="24"/>
        </w:rPr>
        <w:t xml:space="preserve"> are annual effective capacity factors for</w:t>
      </w:r>
      <w:r w:rsidR="00DC1CE2">
        <w:rPr>
          <w:rFonts w:ascii="Times New Roman" w:hAnsi="Times New Roman" w:cs="Times New Roman"/>
          <w:sz w:val="24"/>
          <w:szCs w:val="24"/>
        </w:rPr>
        <w:t xml:space="preserve"> eligible</w:t>
      </w:r>
      <w:r w:rsidRPr="00D65A3B">
        <w:rPr>
          <w:rFonts w:ascii="Times New Roman" w:hAnsi="Times New Roman" w:cs="Times New Roman"/>
          <w:sz w:val="24"/>
          <w:szCs w:val="24"/>
        </w:rPr>
        <w:t xml:space="preserve"> technologies 1, 2, and 3, respectively, and</w:t>
      </w:r>
    </w:p>
    <w:p w14:paraId="33ABE14D" w14:textId="56E59468" w:rsidR="00DE79F3" w:rsidRPr="00D65A3B" w:rsidRDefault="00DE79F3" w:rsidP="00E56B50">
      <w:pPr>
        <w:spacing w:after="0" w:line="240" w:lineRule="auto"/>
        <w:ind w:left="360"/>
        <w:rPr>
          <w:rFonts w:ascii="Times New Roman" w:hAnsi="Times New Roman" w:cs="Times New Roman"/>
          <w:sz w:val="24"/>
          <w:szCs w:val="24"/>
        </w:rPr>
      </w:pPr>
      <w:r w:rsidRPr="00D65A3B">
        <w:rPr>
          <w:rFonts w:ascii="Times New Roman" w:hAnsi="Times New Roman" w:cs="Times New Roman"/>
          <w:sz w:val="24"/>
          <w:szCs w:val="24"/>
        </w:rPr>
        <w:t>C</w:t>
      </w:r>
      <w:r w:rsidRPr="00D65A3B">
        <w:rPr>
          <w:rFonts w:ascii="Times New Roman" w:hAnsi="Times New Roman" w:cs="Times New Roman"/>
          <w:sz w:val="24"/>
          <w:szCs w:val="24"/>
          <w:vertAlign w:val="subscript"/>
        </w:rPr>
        <w:t>1</w:t>
      </w:r>
      <w:r w:rsidRPr="00D65A3B">
        <w:rPr>
          <w:rFonts w:ascii="Times New Roman" w:hAnsi="Times New Roman" w:cs="Times New Roman"/>
          <w:sz w:val="24"/>
          <w:szCs w:val="24"/>
        </w:rPr>
        <w:t>, C</w:t>
      </w:r>
      <w:r w:rsidRPr="00D65A3B">
        <w:rPr>
          <w:rFonts w:ascii="Times New Roman" w:hAnsi="Times New Roman" w:cs="Times New Roman"/>
          <w:sz w:val="24"/>
          <w:szCs w:val="24"/>
          <w:vertAlign w:val="subscript"/>
        </w:rPr>
        <w:t>2</w:t>
      </w:r>
      <w:r w:rsidRPr="00D65A3B">
        <w:rPr>
          <w:rFonts w:ascii="Times New Roman" w:hAnsi="Times New Roman" w:cs="Times New Roman"/>
          <w:sz w:val="24"/>
          <w:szCs w:val="24"/>
        </w:rPr>
        <w:t>, and C</w:t>
      </w:r>
      <w:r w:rsidRPr="00D65A3B">
        <w:rPr>
          <w:rFonts w:ascii="Times New Roman" w:hAnsi="Times New Roman" w:cs="Times New Roman"/>
          <w:sz w:val="24"/>
          <w:szCs w:val="24"/>
          <w:vertAlign w:val="subscript"/>
        </w:rPr>
        <w:t>3</w:t>
      </w:r>
      <w:r w:rsidRPr="00D65A3B">
        <w:rPr>
          <w:rFonts w:ascii="Times New Roman" w:hAnsi="Times New Roman" w:cs="Times New Roman"/>
          <w:sz w:val="24"/>
          <w:szCs w:val="24"/>
        </w:rPr>
        <w:t xml:space="preserve"> are the </w:t>
      </w:r>
      <w:r w:rsidR="00665C0A">
        <w:rPr>
          <w:rFonts w:ascii="Times New Roman" w:hAnsi="Times New Roman" w:cs="Times New Roman"/>
          <w:sz w:val="24"/>
          <w:szCs w:val="24"/>
        </w:rPr>
        <w:t>eligible</w:t>
      </w:r>
      <w:r w:rsidR="00665C0A" w:rsidRPr="00D65A3B">
        <w:rPr>
          <w:rFonts w:ascii="Times New Roman" w:hAnsi="Times New Roman" w:cs="Times New Roman"/>
          <w:sz w:val="24"/>
          <w:szCs w:val="24"/>
        </w:rPr>
        <w:t xml:space="preserve"> </w:t>
      </w:r>
      <w:r w:rsidRPr="00D65A3B">
        <w:rPr>
          <w:rFonts w:ascii="Times New Roman" w:hAnsi="Times New Roman" w:cs="Times New Roman"/>
          <w:sz w:val="24"/>
          <w:szCs w:val="24"/>
        </w:rPr>
        <w:t>renewable capacities for technologies 1, 2, and 3, respectively (in MW).</w:t>
      </w:r>
    </w:p>
    <w:p w14:paraId="63EF2156" w14:textId="6E1DA614" w:rsidR="00DE79F3" w:rsidRDefault="008D2DB7" w:rsidP="00B000E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H is hours in the year (8760, except leap years)</w:t>
      </w:r>
    </w:p>
    <w:p w14:paraId="121FEEED" w14:textId="77777777" w:rsidR="00B000E5" w:rsidRPr="00D65A3B" w:rsidRDefault="00B000E5" w:rsidP="00B000E5">
      <w:pPr>
        <w:spacing w:after="0" w:line="240" w:lineRule="auto"/>
        <w:ind w:left="360"/>
        <w:rPr>
          <w:rFonts w:ascii="Times New Roman" w:hAnsi="Times New Roman" w:cs="Times New Roman"/>
          <w:sz w:val="24"/>
          <w:szCs w:val="24"/>
        </w:rPr>
      </w:pPr>
    </w:p>
    <w:p w14:paraId="39FB8EE9" w14:textId="19502558" w:rsidR="00B000E5" w:rsidRPr="003244BD" w:rsidRDefault="003244BD" w:rsidP="003244BD">
      <w:pPr>
        <w:spacing w:line="360" w:lineRule="auto"/>
        <w:ind w:firstLine="360"/>
        <w:rPr>
          <w:rFonts w:ascii="Times New Roman" w:hAnsi="Times New Roman" w:cs="Times New Roman"/>
          <w:sz w:val="24"/>
          <w:szCs w:val="24"/>
        </w:rPr>
      </w:pPr>
      <w:r>
        <w:rPr>
          <w:rFonts w:ascii="Times New Roman" w:hAnsi="Times New Roman" w:cs="Times New Roman"/>
          <w:sz w:val="24"/>
          <w:szCs w:val="24"/>
        </w:rPr>
        <w:t>For example,</w:t>
      </w:r>
      <w:r w:rsidR="00281905">
        <w:rPr>
          <w:rFonts w:ascii="Times New Roman" w:hAnsi="Times New Roman" w:cs="Times New Roman"/>
          <w:sz w:val="24"/>
          <w:szCs w:val="24"/>
        </w:rPr>
        <w:t xml:space="preserve"> take </w:t>
      </w:r>
      <w:r w:rsidR="00A06ED9">
        <w:rPr>
          <w:rFonts w:ascii="Times New Roman" w:hAnsi="Times New Roman" w:cs="Times New Roman"/>
          <w:sz w:val="24"/>
          <w:szCs w:val="24"/>
        </w:rPr>
        <w:t>a</w:t>
      </w:r>
      <w:r w:rsidR="00453893">
        <w:rPr>
          <w:rFonts w:ascii="Times New Roman" w:hAnsi="Times New Roman" w:cs="Times New Roman"/>
          <w:sz w:val="24"/>
          <w:szCs w:val="24"/>
        </w:rPr>
        <w:t xml:space="preserve"> representative state</w:t>
      </w:r>
      <w:r w:rsidR="00281905">
        <w:rPr>
          <w:rFonts w:ascii="Times New Roman" w:hAnsi="Times New Roman" w:cs="Times New Roman"/>
          <w:sz w:val="24"/>
          <w:szCs w:val="24"/>
        </w:rPr>
        <w:t xml:space="preserve"> </w:t>
      </w:r>
      <w:r w:rsidR="00A06ED9">
        <w:rPr>
          <w:rFonts w:ascii="Times New Roman" w:hAnsi="Times New Roman" w:cs="Times New Roman"/>
          <w:sz w:val="24"/>
          <w:szCs w:val="24"/>
        </w:rPr>
        <w:t>with</w:t>
      </w:r>
      <w:r w:rsidR="00453893">
        <w:rPr>
          <w:rFonts w:ascii="Times New Roman" w:hAnsi="Times New Roman" w:cs="Times New Roman"/>
          <w:sz w:val="24"/>
          <w:szCs w:val="24"/>
        </w:rPr>
        <w:t xml:space="preserve"> a target of 10,000MW of wind capacity in 2015, and 100MW of solar energy. The state average wind capacity factor is 28.4% and the state average solar capacity factor is 18.7%. Wind would be expected to produce 24,878,400 MWh of energy (10,000MW </w:t>
      </w:r>
      <w:r w:rsidR="00281905">
        <w:rPr>
          <w:rFonts w:ascii="Times New Roman" w:hAnsi="Times New Roman" w:cs="Times New Roman"/>
          <w:sz w:val="24"/>
          <w:szCs w:val="24"/>
        </w:rPr>
        <w:t>x</w:t>
      </w:r>
      <w:r w:rsidR="00453893">
        <w:rPr>
          <w:rFonts w:ascii="Times New Roman" w:hAnsi="Times New Roman" w:cs="Times New Roman"/>
          <w:sz w:val="24"/>
          <w:szCs w:val="24"/>
        </w:rPr>
        <w:t xml:space="preserve"> 8760 hours </w:t>
      </w:r>
      <w:r w:rsidR="00281905">
        <w:rPr>
          <w:rFonts w:ascii="Times New Roman" w:hAnsi="Times New Roman" w:cs="Times New Roman"/>
          <w:sz w:val="24"/>
          <w:szCs w:val="24"/>
        </w:rPr>
        <w:t>x</w:t>
      </w:r>
      <w:r w:rsidR="00453893">
        <w:rPr>
          <w:rFonts w:ascii="Times New Roman" w:hAnsi="Times New Roman" w:cs="Times New Roman"/>
          <w:sz w:val="24"/>
          <w:szCs w:val="24"/>
        </w:rPr>
        <w:t xml:space="preserve"> 28.4%), while solar would produce 163,812 MWh (100MW </w:t>
      </w:r>
      <w:r w:rsidR="00281905">
        <w:rPr>
          <w:rFonts w:ascii="Times New Roman" w:hAnsi="Times New Roman" w:cs="Times New Roman"/>
          <w:sz w:val="24"/>
          <w:szCs w:val="24"/>
        </w:rPr>
        <w:t>x</w:t>
      </w:r>
      <w:r w:rsidR="00453893">
        <w:rPr>
          <w:rFonts w:ascii="Times New Roman" w:hAnsi="Times New Roman" w:cs="Times New Roman"/>
          <w:sz w:val="24"/>
          <w:szCs w:val="24"/>
        </w:rPr>
        <w:t xml:space="preserve"> 8760 hours </w:t>
      </w:r>
      <w:r w:rsidR="00281905">
        <w:rPr>
          <w:rFonts w:ascii="Times New Roman" w:hAnsi="Times New Roman" w:cs="Times New Roman"/>
          <w:sz w:val="24"/>
          <w:szCs w:val="24"/>
        </w:rPr>
        <w:t>x</w:t>
      </w:r>
      <w:r w:rsidR="00453893">
        <w:rPr>
          <w:rFonts w:ascii="Times New Roman" w:hAnsi="Times New Roman" w:cs="Times New Roman"/>
          <w:sz w:val="24"/>
          <w:szCs w:val="24"/>
        </w:rPr>
        <w:t xml:space="preserve"> 18.7%). In total the state would estimate 25,042,212 MWh of renewable generation.</w:t>
      </w:r>
      <w:r w:rsidR="00766A5B">
        <w:rPr>
          <w:rFonts w:ascii="Times New Roman" w:hAnsi="Times New Roman" w:cs="Times New Roman"/>
          <w:sz w:val="24"/>
          <w:szCs w:val="24"/>
        </w:rPr>
        <w:t xml:space="preserve"> </w:t>
      </w:r>
      <w:r w:rsidR="005C4356">
        <w:rPr>
          <w:rFonts w:ascii="Times New Roman" w:hAnsi="Times New Roman" w:cs="Times New Roman"/>
          <w:sz w:val="24"/>
          <w:szCs w:val="24"/>
        </w:rPr>
        <w:t>Table 6</w:t>
      </w:r>
      <w:r w:rsidR="00766A5B">
        <w:rPr>
          <w:rFonts w:ascii="Times New Roman" w:hAnsi="Times New Roman" w:cs="Times New Roman"/>
          <w:sz w:val="24"/>
          <w:szCs w:val="24"/>
        </w:rPr>
        <w:t xml:space="preserve"> applies this example to the above formula.</w:t>
      </w:r>
      <w:r w:rsidR="00453893">
        <w:rPr>
          <w:rFonts w:ascii="Times New Roman" w:hAnsi="Times New Roman" w:cs="Times New Roman"/>
          <w:sz w:val="24"/>
          <w:szCs w:val="24"/>
        </w:rPr>
        <w:t xml:space="preserve"> States with structures similar to this include Texas and </w:t>
      </w:r>
      <w:r w:rsidR="00016DAF">
        <w:rPr>
          <w:rFonts w:ascii="Times New Roman" w:hAnsi="Times New Roman" w:cs="Times New Roman"/>
          <w:sz w:val="24"/>
          <w:szCs w:val="24"/>
        </w:rPr>
        <w:t>Iowa</w:t>
      </w:r>
      <w:r w:rsidR="00453893">
        <w:rPr>
          <w:rFonts w:ascii="Times New Roman" w:hAnsi="Times New Roman" w:cs="Times New Roman"/>
          <w:sz w:val="24"/>
          <w:szCs w:val="24"/>
        </w:rPr>
        <w:t>. Some states have overall targets specified as a percentage of sales with a specific carve out for some amount (MW</w:t>
      </w:r>
      <w:r w:rsidR="005C4356">
        <w:rPr>
          <w:rFonts w:ascii="Times New Roman" w:hAnsi="Times New Roman" w:cs="Times New Roman"/>
          <w:sz w:val="24"/>
          <w:szCs w:val="24"/>
        </w:rPr>
        <w:t>h</w:t>
      </w:r>
      <w:r w:rsidR="00453893">
        <w:rPr>
          <w:rFonts w:ascii="Times New Roman" w:hAnsi="Times New Roman" w:cs="Times New Roman"/>
          <w:sz w:val="24"/>
          <w:szCs w:val="24"/>
        </w:rPr>
        <w:t>) of wind or solar energy. In order to avoid double counting, the amount of the carve-out would not be added to the overall target, as it represents a subset of the overall generation (MWh) requirement.</w:t>
      </w:r>
    </w:p>
    <w:p w14:paraId="0F8BCD9B" w14:textId="4C1AC4C5" w:rsidR="00C17DEE" w:rsidRPr="00010FA0" w:rsidRDefault="00C17DEE" w:rsidP="00C17DEE">
      <w:pPr>
        <w:rPr>
          <w:rFonts w:cs="Times New Roman"/>
          <w:i/>
          <w:iCs/>
          <w:szCs w:val="24"/>
        </w:rPr>
      </w:pPr>
      <w:r w:rsidRPr="00010FA0">
        <w:rPr>
          <w:rFonts w:cs="Times New Roman"/>
          <w:i/>
          <w:iCs/>
          <w:szCs w:val="24"/>
        </w:rPr>
        <w:t xml:space="preserve">Table </w:t>
      </w:r>
      <w:r w:rsidR="00010FA0" w:rsidRPr="00010FA0">
        <w:rPr>
          <w:rFonts w:cs="Times New Roman"/>
          <w:i/>
          <w:iCs/>
          <w:szCs w:val="24"/>
        </w:rPr>
        <w:t>6</w:t>
      </w:r>
      <w:r w:rsidRPr="00010FA0">
        <w:rPr>
          <w:rFonts w:cs="Times New Roman"/>
          <w:i/>
          <w:iCs/>
          <w:szCs w:val="24"/>
        </w:rPr>
        <w:t>: Example Qualifying Renewable Energy Calculation (Capacity Target)</w:t>
      </w:r>
    </w:p>
    <w:tbl>
      <w:tblPr>
        <w:tblW w:w="8484" w:type="dxa"/>
        <w:tblLook w:val="04A0" w:firstRow="1" w:lastRow="0" w:firstColumn="1" w:lastColumn="0" w:noHBand="0" w:noVBand="1"/>
      </w:tblPr>
      <w:tblGrid>
        <w:gridCol w:w="2000"/>
        <w:gridCol w:w="929"/>
        <w:gridCol w:w="1111"/>
        <w:gridCol w:w="1111"/>
        <w:gridCol w:w="1111"/>
        <w:gridCol w:w="1111"/>
        <w:gridCol w:w="1111"/>
      </w:tblGrid>
      <w:tr w:rsidR="00C17DEE" w:rsidRPr="009D4937" w14:paraId="6AFD9269" w14:textId="77777777" w:rsidTr="008A324E">
        <w:trPr>
          <w:trHeight w:val="422"/>
        </w:trPr>
        <w:tc>
          <w:tcPr>
            <w:tcW w:w="2000" w:type="dxa"/>
            <w:tcBorders>
              <w:top w:val="single" w:sz="8" w:space="0" w:color="auto"/>
              <w:left w:val="nil"/>
              <w:bottom w:val="single" w:sz="8" w:space="0" w:color="auto"/>
              <w:right w:val="nil"/>
            </w:tcBorders>
            <w:shd w:val="clear" w:color="auto" w:fill="auto"/>
            <w:noWrap/>
            <w:vAlign w:val="bottom"/>
            <w:hideMark/>
          </w:tcPr>
          <w:p w14:paraId="015B7420" w14:textId="77777777" w:rsidR="00C17DEE" w:rsidRPr="009D4937" w:rsidRDefault="00C17DEE" w:rsidP="008A324E">
            <w:pPr>
              <w:spacing w:after="0" w:line="240" w:lineRule="auto"/>
              <w:rPr>
                <w:rFonts w:eastAsia="Times New Roman" w:cs="Times New Roman"/>
                <w:color w:val="000000"/>
                <w:sz w:val="18"/>
                <w:szCs w:val="18"/>
              </w:rPr>
            </w:pPr>
            <w:r w:rsidRPr="009D4937">
              <w:rPr>
                <w:rFonts w:eastAsia="Times New Roman" w:cs="Times New Roman"/>
                <w:color w:val="000000"/>
                <w:sz w:val="18"/>
                <w:szCs w:val="18"/>
              </w:rPr>
              <w:t> </w:t>
            </w:r>
          </w:p>
        </w:tc>
        <w:tc>
          <w:tcPr>
            <w:tcW w:w="929" w:type="dxa"/>
            <w:tcBorders>
              <w:top w:val="single" w:sz="8" w:space="0" w:color="auto"/>
              <w:left w:val="nil"/>
              <w:bottom w:val="single" w:sz="8" w:space="0" w:color="auto"/>
              <w:right w:val="nil"/>
            </w:tcBorders>
            <w:shd w:val="clear" w:color="auto" w:fill="auto"/>
            <w:noWrap/>
            <w:vAlign w:val="center"/>
            <w:hideMark/>
          </w:tcPr>
          <w:p w14:paraId="2C82A7AC" w14:textId="77777777" w:rsidR="00C17DEE" w:rsidRPr="009D4937" w:rsidRDefault="00C17DEE" w:rsidP="008A324E">
            <w:pPr>
              <w:spacing w:after="0" w:line="240" w:lineRule="auto"/>
              <w:jc w:val="right"/>
              <w:rPr>
                <w:rFonts w:eastAsia="Times New Roman" w:cs="Times New Roman"/>
                <w:b/>
                <w:bCs/>
                <w:color w:val="000000"/>
                <w:sz w:val="18"/>
                <w:szCs w:val="18"/>
              </w:rPr>
            </w:pPr>
            <w:r w:rsidRPr="009D4937">
              <w:rPr>
                <w:rFonts w:eastAsia="Times New Roman" w:cs="Times New Roman"/>
                <w:b/>
                <w:bCs/>
                <w:color w:val="000000"/>
                <w:sz w:val="18"/>
                <w:szCs w:val="18"/>
              </w:rPr>
              <w:t>2015</w:t>
            </w:r>
          </w:p>
        </w:tc>
        <w:tc>
          <w:tcPr>
            <w:tcW w:w="1111" w:type="dxa"/>
            <w:tcBorders>
              <w:top w:val="single" w:sz="8" w:space="0" w:color="auto"/>
              <w:left w:val="nil"/>
              <w:bottom w:val="single" w:sz="8" w:space="0" w:color="auto"/>
              <w:right w:val="nil"/>
            </w:tcBorders>
            <w:shd w:val="clear" w:color="auto" w:fill="auto"/>
            <w:noWrap/>
            <w:vAlign w:val="center"/>
            <w:hideMark/>
          </w:tcPr>
          <w:p w14:paraId="2B67463B" w14:textId="77777777" w:rsidR="00C17DEE" w:rsidRPr="009D4937" w:rsidRDefault="00C17DEE" w:rsidP="008A324E">
            <w:pPr>
              <w:spacing w:after="0" w:line="240" w:lineRule="auto"/>
              <w:jc w:val="right"/>
              <w:rPr>
                <w:rFonts w:eastAsia="Times New Roman" w:cs="Times New Roman"/>
                <w:b/>
                <w:bCs/>
                <w:color w:val="000000"/>
                <w:sz w:val="18"/>
                <w:szCs w:val="18"/>
              </w:rPr>
            </w:pPr>
            <w:r w:rsidRPr="009D4937">
              <w:rPr>
                <w:rFonts w:eastAsia="Times New Roman" w:cs="Times New Roman"/>
                <w:b/>
                <w:bCs/>
                <w:color w:val="000000"/>
                <w:sz w:val="18"/>
                <w:szCs w:val="18"/>
              </w:rPr>
              <w:t>2016</w:t>
            </w:r>
          </w:p>
        </w:tc>
        <w:tc>
          <w:tcPr>
            <w:tcW w:w="1111" w:type="dxa"/>
            <w:tcBorders>
              <w:top w:val="single" w:sz="8" w:space="0" w:color="auto"/>
              <w:left w:val="nil"/>
              <w:bottom w:val="single" w:sz="8" w:space="0" w:color="auto"/>
              <w:right w:val="nil"/>
            </w:tcBorders>
            <w:shd w:val="clear" w:color="auto" w:fill="auto"/>
            <w:noWrap/>
            <w:vAlign w:val="center"/>
            <w:hideMark/>
          </w:tcPr>
          <w:p w14:paraId="33FE151F" w14:textId="77777777" w:rsidR="00C17DEE" w:rsidRPr="009D4937" w:rsidRDefault="00C17DEE" w:rsidP="008A324E">
            <w:pPr>
              <w:spacing w:after="0" w:line="240" w:lineRule="auto"/>
              <w:jc w:val="right"/>
              <w:rPr>
                <w:rFonts w:eastAsia="Times New Roman" w:cs="Times New Roman"/>
                <w:b/>
                <w:bCs/>
                <w:color w:val="000000"/>
                <w:sz w:val="18"/>
                <w:szCs w:val="18"/>
              </w:rPr>
            </w:pPr>
            <w:r w:rsidRPr="009D4937">
              <w:rPr>
                <w:rFonts w:eastAsia="Times New Roman" w:cs="Times New Roman"/>
                <w:b/>
                <w:bCs/>
                <w:color w:val="000000"/>
                <w:sz w:val="18"/>
                <w:szCs w:val="18"/>
              </w:rPr>
              <w:t>2017</w:t>
            </w:r>
          </w:p>
        </w:tc>
        <w:tc>
          <w:tcPr>
            <w:tcW w:w="1111" w:type="dxa"/>
            <w:tcBorders>
              <w:top w:val="single" w:sz="8" w:space="0" w:color="auto"/>
              <w:left w:val="nil"/>
              <w:bottom w:val="single" w:sz="8" w:space="0" w:color="auto"/>
              <w:right w:val="nil"/>
            </w:tcBorders>
            <w:shd w:val="clear" w:color="auto" w:fill="auto"/>
            <w:noWrap/>
            <w:vAlign w:val="center"/>
            <w:hideMark/>
          </w:tcPr>
          <w:p w14:paraId="357D13A0" w14:textId="77777777" w:rsidR="00C17DEE" w:rsidRPr="009D4937" w:rsidRDefault="00C17DEE" w:rsidP="008A324E">
            <w:pPr>
              <w:spacing w:after="0" w:line="240" w:lineRule="auto"/>
              <w:jc w:val="right"/>
              <w:rPr>
                <w:rFonts w:eastAsia="Times New Roman" w:cs="Times New Roman"/>
                <w:b/>
                <w:bCs/>
                <w:color w:val="000000"/>
                <w:sz w:val="18"/>
                <w:szCs w:val="18"/>
              </w:rPr>
            </w:pPr>
            <w:r w:rsidRPr="009D4937">
              <w:rPr>
                <w:rFonts w:eastAsia="Times New Roman" w:cs="Times New Roman"/>
                <w:b/>
                <w:bCs/>
                <w:color w:val="000000"/>
                <w:sz w:val="18"/>
                <w:szCs w:val="18"/>
              </w:rPr>
              <w:t>2018</w:t>
            </w:r>
          </w:p>
        </w:tc>
        <w:tc>
          <w:tcPr>
            <w:tcW w:w="1111" w:type="dxa"/>
            <w:tcBorders>
              <w:top w:val="single" w:sz="8" w:space="0" w:color="auto"/>
              <w:left w:val="nil"/>
              <w:bottom w:val="single" w:sz="8" w:space="0" w:color="auto"/>
              <w:right w:val="nil"/>
            </w:tcBorders>
            <w:shd w:val="clear" w:color="auto" w:fill="auto"/>
            <w:noWrap/>
            <w:vAlign w:val="center"/>
            <w:hideMark/>
          </w:tcPr>
          <w:p w14:paraId="1A66BCA7" w14:textId="77777777" w:rsidR="00C17DEE" w:rsidRPr="009D4937" w:rsidRDefault="00C17DEE" w:rsidP="008A324E">
            <w:pPr>
              <w:spacing w:after="0" w:line="240" w:lineRule="auto"/>
              <w:jc w:val="right"/>
              <w:rPr>
                <w:rFonts w:eastAsia="Times New Roman" w:cs="Times New Roman"/>
                <w:b/>
                <w:bCs/>
                <w:color w:val="000000"/>
                <w:sz w:val="18"/>
                <w:szCs w:val="18"/>
              </w:rPr>
            </w:pPr>
            <w:r w:rsidRPr="009D4937">
              <w:rPr>
                <w:rFonts w:eastAsia="Times New Roman" w:cs="Times New Roman"/>
                <w:b/>
                <w:bCs/>
                <w:color w:val="000000"/>
                <w:sz w:val="18"/>
                <w:szCs w:val="18"/>
              </w:rPr>
              <w:t>2019</w:t>
            </w:r>
          </w:p>
        </w:tc>
        <w:tc>
          <w:tcPr>
            <w:tcW w:w="1111" w:type="dxa"/>
            <w:tcBorders>
              <w:top w:val="single" w:sz="8" w:space="0" w:color="auto"/>
              <w:left w:val="nil"/>
              <w:bottom w:val="single" w:sz="8" w:space="0" w:color="auto"/>
              <w:right w:val="nil"/>
            </w:tcBorders>
            <w:shd w:val="clear" w:color="auto" w:fill="auto"/>
            <w:noWrap/>
            <w:vAlign w:val="center"/>
            <w:hideMark/>
          </w:tcPr>
          <w:p w14:paraId="72601474" w14:textId="77777777" w:rsidR="00C17DEE" w:rsidRPr="009D4937" w:rsidRDefault="00C17DEE" w:rsidP="008A324E">
            <w:pPr>
              <w:spacing w:after="0" w:line="240" w:lineRule="auto"/>
              <w:jc w:val="right"/>
              <w:rPr>
                <w:rFonts w:eastAsia="Times New Roman" w:cs="Times New Roman"/>
                <w:b/>
                <w:bCs/>
                <w:color w:val="000000"/>
                <w:sz w:val="18"/>
                <w:szCs w:val="18"/>
              </w:rPr>
            </w:pPr>
            <w:r w:rsidRPr="009D4937">
              <w:rPr>
                <w:rFonts w:eastAsia="Times New Roman" w:cs="Times New Roman"/>
                <w:b/>
                <w:bCs/>
                <w:color w:val="000000"/>
                <w:sz w:val="18"/>
                <w:szCs w:val="18"/>
              </w:rPr>
              <w:t>2020</w:t>
            </w:r>
          </w:p>
        </w:tc>
      </w:tr>
      <w:tr w:rsidR="00C17DEE" w:rsidRPr="009D4937" w14:paraId="2E2048A0" w14:textId="77777777" w:rsidTr="008A324E">
        <w:trPr>
          <w:trHeight w:val="422"/>
        </w:trPr>
        <w:tc>
          <w:tcPr>
            <w:tcW w:w="2000" w:type="dxa"/>
            <w:tcBorders>
              <w:top w:val="nil"/>
              <w:left w:val="nil"/>
              <w:bottom w:val="single" w:sz="8" w:space="0" w:color="auto"/>
              <w:right w:val="nil"/>
            </w:tcBorders>
            <w:shd w:val="clear" w:color="auto" w:fill="auto"/>
            <w:noWrap/>
            <w:vAlign w:val="center"/>
            <w:hideMark/>
          </w:tcPr>
          <w:p w14:paraId="1CE6B21E" w14:textId="77777777" w:rsidR="00C17DEE" w:rsidRPr="009D4937" w:rsidRDefault="00C17DEE" w:rsidP="008A324E">
            <w:pPr>
              <w:spacing w:after="0" w:line="240" w:lineRule="auto"/>
              <w:rPr>
                <w:rFonts w:eastAsia="Times New Roman" w:cs="Times New Roman"/>
                <w:color w:val="000000"/>
                <w:sz w:val="18"/>
                <w:szCs w:val="18"/>
              </w:rPr>
            </w:pPr>
            <w:r w:rsidRPr="009D4937">
              <w:rPr>
                <w:rFonts w:eastAsia="Times New Roman" w:cs="Times New Roman"/>
                <w:color w:val="000000"/>
                <w:sz w:val="18"/>
                <w:szCs w:val="18"/>
              </w:rPr>
              <w:t>Wind Target (MW)</w:t>
            </w:r>
          </w:p>
        </w:tc>
        <w:tc>
          <w:tcPr>
            <w:tcW w:w="929" w:type="dxa"/>
            <w:tcBorders>
              <w:top w:val="nil"/>
              <w:left w:val="nil"/>
              <w:bottom w:val="single" w:sz="8" w:space="0" w:color="auto"/>
              <w:right w:val="nil"/>
            </w:tcBorders>
            <w:shd w:val="clear" w:color="auto" w:fill="auto"/>
            <w:noWrap/>
            <w:vAlign w:val="center"/>
            <w:hideMark/>
          </w:tcPr>
          <w:p w14:paraId="594BF8FF"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1,000</w:t>
            </w:r>
          </w:p>
        </w:tc>
        <w:tc>
          <w:tcPr>
            <w:tcW w:w="1111" w:type="dxa"/>
            <w:tcBorders>
              <w:top w:val="nil"/>
              <w:left w:val="nil"/>
              <w:bottom w:val="single" w:sz="8" w:space="0" w:color="auto"/>
              <w:right w:val="nil"/>
            </w:tcBorders>
            <w:shd w:val="clear" w:color="auto" w:fill="auto"/>
            <w:noWrap/>
            <w:vAlign w:val="center"/>
            <w:hideMark/>
          </w:tcPr>
          <w:p w14:paraId="529C2F25"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1,100</w:t>
            </w:r>
          </w:p>
        </w:tc>
        <w:tc>
          <w:tcPr>
            <w:tcW w:w="1111" w:type="dxa"/>
            <w:tcBorders>
              <w:top w:val="nil"/>
              <w:left w:val="nil"/>
              <w:bottom w:val="single" w:sz="8" w:space="0" w:color="auto"/>
              <w:right w:val="nil"/>
            </w:tcBorders>
            <w:shd w:val="clear" w:color="auto" w:fill="auto"/>
            <w:noWrap/>
            <w:vAlign w:val="center"/>
            <w:hideMark/>
          </w:tcPr>
          <w:p w14:paraId="4CC9767B"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1,200</w:t>
            </w:r>
          </w:p>
        </w:tc>
        <w:tc>
          <w:tcPr>
            <w:tcW w:w="1111" w:type="dxa"/>
            <w:tcBorders>
              <w:top w:val="nil"/>
              <w:left w:val="nil"/>
              <w:bottom w:val="single" w:sz="8" w:space="0" w:color="auto"/>
              <w:right w:val="nil"/>
            </w:tcBorders>
            <w:shd w:val="clear" w:color="auto" w:fill="auto"/>
            <w:noWrap/>
            <w:vAlign w:val="center"/>
            <w:hideMark/>
          </w:tcPr>
          <w:p w14:paraId="67D336EE"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1,300</w:t>
            </w:r>
          </w:p>
        </w:tc>
        <w:tc>
          <w:tcPr>
            <w:tcW w:w="1111" w:type="dxa"/>
            <w:tcBorders>
              <w:top w:val="nil"/>
              <w:left w:val="nil"/>
              <w:bottom w:val="single" w:sz="8" w:space="0" w:color="auto"/>
              <w:right w:val="nil"/>
            </w:tcBorders>
            <w:shd w:val="clear" w:color="auto" w:fill="auto"/>
            <w:noWrap/>
            <w:vAlign w:val="center"/>
            <w:hideMark/>
          </w:tcPr>
          <w:p w14:paraId="2CEF3808"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1,400</w:t>
            </w:r>
          </w:p>
        </w:tc>
        <w:tc>
          <w:tcPr>
            <w:tcW w:w="1111" w:type="dxa"/>
            <w:tcBorders>
              <w:top w:val="nil"/>
              <w:left w:val="nil"/>
              <w:bottom w:val="single" w:sz="8" w:space="0" w:color="auto"/>
              <w:right w:val="nil"/>
            </w:tcBorders>
            <w:shd w:val="clear" w:color="auto" w:fill="auto"/>
            <w:noWrap/>
            <w:vAlign w:val="center"/>
            <w:hideMark/>
          </w:tcPr>
          <w:p w14:paraId="70455023"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1,500</w:t>
            </w:r>
          </w:p>
        </w:tc>
      </w:tr>
      <w:tr w:rsidR="00C17DEE" w:rsidRPr="009D4937" w14:paraId="52805E03" w14:textId="77777777" w:rsidTr="008A324E">
        <w:trPr>
          <w:trHeight w:val="422"/>
        </w:trPr>
        <w:tc>
          <w:tcPr>
            <w:tcW w:w="2000" w:type="dxa"/>
            <w:tcBorders>
              <w:top w:val="nil"/>
              <w:left w:val="nil"/>
              <w:bottom w:val="single" w:sz="8" w:space="0" w:color="auto"/>
              <w:right w:val="nil"/>
            </w:tcBorders>
            <w:shd w:val="clear" w:color="auto" w:fill="auto"/>
            <w:noWrap/>
            <w:vAlign w:val="center"/>
            <w:hideMark/>
          </w:tcPr>
          <w:p w14:paraId="278EE9FC" w14:textId="77777777" w:rsidR="00C17DEE" w:rsidRPr="009D4937" w:rsidRDefault="00C17DEE" w:rsidP="008A324E">
            <w:pPr>
              <w:spacing w:after="0" w:line="240" w:lineRule="auto"/>
              <w:rPr>
                <w:rFonts w:eastAsia="Times New Roman" w:cs="Times New Roman"/>
                <w:color w:val="000000"/>
                <w:sz w:val="18"/>
                <w:szCs w:val="18"/>
              </w:rPr>
            </w:pPr>
            <w:r w:rsidRPr="009D4937">
              <w:rPr>
                <w:rFonts w:eastAsia="Times New Roman" w:cs="Times New Roman"/>
                <w:color w:val="000000"/>
                <w:sz w:val="18"/>
                <w:szCs w:val="18"/>
              </w:rPr>
              <w:t>Wind Capacity Factor (%)</w:t>
            </w:r>
          </w:p>
        </w:tc>
        <w:tc>
          <w:tcPr>
            <w:tcW w:w="929" w:type="dxa"/>
            <w:tcBorders>
              <w:top w:val="nil"/>
              <w:left w:val="nil"/>
              <w:bottom w:val="single" w:sz="8" w:space="0" w:color="auto"/>
              <w:right w:val="nil"/>
            </w:tcBorders>
            <w:shd w:val="clear" w:color="auto" w:fill="auto"/>
            <w:noWrap/>
            <w:vAlign w:val="center"/>
            <w:hideMark/>
          </w:tcPr>
          <w:p w14:paraId="30B32371"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28.4%</w:t>
            </w:r>
          </w:p>
        </w:tc>
        <w:tc>
          <w:tcPr>
            <w:tcW w:w="1111" w:type="dxa"/>
            <w:tcBorders>
              <w:top w:val="nil"/>
              <w:left w:val="nil"/>
              <w:bottom w:val="single" w:sz="8" w:space="0" w:color="auto"/>
              <w:right w:val="nil"/>
            </w:tcBorders>
            <w:shd w:val="clear" w:color="auto" w:fill="auto"/>
            <w:noWrap/>
            <w:vAlign w:val="center"/>
            <w:hideMark/>
          </w:tcPr>
          <w:p w14:paraId="6363770C"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28.4%</w:t>
            </w:r>
          </w:p>
        </w:tc>
        <w:tc>
          <w:tcPr>
            <w:tcW w:w="1111" w:type="dxa"/>
            <w:tcBorders>
              <w:top w:val="nil"/>
              <w:left w:val="nil"/>
              <w:bottom w:val="single" w:sz="8" w:space="0" w:color="auto"/>
              <w:right w:val="nil"/>
            </w:tcBorders>
            <w:shd w:val="clear" w:color="auto" w:fill="auto"/>
            <w:noWrap/>
            <w:vAlign w:val="center"/>
            <w:hideMark/>
          </w:tcPr>
          <w:p w14:paraId="79DAEEC2"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28.4%</w:t>
            </w:r>
          </w:p>
        </w:tc>
        <w:tc>
          <w:tcPr>
            <w:tcW w:w="1111" w:type="dxa"/>
            <w:tcBorders>
              <w:top w:val="nil"/>
              <w:left w:val="nil"/>
              <w:bottom w:val="single" w:sz="8" w:space="0" w:color="auto"/>
              <w:right w:val="nil"/>
            </w:tcBorders>
            <w:shd w:val="clear" w:color="auto" w:fill="auto"/>
            <w:noWrap/>
            <w:vAlign w:val="center"/>
            <w:hideMark/>
          </w:tcPr>
          <w:p w14:paraId="5F067BCA"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28.4%</w:t>
            </w:r>
          </w:p>
        </w:tc>
        <w:tc>
          <w:tcPr>
            <w:tcW w:w="1111" w:type="dxa"/>
            <w:tcBorders>
              <w:top w:val="nil"/>
              <w:left w:val="nil"/>
              <w:bottom w:val="single" w:sz="8" w:space="0" w:color="auto"/>
              <w:right w:val="nil"/>
            </w:tcBorders>
            <w:shd w:val="clear" w:color="auto" w:fill="auto"/>
            <w:noWrap/>
            <w:vAlign w:val="center"/>
            <w:hideMark/>
          </w:tcPr>
          <w:p w14:paraId="16C7E334"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28.4%</w:t>
            </w:r>
          </w:p>
        </w:tc>
        <w:tc>
          <w:tcPr>
            <w:tcW w:w="1111" w:type="dxa"/>
            <w:tcBorders>
              <w:top w:val="nil"/>
              <w:left w:val="nil"/>
              <w:bottom w:val="single" w:sz="8" w:space="0" w:color="auto"/>
              <w:right w:val="nil"/>
            </w:tcBorders>
            <w:shd w:val="clear" w:color="auto" w:fill="auto"/>
            <w:noWrap/>
            <w:vAlign w:val="center"/>
            <w:hideMark/>
          </w:tcPr>
          <w:p w14:paraId="0D640E2C"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28.4%</w:t>
            </w:r>
          </w:p>
        </w:tc>
      </w:tr>
      <w:tr w:rsidR="00C17DEE" w:rsidRPr="009D4937" w14:paraId="6E5854EF" w14:textId="77777777" w:rsidTr="008A324E">
        <w:trPr>
          <w:trHeight w:val="422"/>
        </w:trPr>
        <w:tc>
          <w:tcPr>
            <w:tcW w:w="2000" w:type="dxa"/>
            <w:tcBorders>
              <w:top w:val="nil"/>
              <w:left w:val="nil"/>
              <w:bottom w:val="single" w:sz="8" w:space="0" w:color="auto"/>
              <w:right w:val="nil"/>
            </w:tcBorders>
            <w:shd w:val="clear" w:color="auto" w:fill="auto"/>
            <w:noWrap/>
            <w:vAlign w:val="center"/>
            <w:hideMark/>
          </w:tcPr>
          <w:p w14:paraId="21A3837D" w14:textId="77777777" w:rsidR="00C17DEE" w:rsidRPr="009D4937" w:rsidRDefault="00C17DEE" w:rsidP="008A324E">
            <w:pPr>
              <w:spacing w:after="0" w:line="240" w:lineRule="auto"/>
              <w:rPr>
                <w:rFonts w:eastAsia="Times New Roman" w:cs="Times New Roman"/>
                <w:color w:val="000000"/>
                <w:sz w:val="18"/>
                <w:szCs w:val="18"/>
              </w:rPr>
            </w:pPr>
            <w:r w:rsidRPr="009D4937">
              <w:rPr>
                <w:rFonts w:eastAsia="Times New Roman" w:cs="Times New Roman"/>
                <w:color w:val="000000"/>
                <w:sz w:val="18"/>
                <w:szCs w:val="18"/>
              </w:rPr>
              <w:t>Wind Energy (GWh)</w:t>
            </w:r>
          </w:p>
        </w:tc>
        <w:tc>
          <w:tcPr>
            <w:tcW w:w="929" w:type="dxa"/>
            <w:tcBorders>
              <w:top w:val="nil"/>
              <w:left w:val="nil"/>
              <w:bottom w:val="single" w:sz="8" w:space="0" w:color="auto"/>
              <w:right w:val="nil"/>
            </w:tcBorders>
            <w:shd w:val="clear" w:color="auto" w:fill="auto"/>
            <w:noWrap/>
            <w:vAlign w:val="center"/>
            <w:hideMark/>
          </w:tcPr>
          <w:p w14:paraId="18F8298E"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2,488</w:t>
            </w:r>
          </w:p>
        </w:tc>
        <w:tc>
          <w:tcPr>
            <w:tcW w:w="1111" w:type="dxa"/>
            <w:tcBorders>
              <w:top w:val="nil"/>
              <w:left w:val="nil"/>
              <w:bottom w:val="single" w:sz="8" w:space="0" w:color="auto"/>
              <w:right w:val="nil"/>
            </w:tcBorders>
            <w:shd w:val="clear" w:color="auto" w:fill="auto"/>
            <w:noWrap/>
            <w:vAlign w:val="center"/>
            <w:hideMark/>
          </w:tcPr>
          <w:p w14:paraId="035EE995"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2,737</w:t>
            </w:r>
          </w:p>
        </w:tc>
        <w:tc>
          <w:tcPr>
            <w:tcW w:w="1111" w:type="dxa"/>
            <w:tcBorders>
              <w:top w:val="nil"/>
              <w:left w:val="nil"/>
              <w:bottom w:val="single" w:sz="8" w:space="0" w:color="auto"/>
              <w:right w:val="nil"/>
            </w:tcBorders>
            <w:shd w:val="clear" w:color="auto" w:fill="auto"/>
            <w:noWrap/>
            <w:vAlign w:val="center"/>
            <w:hideMark/>
          </w:tcPr>
          <w:p w14:paraId="6B33A70F"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2,985</w:t>
            </w:r>
          </w:p>
        </w:tc>
        <w:tc>
          <w:tcPr>
            <w:tcW w:w="1111" w:type="dxa"/>
            <w:tcBorders>
              <w:top w:val="nil"/>
              <w:left w:val="nil"/>
              <w:bottom w:val="single" w:sz="8" w:space="0" w:color="auto"/>
              <w:right w:val="nil"/>
            </w:tcBorders>
            <w:shd w:val="clear" w:color="auto" w:fill="auto"/>
            <w:noWrap/>
            <w:vAlign w:val="center"/>
            <w:hideMark/>
          </w:tcPr>
          <w:p w14:paraId="379CD18D"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3,234</w:t>
            </w:r>
          </w:p>
        </w:tc>
        <w:tc>
          <w:tcPr>
            <w:tcW w:w="1111" w:type="dxa"/>
            <w:tcBorders>
              <w:top w:val="nil"/>
              <w:left w:val="nil"/>
              <w:bottom w:val="single" w:sz="8" w:space="0" w:color="auto"/>
              <w:right w:val="nil"/>
            </w:tcBorders>
            <w:shd w:val="clear" w:color="auto" w:fill="auto"/>
            <w:noWrap/>
            <w:vAlign w:val="center"/>
            <w:hideMark/>
          </w:tcPr>
          <w:p w14:paraId="161FE5AB"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3,483</w:t>
            </w:r>
          </w:p>
        </w:tc>
        <w:tc>
          <w:tcPr>
            <w:tcW w:w="1111" w:type="dxa"/>
            <w:tcBorders>
              <w:top w:val="nil"/>
              <w:left w:val="nil"/>
              <w:bottom w:val="single" w:sz="8" w:space="0" w:color="auto"/>
              <w:right w:val="nil"/>
            </w:tcBorders>
            <w:shd w:val="clear" w:color="auto" w:fill="auto"/>
            <w:noWrap/>
            <w:vAlign w:val="center"/>
            <w:hideMark/>
          </w:tcPr>
          <w:p w14:paraId="60BA839F"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3,732</w:t>
            </w:r>
          </w:p>
        </w:tc>
      </w:tr>
      <w:tr w:rsidR="00C17DEE" w:rsidRPr="009D4937" w14:paraId="0C158935" w14:textId="77777777" w:rsidTr="008A324E">
        <w:trPr>
          <w:trHeight w:val="422"/>
        </w:trPr>
        <w:tc>
          <w:tcPr>
            <w:tcW w:w="2000" w:type="dxa"/>
            <w:tcBorders>
              <w:top w:val="nil"/>
              <w:left w:val="nil"/>
              <w:bottom w:val="single" w:sz="8" w:space="0" w:color="auto"/>
              <w:right w:val="nil"/>
            </w:tcBorders>
            <w:shd w:val="clear" w:color="auto" w:fill="auto"/>
            <w:noWrap/>
            <w:vAlign w:val="center"/>
            <w:hideMark/>
          </w:tcPr>
          <w:p w14:paraId="4DBF3D6C" w14:textId="77777777" w:rsidR="00C17DEE" w:rsidRPr="009D4937" w:rsidRDefault="00C17DEE" w:rsidP="008A324E">
            <w:pPr>
              <w:spacing w:after="0" w:line="240" w:lineRule="auto"/>
              <w:rPr>
                <w:rFonts w:eastAsia="Times New Roman" w:cs="Times New Roman"/>
                <w:color w:val="000000"/>
                <w:sz w:val="18"/>
                <w:szCs w:val="18"/>
              </w:rPr>
            </w:pPr>
            <w:r w:rsidRPr="009D4937">
              <w:rPr>
                <w:rFonts w:eastAsia="Times New Roman" w:cs="Times New Roman"/>
                <w:color w:val="000000"/>
                <w:sz w:val="18"/>
                <w:szCs w:val="18"/>
              </w:rPr>
              <w:t>Solar Target (MW)</w:t>
            </w:r>
          </w:p>
        </w:tc>
        <w:tc>
          <w:tcPr>
            <w:tcW w:w="929" w:type="dxa"/>
            <w:tcBorders>
              <w:top w:val="nil"/>
              <w:left w:val="nil"/>
              <w:bottom w:val="single" w:sz="8" w:space="0" w:color="auto"/>
              <w:right w:val="nil"/>
            </w:tcBorders>
            <w:shd w:val="clear" w:color="auto" w:fill="auto"/>
            <w:noWrap/>
            <w:vAlign w:val="center"/>
            <w:hideMark/>
          </w:tcPr>
          <w:p w14:paraId="3CA447F4"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150</w:t>
            </w:r>
          </w:p>
        </w:tc>
        <w:tc>
          <w:tcPr>
            <w:tcW w:w="1111" w:type="dxa"/>
            <w:tcBorders>
              <w:top w:val="nil"/>
              <w:left w:val="nil"/>
              <w:bottom w:val="single" w:sz="8" w:space="0" w:color="auto"/>
              <w:right w:val="nil"/>
            </w:tcBorders>
            <w:shd w:val="clear" w:color="auto" w:fill="auto"/>
            <w:noWrap/>
            <w:vAlign w:val="center"/>
            <w:hideMark/>
          </w:tcPr>
          <w:p w14:paraId="05692ED1"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175</w:t>
            </w:r>
          </w:p>
        </w:tc>
        <w:tc>
          <w:tcPr>
            <w:tcW w:w="1111" w:type="dxa"/>
            <w:tcBorders>
              <w:top w:val="nil"/>
              <w:left w:val="nil"/>
              <w:bottom w:val="single" w:sz="8" w:space="0" w:color="auto"/>
              <w:right w:val="nil"/>
            </w:tcBorders>
            <w:shd w:val="clear" w:color="auto" w:fill="auto"/>
            <w:noWrap/>
            <w:vAlign w:val="center"/>
            <w:hideMark/>
          </w:tcPr>
          <w:p w14:paraId="2F35ACDE"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200</w:t>
            </w:r>
          </w:p>
        </w:tc>
        <w:tc>
          <w:tcPr>
            <w:tcW w:w="1111" w:type="dxa"/>
            <w:tcBorders>
              <w:top w:val="nil"/>
              <w:left w:val="nil"/>
              <w:bottom w:val="single" w:sz="8" w:space="0" w:color="auto"/>
              <w:right w:val="nil"/>
            </w:tcBorders>
            <w:shd w:val="clear" w:color="auto" w:fill="auto"/>
            <w:noWrap/>
            <w:vAlign w:val="center"/>
            <w:hideMark/>
          </w:tcPr>
          <w:p w14:paraId="3935892E"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225</w:t>
            </w:r>
          </w:p>
        </w:tc>
        <w:tc>
          <w:tcPr>
            <w:tcW w:w="1111" w:type="dxa"/>
            <w:tcBorders>
              <w:top w:val="nil"/>
              <w:left w:val="nil"/>
              <w:bottom w:val="single" w:sz="8" w:space="0" w:color="auto"/>
              <w:right w:val="nil"/>
            </w:tcBorders>
            <w:shd w:val="clear" w:color="auto" w:fill="auto"/>
            <w:noWrap/>
            <w:vAlign w:val="center"/>
            <w:hideMark/>
          </w:tcPr>
          <w:p w14:paraId="55DC7CF5"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250</w:t>
            </w:r>
          </w:p>
        </w:tc>
        <w:tc>
          <w:tcPr>
            <w:tcW w:w="1111" w:type="dxa"/>
            <w:tcBorders>
              <w:top w:val="nil"/>
              <w:left w:val="nil"/>
              <w:bottom w:val="single" w:sz="8" w:space="0" w:color="auto"/>
              <w:right w:val="nil"/>
            </w:tcBorders>
            <w:shd w:val="clear" w:color="auto" w:fill="auto"/>
            <w:noWrap/>
            <w:vAlign w:val="center"/>
            <w:hideMark/>
          </w:tcPr>
          <w:p w14:paraId="06B29547"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275</w:t>
            </w:r>
          </w:p>
        </w:tc>
      </w:tr>
      <w:tr w:rsidR="00C17DEE" w:rsidRPr="009D4937" w14:paraId="52085E13" w14:textId="77777777" w:rsidTr="008A324E">
        <w:trPr>
          <w:trHeight w:val="422"/>
        </w:trPr>
        <w:tc>
          <w:tcPr>
            <w:tcW w:w="2000" w:type="dxa"/>
            <w:tcBorders>
              <w:top w:val="nil"/>
              <w:left w:val="nil"/>
              <w:bottom w:val="single" w:sz="8" w:space="0" w:color="auto"/>
              <w:right w:val="nil"/>
            </w:tcBorders>
            <w:shd w:val="clear" w:color="auto" w:fill="auto"/>
            <w:noWrap/>
            <w:vAlign w:val="center"/>
            <w:hideMark/>
          </w:tcPr>
          <w:p w14:paraId="313D6383" w14:textId="77777777" w:rsidR="00C17DEE" w:rsidRPr="009D4937" w:rsidRDefault="00C17DEE" w:rsidP="008A324E">
            <w:pPr>
              <w:spacing w:after="0" w:line="240" w:lineRule="auto"/>
              <w:rPr>
                <w:rFonts w:eastAsia="Times New Roman" w:cs="Times New Roman"/>
                <w:color w:val="000000"/>
                <w:sz w:val="18"/>
                <w:szCs w:val="18"/>
              </w:rPr>
            </w:pPr>
            <w:r w:rsidRPr="009D4937">
              <w:rPr>
                <w:rFonts w:eastAsia="Times New Roman" w:cs="Times New Roman"/>
                <w:color w:val="000000"/>
                <w:sz w:val="18"/>
                <w:szCs w:val="18"/>
              </w:rPr>
              <w:t>Solar Capacity Factor (%)</w:t>
            </w:r>
          </w:p>
        </w:tc>
        <w:tc>
          <w:tcPr>
            <w:tcW w:w="929" w:type="dxa"/>
            <w:tcBorders>
              <w:top w:val="nil"/>
              <w:left w:val="nil"/>
              <w:bottom w:val="single" w:sz="8" w:space="0" w:color="auto"/>
              <w:right w:val="nil"/>
            </w:tcBorders>
            <w:shd w:val="clear" w:color="auto" w:fill="auto"/>
            <w:noWrap/>
            <w:vAlign w:val="center"/>
            <w:hideMark/>
          </w:tcPr>
          <w:p w14:paraId="1B1F6758"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18.2%</w:t>
            </w:r>
          </w:p>
        </w:tc>
        <w:tc>
          <w:tcPr>
            <w:tcW w:w="1111" w:type="dxa"/>
            <w:tcBorders>
              <w:top w:val="nil"/>
              <w:left w:val="nil"/>
              <w:bottom w:val="single" w:sz="8" w:space="0" w:color="auto"/>
              <w:right w:val="nil"/>
            </w:tcBorders>
            <w:shd w:val="clear" w:color="auto" w:fill="auto"/>
            <w:noWrap/>
            <w:vAlign w:val="center"/>
            <w:hideMark/>
          </w:tcPr>
          <w:p w14:paraId="1ECC4AC6"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18.2%</w:t>
            </w:r>
          </w:p>
        </w:tc>
        <w:tc>
          <w:tcPr>
            <w:tcW w:w="1111" w:type="dxa"/>
            <w:tcBorders>
              <w:top w:val="nil"/>
              <w:left w:val="nil"/>
              <w:bottom w:val="single" w:sz="8" w:space="0" w:color="auto"/>
              <w:right w:val="nil"/>
            </w:tcBorders>
            <w:shd w:val="clear" w:color="auto" w:fill="auto"/>
            <w:noWrap/>
            <w:vAlign w:val="center"/>
            <w:hideMark/>
          </w:tcPr>
          <w:p w14:paraId="1E5D636D"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18.2%</w:t>
            </w:r>
          </w:p>
        </w:tc>
        <w:tc>
          <w:tcPr>
            <w:tcW w:w="1111" w:type="dxa"/>
            <w:tcBorders>
              <w:top w:val="nil"/>
              <w:left w:val="nil"/>
              <w:bottom w:val="single" w:sz="8" w:space="0" w:color="auto"/>
              <w:right w:val="nil"/>
            </w:tcBorders>
            <w:shd w:val="clear" w:color="auto" w:fill="auto"/>
            <w:noWrap/>
            <w:vAlign w:val="center"/>
            <w:hideMark/>
          </w:tcPr>
          <w:p w14:paraId="7FBC09BC"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18.2%</w:t>
            </w:r>
          </w:p>
        </w:tc>
        <w:tc>
          <w:tcPr>
            <w:tcW w:w="1111" w:type="dxa"/>
            <w:tcBorders>
              <w:top w:val="nil"/>
              <w:left w:val="nil"/>
              <w:bottom w:val="single" w:sz="8" w:space="0" w:color="auto"/>
              <w:right w:val="nil"/>
            </w:tcBorders>
            <w:shd w:val="clear" w:color="auto" w:fill="auto"/>
            <w:noWrap/>
            <w:vAlign w:val="center"/>
            <w:hideMark/>
          </w:tcPr>
          <w:p w14:paraId="6BCE79E4"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18.2%</w:t>
            </w:r>
          </w:p>
        </w:tc>
        <w:tc>
          <w:tcPr>
            <w:tcW w:w="1111" w:type="dxa"/>
            <w:tcBorders>
              <w:top w:val="nil"/>
              <w:left w:val="nil"/>
              <w:bottom w:val="single" w:sz="8" w:space="0" w:color="auto"/>
              <w:right w:val="nil"/>
            </w:tcBorders>
            <w:shd w:val="clear" w:color="auto" w:fill="auto"/>
            <w:noWrap/>
            <w:vAlign w:val="center"/>
            <w:hideMark/>
          </w:tcPr>
          <w:p w14:paraId="6B26FEC3"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18.2%</w:t>
            </w:r>
          </w:p>
        </w:tc>
      </w:tr>
      <w:tr w:rsidR="00C17DEE" w:rsidRPr="009D4937" w14:paraId="226C7F98" w14:textId="77777777" w:rsidTr="008A324E">
        <w:trPr>
          <w:trHeight w:val="422"/>
        </w:trPr>
        <w:tc>
          <w:tcPr>
            <w:tcW w:w="2000" w:type="dxa"/>
            <w:tcBorders>
              <w:top w:val="nil"/>
              <w:left w:val="nil"/>
              <w:bottom w:val="single" w:sz="8" w:space="0" w:color="auto"/>
              <w:right w:val="nil"/>
            </w:tcBorders>
            <w:shd w:val="clear" w:color="auto" w:fill="auto"/>
            <w:noWrap/>
            <w:vAlign w:val="center"/>
            <w:hideMark/>
          </w:tcPr>
          <w:p w14:paraId="260DD3A6" w14:textId="77777777" w:rsidR="00C17DEE" w:rsidRPr="009D4937" w:rsidRDefault="00C17DEE" w:rsidP="008A324E">
            <w:pPr>
              <w:spacing w:after="0" w:line="240" w:lineRule="auto"/>
              <w:rPr>
                <w:rFonts w:eastAsia="Times New Roman" w:cs="Times New Roman"/>
                <w:color w:val="000000"/>
                <w:sz w:val="18"/>
                <w:szCs w:val="18"/>
              </w:rPr>
            </w:pPr>
            <w:r w:rsidRPr="009D4937">
              <w:rPr>
                <w:rFonts w:eastAsia="Times New Roman" w:cs="Times New Roman"/>
                <w:color w:val="000000"/>
                <w:sz w:val="18"/>
                <w:szCs w:val="18"/>
              </w:rPr>
              <w:lastRenderedPageBreak/>
              <w:t>Solar Energy (GWh)</w:t>
            </w:r>
          </w:p>
        </w:tc>
        <w:tc>
          <w:tcPr>
            <w:tcW w:w="929" w:type="dxa"/>
            <w:tcBorders>
              <w:top w:val="nil"/>
              <w:left w:val="nil"/>
              <w:bottom w:val="single" w:sz="8" w:space="0" w:color="auto"/>
              <w:right w:val="nil"/>
            </w:tcBorders>
            <w:shd w:val="clear" w:color="auto" w:fill="auto"/>
            <w:noWrap/>
            <w:vAlign w:val="center"/>
            <w:hideMark/>
          </w:tcPr>
          <w:p w14:paraId="7B7D4B7C"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239</w:t>
            </w:r>
          </w:p>
        </w:tc>
        <w:tc>
          <w:tcPr>
            <w:tcW w:w="1111" w:type="dxa"/>
            <w:tcBorders>
              <w:top w:val="nil"/>
              <w:left w:val="nil"/>
              <w:bottom w:val="single" w:sz="8" w:space="0" w:color="auto"/>
              <w:right w:val="nil"/>
            </w:tcBorders>
            <w:shd w:val="clear" w:color="auto" w:fill="auto"/>
            <w:noWrap/>
            <w:vAlign w:val="center"/>
            <w:hideMark/>
          </w:tcPr>
          <w:p w14:paraId="10C5DF7E"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279</w:t>
            </w:r>
          </w:p>
        </w:tc>
        <w:tc>
          <w:tcPr>
            <w:tcW w:w="1111" w:type="dxa"/>
            <w:tcBorders>
              <w:top w:val="nil"/>
              <w:left w:val="nil"/>
              <w:bottom w:val="single" w:sz="8" w:space="0" w:color="auto"/>
              <w:right w:val="nil"/>
            </w:tcBorders>
            <w:shd w:val="clear" w:color="auto" w:fill="auto"/>
            <w:noWrap/>
            <w:vAlign w:val="center"/>
            <w:hideMark/>
          </w:tcPr>
          <w:p w14:paraId="121B999A"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319</w:t>
            </w:r>
          </w:p>
        </w:tc>
        <w:tc>
          <w:tcPr>
            <w:tcW w:w="1111" w:type="dxa"/>
            <w:tcBorders>
              <w:top w:val="nil"/>
              <w:left w:val="nil"/>
              <w:bottom w:val="single" w:sz="8" w:space="0" w:color="auto"/>
              <w:right w:val="nil"/>
            </w:tcBorders>
            <w:shd w:val="clear" w:color="auto" w:fill="auto"/>
            <w:noWrap/>
            <w:vAlign w:val="center"/>
            <w:hideMark/>
          </w:tcPr>
          <w:p w14:paraId="47E05E98"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359</w:t>
            </w:r>
          </w:p>
        </w:tc>
        <w:tc>
          <w:tcPr>
            <w:tcW w:w="1111" w:type="dxa"/>
            <w:tcBorders>
              <w:top w:val="nil"/>
              <w:left w:val="nil"/>
              <w:bottom w:val="single" w:sz="8" w:space="0" w:color="auto"/>
              <w:right w:val="nil"/>
            </w:tcBorders>
            <w:shd w:val="clear" w:color="auto" w:fill="auto"/>
            <w:noWrap/>
            <w:vAlign w:val="center"/>
            <w:hideMark/>
          </w:tcPr>
          <w:p w14:paraId="0599C929"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399</w:t>
            </w:r>
          </w:p>
        </w:tc>
        <w:tc>
          <w:tcPr>
            <w:tcW w:w="1111" w:type="dxa"/>
            <w:tcBorders>
              <w:top w:val="nil"/>
              <w:left w:val="nil"/>
              <w:bottom w:val="single" w:sz="8" w:space="0" w:color="auto"/>
              <w:right w:val="nil"/>
            </w:tcBorders>
            <w:shd w:val="clear" w:color="auto" w:fill="auto"/>
            <w:noWrap/>
            <w:vAlign w:val="center"/>
            <w:hideMark/>
          </w:tcPr>
          <w:p w14:paraId="77C6D87F"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438</w:t>
            </w:r>
          </w:p>
        </w:tc>
      </w:tr>
      <w:tr w:rsidR="00C17DEE" w:rsidRPr="009D4937" w14:paraId="294C8EA9" w14:textId="77777777" w:rsidTr="008A324E">
        <w:trPr>
          <w:trHeight w:val="403"/>
        </w:trPr>
        <w:tc>
          <w:tcPr>
            <w:tcW w:w="2000" w:type="dxa"/>
            <w:tcBorders>
              <w:top w:val="single" w:sz="8" w:space="0" w:color="auto"/>
              <w:left w:val="nil"/>
              <w:bottom w:val="single" w:sz="4" w:space="0" w:color="auto"/>
              <w:right w:val="nil"/>
            </w:tcBorders>
            <w:shd w:val="clear" w:color="auto" w:fill="auto"/>
            <w:noWrap/>
            <w:vAlign w:val="center"/>
            <w:hideMark/>
          </w:tcPr>
          <w:p w14:paraId="37679CA5" w14:textId="77777777" w:rsidR="00C17DEE" w:rsidRPr="009D4937" w:rsidRDefault="00C17DEE" w:rsidP="008A324E">
            <w:pPr>
              <w:spacing w:after="0" w:line="240" w:lineRule="auto"/>
              <w:rPr>
                <w:rFonts w:eastAsia="Times New Roman" w:cs="Times New Roman"/>
                <w:color w:val="000000"/>
                <w:sz w:val="18"/>
                <w:szCs w:val="18"/>
              </w:rPr>
            </w:pPr>
            <w:r w:rsidRPr="009D4937">
              <w:rPr>
                <w:rFonts w:eastAsia="Times New Roman" w:cs="Times New Roman"/>
                <w:color w:val="000000"/>
                <w:sz w:val="18"/>
                <w:szCs w:val="18"/>
              </w:rPr>
              <w:t>Total Eligible Gen (GWh)</w:t>
            </w:r>
          </w:p>
        </w:tc>
        <w:tc>
          <w:tcPr>
            <w:tcW w:w="929" w:type="dxa"/>
            <w:tcBorders>
              <w:top w:val="single" w:sz="8" w:space="0" w:color="auto"/>
              <w:left w:val="nil"/>
              <w:bottom w:val="single" w:sz="4" w:space="0" w:color="auto"/>
              <w:right w:val="nil"/>
            </w:tcBorders>
            <w:shd w:val="clear" w:color="auto" w:fill="auto"/>
            <w:noWrap/>
            <w:vAlign w:val="bottom"/>
            <w:hideMark/>
          </w:tcPr>
          <w:p w14:paraId="1CF14926"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2,727</w:t>
            </w:r>
          </w:p>
        </w:tc>
        <w:tc>
          <w:tcPr>
            <w:tcW w:w="1111" w:type="dxa"/>
            <w:tcBorders>
              <w:top w:val="single" w:sz="8" w:space="0" w:color="auto"/>
              <w:left w:val="nil"/>
              <w:bottom w:val="single" w:sz="4" w:space="0" w:color="auto"/>
              <w:right w:val="nil"/>
            </w:tcBorders>
            <w:shd w:val="clear" w:color="auto" w:fill="auto"/>
            <w:noWrap/>
            <w:vAlign w:val="bottom"/>
            <w:hideMark/>
          </w:tcPr>
          <w:p w14:paraId="6F8FFD29"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3,016</w:t>
            </w:r>
          </w:p>
        </w:tc>
        <w:tc>
          <w:tcPr>
            <w:tcW w:w="1111" w:type="dxa"/>
            <w:tcBorders>
              <w:top w:val="single" w:sz="8" w:space="0" w:color="auto"/>
              <w:left w:val="nil"/>
              <w:bottom w:val="single" w:sz="4" w:space="0" w:color="auto"/>
              <w:right w:val="nil"/>
            </w:tcBorders>
            <w:shd w:val="clear" w:color="auto" w:fill="auto"/>
            <w:noWrap/>
            <w:vAlign w:val="bottom"/>
            <w:hideMark/>
          </w:tcPr>
          <w:p w14:paraId="01EFFD3E"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3,304</w:t>
            </w:r>
          </w:p>
        </w:tc>
        <w:tc>
          <w:tcPr>
            <w:tcW w:w="1111" w:type="dxa"/>
            <w:tcBorders>
              <w:top w:val="single" w:sz="8" w:space="0" w:color="auto"/>
              <w:left w:val="nil"/>
              <w:bottom w:val="single" w:sz="4" w:space="0" w:color="auto"/>
              <w:right w:val="nil"/>
            </w:tcBorders>
            <w:shd w:val="clear" w:color="auto" w:fill="auto"/>
            <w:noWrap/>
            <w:vAlign w:val="bottom"/>
            <w:hideMark/>
          </w:tcPr>
          <w:p w14:paraId="6ED2E400"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3,593</w:t>
            </w:r>
          </w:p>
        </w:tc>
        <w:tc>
          <w:tcPr>
            <w:tcW w:w="1111" w:type="dxa"/>
            <w:tcBorders>
              <w:top w:val="single" w:sz="8" w:space="0" w:color="auto"/>
              <w:left w:val="nil"/>
              <w:bottom w:val="single" w:sz="4" w:space="0" w:color="auto"/>
              <w:right w:val="nil"/>
            </w:tcBorders>
            <w:shd w:val="clear" w:color="auto" w:fill="auto"/>
            <w:noWrap/>
            <w:vAlign w:val="bottom"/>
            <w:hideMark/>
          </w:tcPr>
          <w:p w14:paraId="2B81C1D9"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3,882</w:t>
            </w:r>
          </w:p>
        </w:tc>
        <w:tc>
          <w:tcPr>
            <w:tcW w:w="1111" w:type="dxa"/>
            <w:tcBorders>
              <w:top w:val="single" w:sz="8" w:space="0" w:color="auto"/>
              <w:left w:val="nil"/>
              <w:bottom w:val="single" w:sz="4" w:space="0" w:color="auto"/>
              <w:right w:val="nil"/>
            </w:tcBorders>
            <w:shd w:val="clear" w:color="auto" w:fill="auto"/>
            <w:noWrap/>
            <w:vAlign w:val="bottom"/>
            <w:hideMark/>
          </w:tcPr>
          <w:p w14:paraId="2BF67754" w14:textId="77777777" w:rsidR="00C17DEE" w:rsidRPr="009D4937" w:rsidRDefault="00C17DEE" w:rsidP="008A324E">
            <w:pPr>
              <w:spacing w:after="0" w:line="240" w:lineRule="auto"/>
              <w:jc w:val="right"/>
              <w:rPr>
                <w:rFonts w:eastAsia="Times New Roman" w:cs="Times New Roman"/>
                <w:color w:val="000000"/>
                <w:sz w:val="18"/>
                <w:szCs w:val="18"/>
              </w:rPr>
            </w:pPr>
            <w:r w:rsidRPr="009D4937">
              <w:rPr>
                <w:rFonts w:eastAsia="Times New Roman" w:cs="Times New Roman"/>
                <w:color w:val="000000"/>
                <w:sz w:val="18"/>
                <w:szCs w:val="18"/>
              </w:rPr>
              <w:t>4,170</w:t>
            </w:r>
          </w:p>
        </w:tc>
      </w:tr>
    </w:tbl>
    <w:p w14:paraId="137B04D2" w14:textId="77777777" w:rsidR="00C17DEE" w:rsidRDefault="00C17DEE" w:rsidP="00A06ED9">
      <w:pPr>
        <w:spacing w:line="360" w:lineRule="auto"/>
        <w:ind w:firstLine="360"/>
        <w:rPr>
          <w:rFonts w:ascii="Times New Roman" w:hAnsi="Times New Roman" w:cs="Times New Roman"/>
          <w:sz w:val="24"/>
          <w:szCs w:val="24"/>
        </w:rPr>
      </w:pPr>
    </w:p>
    <w:p w14:paraId="1AA978C0" w14:textId="5DBD92E2" w:rsidR="003244BD" w:rsidRPr="00D65A3B" w:rsidRDefault="003244BD" w:rsidP="003244BD">
      <w:pPr>
        <w:spacing w:line="360" w:lineRule="auto"/>
        <w:ind w:firstLine="360"/>
        <w:rPr>
          <w:rFonts w:ascii="Times New Roman" w:hAnsi="Times New Roman" w:cs="Times New Roman"/>
          <w:sz w:val="24"/>
          <w:szCs w:val="24"/>
        </w:rPr>
      </w:pPr>
      <w:r w:rsidRPr="00D65A3B">
        <w:rPr>
          <w:rFonts w:ascii="Times New Roman" w:hAnsi="Times New Roman" w:cs="Times New Roman"/>
          <w:sz w:val="24"/>
          <w:szCs w:val="24"/>
        </w:rPr>
        <w:t xml:space="preserve">The above equations </w:t>
      </w:r>
      <w:r>
        <w:rPr>
          <w:rFonts w:ascii="Times New Roman" w:hAnsi="Times New Roman" w:cs="Times New Roman"/>
          <w:sz w:val="24"/>
          <w:szCs w:val="24"/>
        </w:rPr>
        <w:t>are</w:t>
      </w:r>
      <w:r w:rsidRPr="00D65A3B">
        <w:rPr>
          <w:rFonts w:ascii="Times New Roman" w:hAnsi="Times New Roman" w:cs="Times New Roman"/>
          <w:sz w:val="24"/>
          <w:szCs w:val="24"/>
        </w:rPr>
        <w:t xml:space="preserve"> sufficient to calculate the expected annual energy output from renewable energy associated with an RPS. As </w:t>
      </w:r>
      <w:r>
        <w:rPr>
          <w:rFonts w:ascii="Times New Roman" w:hAnsi="Times New Roman" w:cs="Times New Roman"/>
          <w:sz w:val="24"/>
          <w:szCs w:val="24"/>
        </w:rPr>
        <w:t xml:space="preserve">previously </w:t>
      </w:r>
      <w:r w:rsidRPr="00D65A3B">
        <w:rPr>
          <w:rFonts w:ascii="Times New Roman" w:hAnsi="Times New Roman" w:cs="Times New Roman"/>
          <w:sz w:val="24"/>
          <w:szCs w:val="24"/>
        </w:rPr>
        <w:t xml:space="preserve">noted, annual capacity factor projections vary by technology and </w:t>
      </w:r>
      <w:r>
        <w:rPr>
          <w:rFonts w:ascii="Times New Roman" w:hAnsi="Times New Roman" w:cs="Times New Roman"/>
          <w:sz w:val="24"/>
          <w:szCs w:val="24"/>
        </w:rPr>
        <w:t xml:space="preserve">even </w:t>
      </w:r>
      <w:r w:rsidRPr="00D65A3B">
        <w:rPr>
          <w:rFonts w:ascii="Times New Roman" w:hAnsi="Times New Roman" w:cs="Times New Roman"/>
          <w:sz w:val="24"/>
          <w:szCs w:val="24"/>
        </w:rPr>
        <w:t xml:space="preserve">within a technology category, depending on the location of the resource. As a result, if annual energy projections are based on aggregate capacity factors, a state should specify the location of all assumed </w:t>
      </w:r>
      <w:r>
        <w:rPr>
          <w:rFonts w:ascii="Times New Roman" w:hAnsi="Times New Roman" w:cs="Times New Roman"/>
          <w:sz w:val="24"/>
          <w:szCs w:val="24"/>
        </w:rPr>
        <w:t>RE generation</w:t>
      </w:r>
      <w:r w:rsidRPr="00D65A3B">
        <w:rPr>
          <w:rFonts w:ascii="Times New Roman" w:hAnsi="Times New Roman" w:cs="Times New Roman"/>
          <w:sz w:val="24"/>
          <w:szCs w:val="24"/>
        </w:rPr>
        <w:t xml:space="preserve"> and the source of capacity factor projections.</w:t>
      </w:r>
    </w:p>
    <w:p w14:paraId="010504C8" w14:textId="393D250D" w:rsidR="00DE3EE4" w:rsidRPr="00B616FF" w:rsidRDefault="001A612B" w:rsidP="006D4139">
      <w:pPr>
        <w:pStyle w:val="Heading2"/>
        <w:numPr>
          <w:ilvl w:val="0"/>
          <w:numId w:val="22"/>
        </w:numPr>
        <w:spacing w:after="240"/>
        <w:rPr>
          <w:rFonts w:ascii="Times New Roman" w:hAnsi="Times New Roman" w:cs="Times New Roman"/>
          <w:b/>
        </w:rPr>
      </w:pPr>
      <w:r w:rsidRPr="006D4139">
        <w:rPr>
          <w:rFonts w:ascii="Times New Roman" w:hAnsi="Times New Roman" w:cs="Times New Roman"/>
          <w:b/>
          <w:color w:val="auto"/>
        </w:rPr>
        <w:t xml:space="preserve">Documentation of Assumptions Related to </w:t>
      </w:r>
      <w:r w:rsidR="001751FF">
        <w:rPr>
          <w:rFonts w:ascii="Times New Roman" w:hAnsi="Times New Roman" w:cs="Times New Roman"/>
          <w:b/>
          <w:color w:val="auto"/>
        </w:rPr>
        <w:t>RE</w:t>
      </w:r>
      <w:r w:rsidR="003C1659">
        <w:rPr>
          <w:rFonts w:ascii="Times New Roman" w:hAnsi="Times New Roman" w:cs="Times New Roman"/>
          <w:b/>
          <w:color w:val="auto"/>
        </w:rPr>
        <w:t xml:space="preserve"> and Demand-Side </w:t>
      </w:r>
      <w:r w:rsidR="001751FF">
        <w:rPr>
          <w:rFonts w:ascii="Times New Roman" w:hAnsi="Times New Roman" w:cs="Times New Roman"/>
          <w:b/>
          <w:color w:val="auto"/>
        </w:rPr>
        <w:t>EE</w:t>
      </w:r>
      <w:r w:rsidR="003C1659">
        <w:rPr>
          <w:rFonts w:ascii="Times New Roman" w:hAnsi="Times New Roman" w:cs="Times New Roman"/>
          <w:b/>
          <w:color w:val="auto"/>
        </w:rPr>
        <w:t xml:space="preserve"> </w:t>
      </w:r>
      <w:r w:rsidR="00DE3EE4" w:rsidRPr="00B616FF">
        <w:rPr>
          <w:rFonts w:ascii="Times New Roman" w:hAnsi="Times New Roman" w:cs="Times New Roman"/>
          <w:b/>
          <w:color w:val="auto"/>
        </w:rPr>
        <w:t>in a State Plan CO</w:t>
      </w:r>
      <w:r w:rsidRPr="00B616FF">
        <w:rPr>
          <w:rFonts w:ascii="Times New Roman" w:hAnsi="Times New Roman" w:cs="Times New Roman"/>
          <w:b/>
          <w:color w:val="auto"/>
          <w:vertAlign w:val="subscript"/>
        </w:rPr>
        <w:t>2</w:t>
      </w:r>
      <w:r w:rsidR="00DE3EE4" w:rsidRPr="00B616FF">
        <w:rPr>
          <w:rFonts w:ascii="Times New Roman" w:hAnsi="Times New Roman" w:cs="Times New Roman"/>
          <w:b/>
          <w:color w:val="auto"/>
        </w:rPr>
        <w:t xml:space="preserve"> Performance </w:t>
      </w:r>
      <w:r w:rsidR="00B02D0C" w:rsidRPr="00B616FF">
        <w:rPr>
          <w:rFonts w:ascii="Times New Roman" w:hAnsi="Times New Roman" w:cs="Times New Roman"/>
          <w:b/>
          <w:color w:val="auto"/>
        </w:rPr>
        <w:t>Projection</w:t>
      </w:r>
    </w:p>
    <w:p w14:paraId="38952F58" w14:textId="0D839034" w:rsidR="00DE3EE4" w:rsidRPr="00D65A3B" w:rsidRDefault="0014320E" w:rsidP="00C87A1B">
      <w:pPr>
        <w:spacing w:line="360" w:lineRule="auto"/>
        <w:ind w:firstLine="360"/>
        <w:rPr>
          <w:rFonts w:ascii="Times New Roman" w:hAnsi="Times New Roman" w:cs="Times New Roman"/>
          <w:sz w:val="24"/>
          <w:szCs w:val="24"/>
        </w:rPr>
      </w:pPr>
      <w:r>
        <w:rPr>
          <w:rFonts w:ascii="Times New Roman" w:hAnsi="Times New Roman" w:cs="Times New Roman"/>
          <w:sz w:val="24"/>
          <w:szCs w:val="24"/>
        </w:rPr>
        <w:t>As explained above, s</w:t>
      </w:r>
      <w:r w:rsidR="00DE3EE4" w:rsidRPr="00D65A3B">
        <w:rPr>
          <w:rFonts w:ascii="Times New Roman" w:hAnsi="Times New Roman" w:cs="Times New Roman"/>
          <w:sz w:val="24"/>
          <w:szCs w:val="24"/>
        </w:rPr>
        <w:t xml:space="preserve">tates that plan to use </w:t>
      </w:r>
      <w:r w:rsidR="002D3924">
        <w:rPr>
          <w:rFonts w:ascii="Times New Roman" w:hAnsi="Times New Roman" w:cs="Times New Roman"/>
          <w:sz w:val="24"/>
          <w:szCs w:val="24"/>
        </w:rPr>
        <w:t>RE and demand-side EE</w:t>
      </w:r>
      <w:r w:rsidR="00B02D0C">
        <w:rPr>
          <w:rFonts w:ascii="Times New Roman" w:hAnsi="Times New Roman" w:cs="Times New Roman"/>
          <w:sz w:val="24"/>
          <w:szCs w:val="24"/>
        </w:rPr>
        <w:t xml:space="preserve"> </w:t>
      </w:r>
      <w:r w:rsidR="00DE3EE4" w:rsidRPr="00D65A3B">
        <w:rPr>
          <w:rFonts w:ascii="Times New Roman" w:hAnsi="Times New Roman" w:cs="Times New Roman"/>
          <w:sz w:val="24"/>
          <w:szCs w:val="24"/>
        </w:rPr>
        <w:t xml:space="preserve">policies and programs under a state </w:t>
      </w:r>
      <w:r w:rsidR="003609BD" w:rsidRPr="00D65A3B">
        <w:rPr>
          <w:rFonts w:ascii="Times New Roman" w:hAnsi="Times New Roman" w:cs="Times New Roman"/>
          <w:sz w:val="24"/>
          <w:szCs w:val="24"/>
        </w:rPr>
        <w:t xml:space="preserve">plan </w:t>
      </w:r>
      <w:r w:rsidR="00DE3EE4" w:rsidRPr="00D65A3B">
        <w:rPr>
          <w:rFonts w:ascii="Times New Roman" w:hAnsi="Times New Roman" w:cs="Times New Roman"/>
          <w:sz w:val="24"/>
          <w:szCs w:val="24"/>
        </w:rPr>
        <w:t>approach</w:t>
      </w:r>
      <w:r w:rsidR="003609BD" w:rsidRPr="00D65A3B">
        <w:rPr>
          <w:rFonts w:ascii="Times New Roman" w:hAnsi="Times New Roman" w:cs="Times New Roman"/>
          <w:sz w:val="24"/>
          <w:szCs w:val="24"/>
        </w:rPr>
        <w:t xml:space="preserve"> that requires a demonstration using projections (as described in </w:t>
      </w:r>
      <w:r w:rsidR="001751FF">
        <w:rPr>
          <w:rFonts w:ascii="Times New Roman" w:hAnsi="Times New Roman" w:cs="Times New Roman"/>
          <w:sz w:val="24"/>
          <w:szCs w:val="24"/>
        </w:rPr>
        <w:t>s</w:t>
      </w:r>
      <w:r w:rsidR="003609BD" w:rsidRPr="00D65A3B">
        <w:rPr>
          <w:rFonts w:ascii="Times New Roman" w:hAnsi="Times New Roman" w:cs="Times New Roman"/>
          <w:sz w:val="24"/>
          <w:szCs w:val="24"/>
        </w:rPr>
        <w:t xml:space="preserve">ection </w:t>
      </w:r>
      <w:r w:rsidR="003609BD" w:rsidRPr="008510DE">
        <w:rPr>
          <w:rFonts w:ascii="Times New Roman" w:hAnsi="Times New Roman" w:cs="Times New Roman"/>
          <w:sz w:val="24"/>
          <w:szCs w:val="24"/>
        </w:rPr>
        <w:t>VIII.D.2.a.(3)(a)</w:t>
      </w:r>
      <w:r w:rsidR="003609BD" w:rsidRPr="00D65A3B">
        <w:rPr>
          <w:rFonts w:ascii="Times New Roman" w:hAnsi="Times New Roman" w:cs="Times New Roman"/>
          <w:sz w:val="24"/>
          <w:szCs w:val="24"/>
        </w:rPr>
        <w:t xml:space="preserve"> of the preamble) </w:t>
      </w:r>
      <w:r w:rsidR="0063014D" w:rsidRPr="00D65A3B">
        <w:rPr>
          <w:rFonts w:ascii="Times New Roman" w:hAnsi="Times New Roman" w:cs="Times New Roman"/>
          <w:sz w:val="24"/>
          <w:szCs w:val="24"/>
        </w:rPr>
        <w:t>must</w:t>
      </w:r>
      <w:r w:rsidR="00DE3EE4" w:rsidRPr="00D65A3B">
        <w:rPr>
          <w:rFonts w:ascii="Times New Roman" w:hAnsi="Times New Roman" w:cs="Times New Roman"/>
          <w:sz w:val="24"/>
          <w:szCs w:val="24"/>
        </w:rPr>
        <w:t xml:space="preserve"> </w:t>
      </w:r>
      <w:r w:rsidR="003609BD" w:rsidRPr="00D65A3B">
        <w:rPr>
          <w:rFonts w:ascii="Times New Roman" w:hAnsi="Times New Roman" w:cs="Times New Roman"/>
          <w:sz w:val="24"/>
          <w:szCs w:val="24"/>
        </w:rPr>
        <w:t>quantify</w:t>
      </w:r>
      <w:r w:rsidR="00833827" w:rsidRPr="00D65A3B">
        <w:rPr>
          <w:rFonts w:ascii="Times New Roman" w:hAnsi="Times New Roman" w:cs="Times New Roman"/>
          <w:sz w:val="24"/>
          <w:szCs w:val="24"/>
        </w:rPr>
        <w:t xml:space="preserve"> for each requirement and program</w:t>
      </w:r>
      <w:r w:rsidR="003609BD" w:rsidRPr="00D65A3B">
        <w:rPr>
          <w:rFonts w:ascii="Times New Roman" w:hAnsi="Times New Roman" w:cs="Times New Roman"/>
          <w:sz w:val="24"/>
          <w:szCs w:val="24"/>
        </w:rPr>
        <w:t xml:space="preserve"> </w:t>
      </w:r>
      <w:r w:rsidR="00DE3EE4" w:rsidRPr="00D65A3B">
        <w:rPr>
          <w:rFonts w:ascii="Times New Roman" w:hAnsi="Times New Roman" w:cs="Times New Roman"/>
          <w:sz w:val="24"/>
          <w:szCs w:val="24"/>
        </w:rPr>
        <w:t xml:space="preserve">the </w:t>
      </w:r>
      <w:r w:rsidR="00833827" w:rsidRPr="00D65A3B">
        <w:rPr>
          <w:rFonts w:ascii="Times New Roman" w:hAnsi="Times New Roman" w:cs="Times New Roman"/>
          <w:sz w:val="24"/>
          <w:szCs w:val="24"/>
        </w:rPr>
        <w:t xml:space="preserve">expected </w:t>
      </w:r>
      <w:r w:rsidR="00DE3EE4" w:rsidRPr="00D65A3B">
        <w:rPr>
          <w:rFonts w:ascii="Times New Roman" w:hAnsi="Times New Roman" w:cs="Times New Roman"/>
          <w:sz w:val="24"/>
          <w:szCs w:val="24"/>
        </w:rPr>
        <w:t>direct electricity savings and genera</w:t>
      </w:r>
      <w:r>
        <w:rPr>
          <w:rFonts w:ascii="Times New Roman" w:hAnsi="Times New Roman" w:cs="Times New Roman"/>
          <w:sz w:val="24"/>
          <w:szCs w:val="24"/>
        </w:rPr>
        <w:t>tion impacts on affected EGUs. Further, t</w:t>
      </w:r>
      <w:r w:rsidR="00DE3EE4" w:rsidRPr="00D65A3B">
        <w:rPr>
          <w:rFonts w:ascii="Times New Roman" w:hAnsi="Times New Roman" w:cs="Times New Roman"/>
          <w:sz w:val="24"/>
          <w:szCs w:val="24"/>
        </w:rPr>
        <w:t xml:space="preserve">he state plan performance demonstration </w:t>
      </w:r>
      <w:r w:rsidR="0063014D" w:rsidRPr="00D65A3B">
        <w:rPr>
          <w:rFonts w:ascii="Times New Roman" w:hAnsi="Times New Roman" w:cs="Times New Roman"/>
          <w:sz w:val="24"/>
          <w:szCs w:val="24"/>
        </w:rPr>
        <w:t>must</w:t>
      </w:r>
      <w:r w:rsidR="00DE3EE4" w:rsidRPr="00D65A3B">
        <w:rPr>
          <w:rFonts w:ascii="Times New Roman" w:hAnsi="Times New Roman" w:cs="Times New Roman"/>
          <w:sz w:val="24"/>
          <w:szCs w:val="24"/>
        </w:rPr>
        <w:t xml:space="preserve"> document the underlying assumptions regarding the </w:t>
      </w:r>
      <w:r w:rsidR="00674E76" w:rsidRPr="00D65A3B">
        <w:rPr>
          <w:rFonts w:ascii="Times New Roman" w:hAnsi="Times New Roman" w:cs="Times New Roman"/>
          <w:sz w:val="24"/>
          <w:szCs w:val="24"/>
        </w:rPr>
        <w:t xml:space="preserve">renewable electricity generation </w:t>
      </w:r>
      <w:r w:rsidR="00674E76">
        <w:rPr>
          <w:rFonts w:ascii="Times New Roman" w:hAnsi="Times New Roman" w:cs="Times New Roman"/>
          <w:sz w:val="24"/>
          <w:szCs w:val="24"/>
        </w:rPr>
        <w:t xml:space="preserve">and </w:t>
      </w:r>
      <w:r w:rsidR="00DE3EE4" w:rsidRPr="00D65A3B">
        <w:rPr>
          <w:rFonts w:ascii="Times New Roman" w:hAnsi="Times New Roman" w:cs="Times New Roman"/>
          <w:sz w:val="24"/>
          <w:szCs w:val="24"/>
        </w:rPr>
        <w:t xml:space="preserve">electricity savings </w:t>
      </w:r>
      <w:r w:rsidR="001751FF" w:rsidRPr="00D65A3B">
        <w:rPr>
          <w:rFonts w:ascii="Times New Roman" w:hAnsi="Times New Roman" w:cs="Times New Roman"/>
          <w:sz w:val="24"/>
          <w:szCs w:val="24"/>
        </w:rPr>
        <w:t xml:space="preserve">impacts </w:t>
      </w:r>
      <w:r w:rsidR="00C77ED2" w:rsidRPr="00D65A3B">
        <w:rPr>
          <w:rFonts w:ascii="Times New Roman" w:hAnsi="Times New Roman" w:cs="Times New Roman"/>
          <w:sz w:val="24"/>
          <w:szCs w:val="24"/>
        </w:rPr>
        <w:t>on affected EGUs.</w:t>
      </w:r>
      <w:r w:rsidR="00DE3EE4" w:rsidRPr="00D65A3B">
        <w:rPr>
          <w:rFonts w:ascii="Times New Roman" w:hAnsi="Times New Roman" w:cs="Times New Roman"/>
          <w:sz w:val="24"/>
          <w:szCs w:val="24"/>
        </w:rPr>
        <w:t xml:space="preserve"> Specific considerations and assumptions that should be described in the state plan, when relevant,</w:t>
      </w:r>
      <w:r w:rsidR="0063014D" w:rsidRPr="00D65A3B">
        <w:rPr>
          <w:rFonts w:ascii="Times New Roman" w:hAnsi="Times New Roman" w:cs="Times New Roman"/>
          <w:sz w:val="24"/>
          <w:szCs w:val="24"/>
        </w:rPr>
        <w:t xml:space="preserve"> include the following:</w:t>
      </w:r>
    </w:p>
    <w:p w14:paraId="4E460FC5" w14:textId="55950E6F" w:rsidR="00DE3EE4" w:rsidRPr="00D65A3B" w:rsidRDefault="00DE3EE4" w:rsidP="0001286F">
      <w:pPr>
        <w:numPr>
          <w:ilvl w:val="0"/>
          <w:numId w:val="3"/>
        </w:numPr>
        <w:spacing w:line="360" w:lineRule="auto"/>
        <w:contextualSpacing/>
        <w:rPr>
          <w:rFonts w:ascii="Times New Roman" w:hAnsi="Times New Roman" w:cs="Times New Roman"/>
          <w:sz w:val="24"/>
          <w:szCs w:val="24"/>
        </w:rPr>
      </w:pPr>
      <w:r w:rsidRPr="00D65A3B">
        <w:rPr>
          <w:rFonts w:ascii="Times New Roman" w:hAnsi="Times New Roman" w:cs="Times New Roman"/>
          <w:i/>
          <w:sz w:val="24"/>
          <w:szCs w:val="24"/>
        </w:rPr>
        <w:t xml:space="preserve">Energy </w:t>
      </w:r>
      <w:r w:rsidR="0063014D" w:rsidRPr="00D65A3B">
        <w:rPr>
          <w:rFonts w:ascii="Times New Roman" w:hAnsi="Times New Roman" w:cs="Times New Roman"/>
          <w:i/>
          <w:sz w:val="24"/>
          <w:szCs w:val="24"/>
        </w:rPr>
        <w:t>e</w:t>
      </w:r>
      <w:r w:rsidRPr="00D65A3B">
        <w:rPr>
          <w:rFonts w:ascii="Times New Roman" w:hAnsi="Times New Roman" w:cs="Times New Roman"/>
          <w:i/>
          <w:sz w:val="24"/>
          <w:szCs w:val="24"/>
        </w:rPr>
        <w:t xml:space="preserve">fficiency and/or renewable energy </w:t>
      </w:r>
      <w:r w:rsidR="0063014D" w:rsidRPr="00D65A3B">
        <w:rPr>
          <w:rFonts w:ascii="Times New Roman" w:hAnsi="Times New Roman" w:cs="Times New Roman"/>
          <w:i/>
          <w:sz w:val="24"/>
          <w:szCs w:val="24"/>
        </w:rPr>
        <w:t>r</w:t>
      </w:r>
      <w:r w:rsidRPr="00D65A3B">
        <w:rPr>
          <w:rFonts w:ascii="Times New Roman" w:hAnsi="Times New Roman" w:cs="Times New Roman"/>
          <w:i/>
          <w:sz w:val="24"/>
          <w:szCs w:val="24"/>
        </w:rPr>
        <w:t xml:space="preserve">equirement or </w:t>
      </w:r>
      <w:r w:rsidR="0063014D" w:rsidRPr="00D65A3B">
        <w:rPr>
          <w:rFonts w:ascii="Times New Roman" w:hAnsi="Times New Roman" w:cs="Times New Roman"/>
          <w:i/>
          <w:sz w:val="24"/>
          <w:szCs w:val="24"/>
        </w:rPr>
        <w:t>p</w:t>
      </w:r>
      <w:r w:rsidRPr="00D65A3B">
        <w:rPr>
          <w:rFonts w:ascii="Times New Roman" w:hAnsi="Times New Roman" w:cs="Times New Roman"/>
          <w:i/>
          <w:sz w:val="24"/>
          <w:szCs w:val="24"/>
        </w:rPr>
        <w:t xml:space="preserve">rogram description:  </w:t>
      </w:r>
      <w:r w:rsidRPr="00D65A3B">
        <w:rPr>
          <w:rFonts w:ascii="Times New Roman" w:hAnsi="Times New Roman" w:cs="Times New Roman"/>
          <w:sz w:val="24"/>
          <w:szCs w:val="24"/>
        </w:rPr>
        <w:t>What is the requirement/program? Who will administer it? Does it require new legislation or can a state implement it under existing authorities?</w:t>
      </w:r>
    </w:p>
    <w:p w14:paraId="70D7E4D6" w14:textId="7C0E60C1" w:rsidR="00DE3EE4" w:rsidRPr="00D65A3B" w:rsidRDefault="00DE3EE4" w:rsidP="0001286F">
      <w:pPr>
        <w:numPr>
          <w:ilvl w:val="0"/>
          <w:numId w:val="3"/>
        </w:numPr>
        <w:spacing w:line="360" w:lineRule="auto"/>
        <w:contextualSpacing/>
        <w:rPr>
          <w:rFonts w:ascii="Times New Roman" w:hAnsi="Times New Roman" w:cs="Times New Roman"/>
          <w:sz w:val="24"/>
          <w:szCs w:val="24"/>
        </w:rPr>
      </w:pPr>
      <w:r w:rsidRPr="00D65A3B">
        <w:rPr>
          <w:rFonts w:ascii="Times New Roman" w:hAnsi="Times New Roman" w:cs="Times New Roman"/>
          <w:i/>
          <w:sz w:val="24"/>
          <w:szCs w:val="24"/>
        </w:rPr>
        <w:t>Requirements/</w:t>
      </w:r>
      <w:r w:rsidR="00833827" w:rsidRPr="00D65A3B">
        <w:rPr>
          <w:rFonts w:ascii="Times New Roman" w:hAnsi="Times New Roman" w:cs="Times New Roman"/>
          <w:i/>
          <w:sz w:val="24"/>
          <w:szCs w:val="24"/>
        </w:rPr>
        <w:t>p</w:t>
      </w:r>
      <w:r w:rsidRPr="00D65A3B">
        <w:rPr>
          <w:rFonts w:ascii="Times New Roman" w:hAnsi="Times New Roman" w:cs="Times New Roman"/>
          <w:i/>
          <w:sz w:val="24"/>
          <w:szCs w:val="24"/>
        </w:rPr>
        <w:t>rogram time period:</w:t>
      </w:r>
      <w:r w:rsidRPr="00D65A3B">
        <w:rPr>
          <w:rFonts w:ascii="Times New Roman" w:hAnsi="Times New Roman" w:cs="Times New Roman"/>
          <w:sz w:val="24"/>
          <w:szCs w:val="24"/>
        </w:rPr>
        <w:t xml:space="preserve"> What year does each specific program start</w:t>
      </w:r>
      <w:r w:rsidR="00833827" w:rsidRPr="00D65A3B">
        <w:rPr>
          <w:rFonts w:ascii="Times New Roman" w:hAnsi="Times New Roman" w:cs="Times New Roman"/>
          <w:sz w:val="24"/>
          <w:szCs w:val="24"/>
        </w:rPr>
        <w:t xml:space="preserve"> and e</w:t>
      </w:r>
      <w:r w:rsidRPr="00D65A3B">
        <w:rPr>
          <w:rFonts w:ascii="Times New Roman" w:hAnsi="Times New Roman" w:cs="Times New Roman"/>
          <w:sz w:val="24"/>
          <w:szCs w:val="24"/>
        </w:rPr>
        <w:t xml:space="preserve">nd? What are the </w:t>
      </w:r>
      <w:r w:rsidR="003D6F71" w:rsidRPr="00D65A3B">
        <w:rPr>
          <w:rFonts w:ascii="Times New Roman" w:hAnsi="Times New Roman" w:cs="Times New Roman"/>
          <w:sz w:val="24"/>
          <w:szCs w:val="24"/>
        </w:rPr>
        <w:t>MWh target</w:t>
      </w:r>
      <w:r w:rsidR="00833827" w:rsidRPr="00D65A3B">
        <w:rPr>
          <w:rFonts w:ascii="Times New Roman" w:hAnsi="Times New Roman" w:cs="Times New Roman"/>
          <w:sz w:val="24"/>
          <w:szCs w:val="24"/>
        </w:rPr>
        <w:t>s</w:t>
      </w:r>
      <w:r w:rsidR="003D6F71" w:rsidRPr="00D65A3B">
        <w:rPr>
          <w:rFonts w:ascii="Times New Roman" w:hAnsi="Times New Roman" w:cs="Times New Roman"/>
          <w:sz w:val="24"/>
          <w:szCs w:val="24"/>
        </w:rPr>
        <w:t xml:space="preserve"> </w:t>
      </w:r>
      <w:r w:rsidR="00240F9C" w:rsidRPr="00D65A3B">
        <w:rPr>
          <w:rFonts w:ascii="Times New Roman" w:hAnsi="Times New Roman" w:cs="Times New Roman"/>
          <w:sz w:val="24"/>
          <w:szCs w:val="24"/>
        </w:rPr>
        <w:t>for the interim and final performance periods, including interim steps</w:t>
      </w:r>
      <w:r w:rsidR="007B5CCA" w:rsidRPr="00D65A3B">
        <w:rPr>
          <w:rFonts w:ascii="Times New Roman" w:hAnsi="Times New Roman" w:cs="Times New Roman"/>
          <w:sz w:val="24"/>
          <w:szCs w:val="24"/>
        </w:rPr>
        <w:t xml:space="preserve"> and other applicable time periods</w:t>
      </w:r>
      <w:r w:rsidR="003D6F71" w:rsidRPr="00D65A3B">
        <w:rPr>
          <w:rFonts w:ascii="Times New Roman" w:hAnsi="Times New Roman" w:cs="Times New Roman"/>
          <w:sz w:val="24"/>
          <w:szCs w:val="24"/>
        </w:rPr>
        <w:t>?</w:t>
      </w:r>
      <w:r w:rsidR="00F255B4" w:rsidRPr="00D65A3B">
        <w:rPr>
          <w:rFonts w:ascii="Times New Roman" w:hAnsi="Times New Roman" w:cs="Times New Roman"/>
          <w:sz w:val="24"/>
          <w:szCs w:val="24"/>
        </w:rPr>
        <w:t xml:space="preserve"> How will the program meet the permanent requirement</w:t>
      </w:r>
      <w:r w:rsidR="000818F2" w:rsidRPr="00D65A3B">
        <w:rPr>
          <w:rFonts w:ascii="Times New Roman" w:hAnsi="Times New Roman" w:cs="Times New Roman"/>
          <w:sz w:val="24"/>
          <w:szCs w:val="24"/>
        </w:rPr>
        <w:t>s in the CPP</w:t>
      </w:r>
      <w:r w:rsidR="00F255B4" w:rsidRPr="00D65A3B">
        <w:rPr>
          <w:rFonts w:ascii="Times New Roman" w:hAnsi="Times New Roman" w:cs="Times New Roman"/>
          <w:sz w:val="24"/>
          <w:szCs w:val="24"/>
        </w:rPr>
        <w:t>?</w:t>
      </w:r>
    </w:p>
    <w:p w14:paraId="2572D1A4" w14:textId="7115ABF2" w:rsidR="00DE3EE4" w:rsidRPr="00D65A3B" w:rsidRDefault="00DE3EE4" w:rsidP="0001286F">
      <w:pPr>
        <w:numPr>
          <w:ilvl w:val="0"/>
          <w:numId w:val="3"/>
        </w:numPr>
        <w:spacing w:line="360" w:lineRule="auto"/>
        <w:contextualSpacing/>
        <w:rPr>
          <w:rFonts w:ascii="Times New Roman" w:hAnsi="Times New Roman" w:cs="Times New Roman"/>
          <w:sz w:val="24"/>
          <w:szCs w:val="24"/>
        </w:rPr>
      </w:pPr>
      <w:r w:rsidRPr="00D65A3B">
        <w:rPr>
          <w:rFonts w:ascii="Times New Roman" w:hAnsi="Times New Roman" w:cs="Times New Roman"/>
          <w:i/>
          <w:sz w:val="24"/>
          <w:szCs w:val="24"/>
        </w:rPr>
        <w:t>Relationship to complementary or existing requirement/program(s):</w:t>
      </w:r>
      <w:r w:rsidR="003D6F71" w:rsidRPr="00D65A3B">
        <w:rPr>
          <w:rFonts w:ascii="Times New Roman" w:hAnsi="Times New Roman" w:cs="Times New Roman"/>
          <w:sz w:val="24"/>
          <w:szCs w:val="24"/>
        </w:rPr>
        <w:t xml:space="preserve"> Will this program include any</w:t>
      </w:r>
      <w:r w:rsidRPr="00D65A3B">
        <w:rPr>
          <w:rFonts w:ascii="Times New Roman" w:hAnsi="Times New Roman" w:cs="Times New Roman"/>
          <w:sz w:val="24"/>
          <w:szCs w:val="24"/>
        </w:rPr>
        <w:t xml:space="preserve"> fed</w:t>
      </w:r>
      <w:r w:rsidR="003D6F71" w:rsidRPr="00D65A3B">
        <w:rPr>
          <w:rFonts w:ascii="Times New Roman" w:hAnsi="Times New Roman" w:cs="Times New Roman"/>
          <w:sz w:val="24"/>
          <w:szCs w:val="24"/>
        </w:rPr>
        <w:t>erally enforceable limits</w:t>
      </w:r>
      <w:r w:rsidRPr="00D65A3B">
        <w:rPr>
          <w:rFonts w:ascii="Times New Roman" w:hAnsi="Times New Roman" w:cs="Times New Roman"/>
          <w:sz w:val="24"/>
          <w:szCs w:val="24"/>
        </w:rPr>
        <w:t xml:space="preserve">? </w:t>
      </w:r>
      <w:r w:rsidR="0063014D" w:rsidRPr="00D65A3B">
        <w:rPr>
          <w:rFonts w:ascii="Times New Roman" w:hAnsi="Times New Roman" w:cs="Times New Roman"/>
          <w:sz w:val="24"/>
          <w:szCs w:val="24"/>
        </w:rPr>
        <w:t xml:space="preserve">Are </w:t>
      </w:r>
      <w:r w:rsidRPr="00D65A3B">
        <w:rPr>
          <w:rFonts w:ascii="Times New Roman" w:hAnsi="Times New Roman" w:cs="Times New Roman"/>
          <w:sz w:val="24"/>
          <w:szCs w:val="24"/>
        </w:rPr>
        <w:t>state measure</w:t>
      </w:r>
      <w:r w:rsidR="0063014D" w:rsidRPr="00D65A3B">
        <w:rPr>
          <w:rFonts w:ascii="Times New Roman" w:hAnsi="Times New Roman" w:cs="Times New Roman"/>
          <w:sz w:val="24"/>
          <w:szCs w:val="24"/>
        </w:rPr>
        <w:t>s</w:t>
      </w:r>
      <w:r w:rsidRPr="00D65A3B">
        <w:rPr>
          <w:rFonts w:ascii="Times New Roman" w:hAnsi="Times New Roman" w:cs="Times New Roman"/>
          <w:sz w:val="24"/>
          <w:szCs w:val="24"/>
        </w:rPr>
        <w:t xml:space="preserve"> an expansion or extension of existing requirement</w:t>
      </w:r>
      <w:r w:rsidR="0063014D" w:rsidRPr="00D65A3B">
        <w:rPr>
          <w:rFonts w:ascii="Times New Roman" w:hAnsi="Times New Roman" w:cs="Times New Roman"/>
          <w:sz w:val="24"/>
          <w:szCs w:val="24"/>
        </w:rPr>
        <w:t>s</w:t>
      </w:r>
      <w:r w:rsidRPr="00D65A3B">
        <w:rPr>
          <w:rFonts w:ascii="Times New Roman" w:hAnsi="Times New Roman" w:cs="Times New Roman"/>
          <w:sz w:val="24"/>
          <w:szCs w:val="24"/>
        </w:rPr>
        <w:t xml:space="preserve"> or program</w:t>
      </w:r>
      <w:r w:rsidR="0063014D" w:rsidRPr="00D65A3B">
        <w:rPr>
          <w:rFonts w:ascii="Times New Roman" w:hAnsi="Times New Roman" w:cs="Times New Roman"/>
          <w:sz w:val="24"/>
          <w:szCs w:val="24"/>
        </w:rPr>
        <w:t>s</w:t>
      </w:r>
      <w:r w:rsidRPr="00D65A3B">
        <w:rPr>
          <w:rFonts w:ascii="Times New Roman" w:hAnsi="Times New Roman" w:cs="Times New Roman"/>
          <w:sz w:val="24"/>
          <w:szCs w:val="24"/>
        </w:rPr>
        <w:t xml:space="preserve">? If the plan includes an expansion of an existing </w:t>
      </w:r>
      <w:r w:rsidRPr="00D65A3B">
        <w:rPr>
          <w:rFonts w:ascii="Times New Roman" w:hAnsi="Times New Roman" w:cs="Times New Roman"/>
          <w:sz w:val="24"/>
          <w:szCs w:val="24"/>
        </w:rPr>
        <w:lastRenderedPageBreak/>
        <w:t xml:space="preserve">program that allows for ineligible resources or unaffected </w:t>
      </w:r>
      <w:r w:rsidR="003D6F71" w:rsidRPr="00D65A3B">
        <w:rPr>
          <w:rFonts w:ascii="Times New Roman" w:hAnsi="Times New Roman" w:cs="Times New Roman"/>
          <w:sz w:val="24"/>
          <w:szCs w:val="24"/>
        </w:rPr>
        <w:t>EGUs</w:t>
      </w:r>
      <w:r w:rsidRPr="00D65A3B">
        <w:rPr>
          <w:rFonts w:ascii="Times New Roman" w:hAnsi="Times New Roman" w:cs="Times New Roman"/>
          <w:sz w:val="24"/>
          <w:szCs w:val="24"/>
        </w:rPr>
        <w:t>, how does t</w:t>
      </w:r>
      <w:r w:rsidR="003D6F71" w:rsidRPr="00D65A3B">
        <w:rPr>
          <w:rFonts w:ascii="Times New Roman" w:hAnsi="Times New Roman" w:cs="Times New Roman"/>
          <w:sz w:val="24"/>
          <w:szCs w:val="24"/>
        </w:rPr>
        <w:t>he demonstration address the</w:t>
      </w:r>
      <w:r w:rsidRPr="00D65A3B">
        <w:rPr>
          <w:rFonts w:ascii="Times New Roman" w:hAnsi="Times New Roman" w:cs="Times New Roman"/>
          <w:sz w:val="24"/>
          <w:szCs w:val="24"/>
        </w:rPr>
        <w:t xml:space="preserve">se impacts?   </w:t>
      </w:r>
    </w:p>
    <w:p w14:paraId="40E149A2" w14:textId="1DFA9A17" w:rsidR="00DE3EE4" w:rsidRPr="00D65A3B" w:rsidRDefault="00DE3EE4" w:rsidP="0001286F">
      <w:pPr>
        <w:numPr>
          <w:ilvl w:val="0"/>
          <w:numId w:val="3"/>
        </w:numPr>
        <w:spacing w:line="360" w:lineRule="auto"/>
        <w:contextualSpacing/>
        <w:rPr>
          <w:rFonts w:ascii="Times New Roman" w:hAnsi="Times New Roman" w:cs="Times New Roman"/>
          <w:sz w:val="24"/>
          <w:szCs w:val="24"/>
        </w:rPr>
      </w:pPr>
      <w:r w:rsidRPr="00D65A3B">
        <w:rPr>
          <w:rFonts w:ascii="Times New Roman" w:hAnsi="Times New Roman" w:cs="Times New Roman"/>
          <w:i/>
          <w:sz w:val="24"/>
          <w:szCs w:val="24"/>
        </w:rPr>
        <w:t>Program focus:</w:t>
      </w:r>
      <w:r w:rsidRPr="00D65A3B">
        <w:rPr>
          <w:rFonts w:ascii="Times New Roman" w:hAnsi="Times New Roman" w:cs="Times New Roman"/>
          <w:sz w:val="24"/>
          <w:szCs w:val="24"/>
        </w:rPr>
        <w:t xml:space="preserve"> What sector or consumer type is the focus of the measure? </w:t>
      </w:r>
    </w:p>
    <w:p w14:paraId="1DD2A984" w14:textId="4A2D438D" w:rsidR="00DE3EE4" w:rsidRPr="00D65A3B" w:rsidRDefault="00DE3EE4" w:rsidP="0001286F">
      <w:pPr>
        <w:numPr>
          <w:ilvl w:val="0"/>
          <w:numId w:val="3"/>
        </w:numPr>
        <w:spacing w:line="360" w:lineRule="auto"/>
        <w:contextualSpacing/>
        <w:rPr>
          <w:rFonts w:ascii="Times New Roman" w:hAnsi="Times New Roman" w:cs="Times New Roman"/>
          <w:sz w:val="24"/>
          <w:szCs w:val="24"/>
        </w:rPr>
      </w:pPr>
      <w:r w:rsidRPr="00D65A3B">
        <w:rPr>
          <w:rFonts w:ascii="Times New Roman" w:hAnsi="Times New Roman" w:cs="Times New Roman"/>
          <w:i/>
          <w:sz w:val="24"/>
          <w:szCs w:val="24"/>
        </w:rPr>
        <w:t xml:space="preserve">Anticipated compliance or penetration rate: </w:t>
      </w:r>
      <w:r w:rsidR="003D6F71" w:rsidRPr="00D65A3B">
        <w:rPr>
          <w:rFonts w:ascii="Times New Roman" w:hAnsi="Times New Roman" w:cs="Times New Roman"/>
          <w:sz w:val="24"/>
          <w:szCs w:val="24"/>
        </w:rPr>
        <w:t xml:space="preserve">Which affected EGUs will be subject to the </w:t>
      </w:r>
      <w:r w:rsidR="002D3924">
        <w:rPr>
          <w:rFonts w:ascii="Times New Roman" w:hAnsi="Times New Roman" w:cs="Times New Roman"/>
          <w:sz w:val="24"/>
          <w:szCs w:val="24"/>
        </w:rPr>
        <w:t>RE and demand-side EE</w:t>
      </w:r>
      <w:r w:rsidR="003D6F71" w:rsidRPr="00D65A3B">
        <w:rPr>
          <w:rFonts w:ascii="Times New Roman" w:hAnsi="Times New Roman" w:cs="Times New Roman"/>
          <w:sz w:val="24"/>
          <w:szCs w:val="24"/>
        </w:rPr>
        <w:t xml:space="preserve"> policy or program</w:t>
      </w:r>
      <w:r w:rsidRPr="00D65A3B">
        <w:rPr>
          <w:rFonts w:ascii="Times New Roman" w:hAnsi="Times New Roman" w:cs="Times New Roman"/>
          <w:sz w:val="24"/>
          <w:szCs w:val="24"/>
        </w:rPr>
        <w:t xml:space="preserve">? Does the projection reflect characteristics of </w:t>
      </w:r>
      <w:r w:rsidR="001751FF">
        <w:rPr>
          <w:rFonts w:ascii="Times New Roman" w:hAnsi="Times New Roman" w:cs="Times New Roman"/>
          <w:sz w:val="24"/>
          <w:szCs w:val="24"/>
        </w:rPr>
        <w:t>applicable RE technologies and demand-side EE programs and policies</w:t>
      </w:r>
      <w:r w:rsidRPr="00D65A3B">
        <w:rPr>
          <w:rFonts w:ascii="Times New Roman" w:hAnsi="Times New Roman" w:cs="Times New Roman"/>
          <w:sz w:val="24"/>
          <w:szCs w:val="24"/>
        </w:rPr>
        <w:t>?</w:t>
      </w:r>
    </w:p>
    <w:p w14:paraId="35BDE261" w14:textId="458555BC" w:rsidR="00DE3EE4" w:rsidRPr="00D65A3B" w:rsidRDefault="00DE3EE4" w:rsidP="0001286F">
      <w:pPr>
        <w:numPr>
          <w:ilvl w:val="0"/>
          <w:numId w:val="3"/>
        </w:numPr>
        <w:spacing w:line="360" w:lineRule="auto"/>
        <w:contextualSpacing/>
        <w:rPr>
          <w:rFonts w:ascii="Times New Roman" w:hAnsi="Times New Roman" w:cs="Times New Roman"/>
          <w:sz w:val="24"/>
          <w:szCs w:val="24"/>
        </w:rPr>
      </w:pPr>
      <w:r w:rsidRPr="00D65A3B">
        <w:rPr>
          <w:rFonts w:ascii="Times New Roman" w:hAnsi="Times New Roman" w:cs="Times New Roman"/>
          <w:i/>
          <w:sz w:val="24"/>
          <w:szCs w:val="24"/>
        </w:rPr>
        <w:t xml:space="preserve">Technology performance: </w:t>
      </w:r>
      <w:r w:rsidRPr="00D65A3B">
        <w:rPr>
          <w:rFonts w:ascii="Times New Roman" w:hAnsi="Times New Roman" w:cs="Times New Roman"/>
          <w:sz w:val="24"/>
          <w:szCs w:val="24"/>
        </w:rPr>
        <w:t xml:space="preserve">What technologies and/or generating capacity will be implemented? </w:t>
      </w:r>
      <w:r w:rsidR="00833827" w:rsidRPr="00D65A3B">
        <w:rPr>
          <w:rFonts w:ascii="Times New Roman" w:hAnsi="Times New Roman" w:cs="Times New Roman"/>
          <w:sz w:val="24"/>
          <w:szCs w:val="24"/>
        </w:rPr>
        <w:t>For h</w:t>
      </w:r>
      <w:r w:rsidRPr="00D65A3B">
        <w:rPr>
          <w:rFonts w:ascii="Times New Roman" w:hAnsi="Times New Roman" w:cs="Times New Roman"/>
          <w:sz w:val="24"/>
          <w:szCs w:val="24"/>
        </w:rPr>
        <w:t>ow many years will the measure achieve electricity savings (e.g.</w:t>
      </w:r>
      <w:r w:rsidR="001751FF">
        <w:rPr>
          <w:rFonts w:ascii="Times New Roman" w:hAnsi="Times New Roman" w:cs="Times New Roman"/>
          <w:sz w:val="24"/>
          <w:szCs w:val="24"/>
        </w:rPr>
        <w:t>,</w:t>
      </w:r>
      <w:r w:rsidRPr="00D65A3B">
        <w:rPr>
          <w:rFonts w:ascii="Times New Roman" w:hAnsi="Times New Roman" w:cs="Times New Roman"/>
          <w:sz w:val="24"/>
          <w:szCs w:val="24"/>
        </w:rPr>
        <w:t xml:space="preserve"> measure life) or generate renewable electricity?  How will measure performance degrade or decay over time?</w:t>
      </w:r>
    </w:p>
    <w:p w14:paraId="50A26A45" w14:textId="77777777" w:rsidR="00DE3EE4" w:rsidRPr="00D65A3B" w:rsidRDefault="00DE3EE4" w:rsidP="0001286F">
      <w:pPr>
        <w:numPr>
          <w:ilvl w:val="0"/>
          <w:numId w:val="3"/>
        </w:numPr>
        <w:spacing w:line="360" w:lineRule="auto"/>
        <w:contextualSpacing/>
        <w:rPr>
          <w:rFonts w:ascii="Times New Roman" w:hAnsi="Times New Roman" w:cs="Times New Roman"/>
          <w:sz w:val="24"/>
          <w:szCs w:val="24"/>
        </w:rPr>
      </w:pPr>
      <w:r w:rsidRPr="00D65A3B">
        <w:rPr>
          <w:rFonts w:ascii="Times New Roman" w:hAnsi="Times New Roman" w:cs="Times New Roman"/>
          <w:i/>
          <w:sz w:val="24"/>
          <w:szCs w:val="24"/>
        </w:rPr>
        <w:t>Transmission and distribution (T&amp;D) loss:</w:t>
      </w:r>
      <w:r w:rsidRPr="00D65A3B">
        <w:rPr>
          <w:rFonts w:ascii="Times New Roman" w:hAnsi="Times New Roman" w:cs="Times New Roman"/>
          <w:sz w:val="24"/>
          <w:szCs w:val="24"/>
        </w:rPr>
        <w:t xml:space="preserve"> Is there an expected increase or decrease in T&amp;D losses that would require adjustment of the energy savings estimate?</w:t>
      </w:r>
    </w:p>
    <w:p w14:paraId="01D3BA67" w14:textId="61B804D0" w:rsidR="00DE3EE4" w:rsidRPr="00D65A3B" w:rsidRDefault="00DE3EE4" w:rsidP="0001286F">
      <w:pPr>
        <w:numPr>
          <w:ilvl w:val="0"/>
          <w:numId w:val="3"/>
        </w:numPr>
        <w:spacing w:line="360" w:lineRule="auto"/>
        <w:contextualSpacing/>
        <w:rPr>
          <w:rFonts w:ascii="Times New Roman" w:hAnsi="Times New Roman" w:cs="Times New Roman"/>
          <w:sz w:val="24"/>
          <w:szCs w:val="24"/>
        </w:rPr>
      </w:pPr>
      <w:r w:rsidRPr="00D65A3B">
        <w:rPr>
          <w:rFonts w:ascii="Times New Roman" w:hAnsi="Times New Roman" w:cs="Times New Roman"/>
          <w:i/>
          <w:sz w:val="24"/>
          <w:szCs w:val="24"/>
        </w:rPr>
        <w:t>Resource Costs:</w:t>
      </w:r>
      <w:r w:rsidRPr="00D65A3B">
        <w:rPr>
          <w:rFonts w:ascii="Times New Roman" w:hAnsi="Times New Roman" w:cs="Times New Roman"/>
          <w:sz w:val="24"/>
          <w:szCs w:val="24"/>
        </w:rPr>
        <w:t xml:space="preserve"> What is the cost of saved and/or generated electricity for the </w:t>
      </w:r>
      <w:r w:rsidR="001751FF">
        <w:rPr>
          <w:rFonts w:ascii="Times New Roman" w:hAnsi="Times New Roman" w:cs="Times New Roman"/>
          <w:sz w:val="24"/>
          <w:szCs w:val="24"/>
        </w:rPr>
        <w:t>RE and demand-side EE</w:t>
      </w:r>
      <w:r w:rsidRPr="00D65A3B">
        <w:rPr>
          <w:rFonts w:ascii="Times New Roman" w:hAnsi="Times New Roman" w:cs="Times New Roman"/>
          <w:sz w:val="24"/>
          <w:szCs w:val="24"/>
        </w:rPr>
        <w:t xml:space="preserve"> measures?  </w:t>
      </w:r>
    </w:p>
    <w:p w14:paraId="32A2B306" w14:textId="5C6D68E5" w:rsidR="00DE3EE4" w:rsidRPr="00D65A3B" w:rsidRDefault="00DE3EE4" w:rsidP="0001286F">
      <w:pPr>
        <w:numPr>
          <w:ilvl w:val="0"/>
          <w:numId w:val="3"/>
        </w:numPr>
        <w:spacing w:line="360" w:lineRule="auto"/>
        <w:contextualSpacing/>
        <w:rPr>
          <w:rFonts w:ascii="Times New Roman" w:hAnsi="Times New Roman" w:cs="Times New Roman"/>
          <w:sz w:val="24"/>
          <w:szCs w:val="24"/>
        </w:rPr>
      </w:pPr>
      <w:r w:rsidRPr="00D65A3B">
        <w:rPr>
          <w:rFonts w:ascii="Times New Roman" w:hAnsi="Times New Roman" w:cs="Times New Roman"/>
          <w:i/>
          <w:sz w:val="24"/>
          <w:szCs w:val="24"/>
        </w:rPr>
        <w:t>Program Costs and Funding:</w:t>
      </w:r>
      <w:r w:rsidRPr="00D65A3B">
        <w:rPr>
          <w:rFonts w:ascii="Times New Roman" w:hAnsi="Times New Roman" w:cs="Times New Roman"/>
          <w:sz w:val="24"/>
          <w:szCs w:val="24"/>
        </w:rPr>
        <w:t xml:space="preserve"> What is the cost of the program, including administration costs? How it be funded?</w:t>
      </w:r>
    </w:p>
    <w:p w14:paraId="0315E718" w14:textId="6ACA3702" w:rsidR="00D65A3B" w:rsidRPr="00C5446D" w:rsidRDefault="00DE3EE4" w:rsidP="00C5446D">
      <w:pPr>
        <w:numPr>
          <w:ilvl w:val="0"/>
          <w:numId w:val="3"/>
        </w:numPr>
        <w:spacing w:line="360" w:lineRule="auto"/>
        <w:contextualSpacing/>
        <w:rPr>
          <w:rFonts w:ascii="Times New Roman" w:hAnsi="Times New Roman" w:cs="Times New Roman"/>
          <w:sz w:val="24"/>
          <w:szCs w:val="24"/>
        </w:rPr>
      </w:pPr>
      <w:r w:rsidRPr="00D65A3B">
        <w:rPr>
          <w:rFonts w:ascii="Times New Roman" w:hAnsi="Times New Roman" w:cs="Times New Roman"/>
          <w:i/>
          <w:sz w:val="24"/>
          <w:szCs w:val="24"/>
        </w:rPr>
        <w:t>Resource availability:</w:t>
      </w:r>
      <w:r w:rsidRPr="00D65A3B">
        <w:rPr>
          <w:rFonts w:ascii="Times New Roman" w:hAnsi="Times New Roman" w:cs="Times New Roman"/>
          <w:sz w:val="24"/>
          <w:szCs w:val="24"/>
        </w:rPr>
        <w:t xml:space="preserve"> Are the projected electricity savings or renewable electricity generation levels realistic compared to the potential available? </w:t>
      </w:r>
    </w:p>
    <w:sectPr w:rsidR="00D65A3B" w:rsidRPr="00C5446D" w:rsidSect="00E25802">
      <w:headerReference w:type="even" r:id="rId12"/>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95FCA" w14:textId="77777777" w:rsidR="00B80F05" w:rsidRDefault="00B80F05" w:rsidP="00BF1052">
      <w:pPr>
        <w:spacing w:after="0" w:line="240" w:lineRule="auto"/>
      </w:pPr>
      <w:r>
        <w:separator/>
      </w:r>
    </w:p>
    <w:p w14:paraId="1EFCA153" w14:textId="77777777" w:rsidR="00B80F05" w:rsidRDefault="00B80F05"/>
  </w:endnote>
  <w:endnote w:type="continuationSeparator" w:id="0">
    <w:p w14:paraId="282E09F1" w14:textId="77777777" w:rsidR="00B80F05" w:rsidRDefault="00B80F05" w:rsidP="00BF1052">
      <w:pPr>
        <w:spacing w:after="0" w:line="240" w:lineRule="auto"/>
      </w:pPr>
      <w:r>
        <w:continuationSeparator/>
      </w:r>
    </w:p>
    <w:p w14:paraId="09402C49" w14:textId="77777777" w:rsidR="00B80F05" w:rsidRDefault="00B80F05"/>
  </w:endnote>
  <w:endnote w:type="continuationNotice" w:id="1">
    <w:p w14:paraId="6B52DCE5" w14:textId="77777777" w:rsidR="00B80F05" w:rsidRDefault="00B80F05">
      <w:pPr>
        <w:spacing w:after="0" w:line="240" w:lineRule="auto"/>
      </w:pPr>
    </w:p>
    <w:p w14:paraId="64F12E1B" w14:textId="77777777" w:rsidR="00B80F05" w:rsidRDefault="00B80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659812318"/>
      <w:docPartObj>
        <w:docPartGallery w:val="Page Numbers (Bottom of Page)"/>
        <w:docPartUnique/>
      </w:docPartObj>
    </w:sdtPr>
    <w:sdtEndPr>
      <w:rPr>
        <w:noProof/>
      </w:rPr>
    </w:sdtEndPr>
    <w:sdtContent>
      <w:p w14:paraId="09C7494B" w14:textId="48EBA872" w:rsidR="00FB1065" w:rsidRPr="00901A7B" w:rsidRDefault="00FB1065">
        <w:pPr>
          <w:pStyle w:val="Footer"/>
          <w:jc w:val="center"/>
          <w:rPr>
            <w:rFonts w:ascii="Times New Roman" w:hAnsi="Times New Roman" w:cs="Times New Roman"/>
            <w:sz w:val="20"/>
          </w:rPr>
        </w:pPr>
        <w:r w:rsidRPr="00901A7B">
          <w:rPr>
            <w:rFonts w:ascii="Times New Roman" w:hAnsi="Times New Roman" w:cs="Times New Roman"/>
            <w:sz w:val="20"/>
          </w:rPr>
          <w:fldChar w:fldCharType="begin"/>
        </w:r>
        <w:r w:rsidRPr="00901A7B">
          <w:rPr>
            <w:rFonts w:ascii="Times New Roman" w:hAnsi="Times New Roman" w:cs="Times New Roman"/>
            <w:sz w:val="20"/>
          </w:rPr>
          <w:instrText xml:space="preserve"> PAGE   \* MERGEFORMAT </w:instrText>
        </w:r>
        <w:r w:rsidRPr="00901A7B">
          <w:rPr>
            <w:rFonts w:ascii="Times New Roman" w:hAnsi="Times New Roman" w:cs="Times New Roman"/>
            <w:sz w:val="20"/>
          </w:rPr>
          <w:fldChar w:fldCharType="separate"/>
        </w:r>
        <w:r w:rsidR="00A82E1E">
          <w:rPr>
            <w:rFonts w:ascii="Times New Roman" w:hAnsi="Times New Roman" w:cs="Times New Roman"/>
            <w:noProof/>
            <w:sz w:val="20"/>
          </w:rPr>
          <w:t>2</w:t>
        </w:r>
        <w:r w:rsidRPr="00901A7B">
          <w:rPr>
            <w:rFonts w:ascii="Times New Roman" w:hAnsi="Times New Roman" w:cs="Times New Roman"/>
            <w:noProof/>
            <w:sz w:val="20"/>
          </w:rPr>
          <w:fldChar w:fldCharType="end"/>
        </w:r>
      </w:p>
    </w:sdtContent>
  </w:sdt>
  <w:p w14:paraId="730A7CBA" w14:textId="77777777" w:rsidR="00FB1065" w:rsidRDefault="00FB1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49265583"/>
      <w:docPartObj>
        <w:docPartGallery w:val="Page Numbers (Bottom of Page)"/>
        <w:docPartUnique/>
      </w:docPartObj>
    </w:sdtPr>
    <w:sdtEndPr/>
    <w:sdtContent>
      <w:p w14:paraId="5F19FB7C" w14:textId="3EF91B42" w:rsidR="00FB1065" w:rsidRPr="008D6F66" w:rsidRDefault="00FB1065">
        <w:pPr>
          <w:pStyle w:val="Footer"/>
          <w:jc w:val="center"/>
          <w:rPr>
            <w:rFonts w:ascii="Times New Roman" w:hAnsi="Times New Roman" w:cs="Times New Roman"/>
            <w:sz w:val="20"/>
            <w:szCs w:val="20"/>
          </w:rPr>
        </w:pPr>
        <w:r w:rsidRPr="008D6F66">
          <w:rPr>
            <w:rFonts w:ascii="Times New Roman" w:hAnsi="Times New Roman" w:cs="Times New Roman"/>
            <w:sz w:val="20"/>
            <w:szCs w:val="20"/>
          </w:rPr>
          <w:fldChar w:fldCharType="begin"/>
        </w:r>
        <w:r w:rsidRPr="008D6F66">
          <w:rPr>
            <w:rFonts w:ascii="Times New Roman" w:hAnsi="Times New Roman" w:cs="Times New Roman"/>
            <w:sz w:val="20"/>
            <w:szCs w:val="20"/>
          </w:rPr>
          <w:instrText xml:space="preserve"> PAGE   \* MERGEFORMAT </w:instrText>
        </w:r>
        <w:r w:rsidRPr="008D6F66">
          <w:rPr>
            <w:rFonts w:ascii="Times New Roman" w:hAnsi="Times New Roman" w:cs="Times New Roman"/>
            <w:sz w:val="20"/>
            <w:szCs w:val="20"/>
          </w:rPr>
          <w:fldChar w:fldCharType="separate"/>
        </w:r>
        <w:r w:rsidR="00A82E1E">
          <w:rPr>
            <w:rFonts w:ascii="Times New Roman" w:hAnsi="Times New Roman" w:cs="Times New Roman"/>
            <w:noProof/>
            <w:sz w:val="20"/>
            <w:szCs w:val="20"/>
          </w:rPr>
          <w:t>19</w:t>
        </w:r>
        <w:r w:rsidRPr="008D6F66">
          <w:rPr>
            <w:rFonts w:ascii="Times New Roman" w:hAnsi="Times New Roman" w:cs="Times New Roman"/>
            <w:sz w:val="20"/>
            <w:szCs w:val="20"/>
          </w:rPr>
          <w:fldChar w:fldCharType="end"/>
        </w:r>
      </w:p>
    </w:sdtContent>
  </w:sdt>
  <w:p w14:paraId="5F4ABD25" w14:textId="77777777" w:rsidR="00FB1065" w:rsidRPr="008D6F66" w:rsidRDefault="00FB1065">
    <w:pPr>
      <w:pStyle w:val="Footer"/>
      <w:rPr>
        <w:rFonts w:ascii="Times New Roman" w:hAnsi="Times New Roman" w:cs="Times New Roman"/>
        <w:sz w:val="20"/>
        <w:szCs w:val="20"/>
      </w:rPr>
    </w:pPr>
  </w:p>
  <w:p w14:paraId="4B63D471" w14:textId="77777777" w:rsidR="00FB1065" w:rsidRPr="008D6F66" w:rsidRDefault="00FB1065">
    <w:pP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D6624" w14:textId="77777777" w:rsidR="00B80F05" w:rsidRDefault="00B80F05" w:rsidP="00BF1052">
      <w:pPr>
        <w:spacing w:after="0" w:line="240" w:lineRule="auto"/>
      </w:pPr>
      <w:r>
        <w:separator/>
      </w:r>
    </w:p>
    <w:p w14:paraId="2F445ED4" w14:textId="77777777" w:rsidR="00B80F05" w:rsidRDefault="00B80F05"/>
  </w:footnote>
  <w:footnote w:type="continuationSeparator" w:id="0">
    <w:p w14:paraId="4D504C41" w14:textId="77777777" w:rsidR="00B80F05" w:rsidRDefault="00B80F05" w:rsidP="00BF1052">
      <w:pPr>
        <w:spacing w:after="0" w:line="240" w:lineRule="auto"/>
      </w:pPr>
      <w:r>
        <w:continuationSeparator/>
      </w:r>
    </w:p>
    <w:p w14:paraId="1C8A34A7" w14:textId="77777777" w:rsidR="00B80F05" w:rsidRDefault="00B80F05"/>
  </w:footnote>
  <w:footnote w:type="continuationNotice" w:id="1">
    <w:p w14:paraId="52463534" w14:textId="77777777" w:rsidR="00B80F05" w:rsidRDefault="00B80F05">
      <w:pPr>
        <w:spacing w:after="0" w:line="240" w:lineRule="auto"/>
      </w:pPr>
    </w:p>
    <w:p w14:paraId="6A73E02F" w14:textId="77777777" w:rsidR="00B80F05" w:rsidRDefault="00B80F05"/>
  </w:footnote>
  <w:footnote w:id="2">
    <w:p w14:paraId="5EF546CC" w14:textId="5BB9AA94" w:rsidR="00FB1065" w:rsidRPr="00376E24" w:rsidRDefault="00FB1065">
      <w:pPr>
        <w:pStyle w:val="FootnoteText"/>
        <w:rPr>
          <w:rFonts w:ascii="Times New Roman" w:hAnsi="Times New Roman" w:cs="Times New Roman"/>
          <w:sz w:val="22"/>
          <w:szCs w:val="22"/>
        </w:rPr>
      </w:pPr>
      <w:r w:rsidRPr="00376E24">
        <w:rPr>
          <w:rStyle w:val="FootnoteReference"/>
          <w:rFonts w:ascii="Times New Roman" w:hAnsi="Times New Roman" w:cs="Times New Roman"/>
          <w:sz w:val="22"/>
          <w:szCs w:val="22"/>
        </w:rPr>
        <w:footnoteRef/>
      </w:r>
      <w:r w:rsidRPr="00376E24">
        <w:rPr>
          <w:rFonts w:ascii="Times New Roman" w:hAnsi="Times New Roman" w:cs="Times New Roman"/>
          <w:sz w:val="22"/>
          <w:szCs w:val="22"/>
        </w:rPr>
        <w:t xml:space="preserve"> </w:t>
      </w:r>
      <w:r w:rsidRPr="00376E24">
        <w:rPr>
          <w:rFonts w:ascii="Times New Roman" w:eastAsia="Times New Roman" w:hAnsi="Times New Roman" w:cs="Times New Roman"/>
          <w:sz w:val="22"/>
          <w:szCs w:val="22"/>
        </w:rPr>
        <w:t>This includes state meas</w:t>
      </w:r>
      <w:r>
        <w:rPr>
          <w:rFonts w:ascii="Times New Roman" w:eastAsia="Times New Roman" w:hAnsi="Times New Roman" w:cs="Times New Roman"/>
          <w:sz w:val="22"/>
          <w:szCs w:val="22"/>
        </w:rPr>
        <w:t>ures type plans as well as some emission standards type plans</w:t>
      </w:r>
      <w:r w:rsidRPr="00376E24">
        <w:rPr>
          <w:rFonts w:ascii="Times New Roman" w:eastAsia="Times New Roman" w:hAnsi="Times New Roman" w:cs="Times New Roman"/>
          <w:sz w:val="22"/>
          <w:szCs w:val="22"/>
        </w:rPr>
        <w:t>.</w:t>
      </w:r>
    </w:p>
  </w:footnote>
  <w:footnote w:id="3">
    <w:p w14:paraId="7F1752B3" w14:textId="54FB45BC" w:rsidR="00FB1065" w:rsidRPr="00376E24" w:rsidRDefault="00FB1065" w:rsidP="003647A8">
      <w:pPr>
        <w:pStyle w:val="FootnoteText"/>
        <w:rPr>
          <w:rFonts w:ascii="Times New Roman" w:hAnsi="Times New Roman" w:cs="Times New Roman"/>
          <w:sz w:val="22"/>
          <w:szCs w:val="22"/>
        </w:rPr>
      </w:pPr>
      <w:r w:rsidRPr="00376E24">
        <w:rPr>
          <w:rStyle w:val="FootnoteReference"/>
          <w:rFonts w:ascii="Times New Roman" w:hAnsi="Times New Roman" w:cs="Times New Roman"/>
          <w:sz w:val="22"/>
          <w:szCs w:val="22"/>
        </w:rPr>
        <w:footnoteRef/>
      </w:r>
      <w:r w:rsidRPr="00376E24">
        <w:rPr>
          <w:rFonts w:ascii="Times New Roman" w:hAnsi="Times New Roman" w:cs="Times New Roman"/>
          <w:sz w:val="22"/>
          <w:szCs w:val="22"/>
        </w:rPr>
        <w:t xml:space="preserve"> States can either adopt an existing forecast from one of these sources or use data from them to develop their own forecast. </w:t>
      </w:r>
      <w:r w:rsidRPr="00376E24">
        <w:rPr>
          <w:rFonts w:ascii="Times New Roman" w:eastAsia="Calibri" w:hAnsi="Times New Roman" w:cs="Times New Roman"/>
          <w:color w:val="000000" w:themeColor="text1"/>
          <w:sz w:val="22"/>
          <w:szCs w:val="22"/>
        </w:rPr>
        <w:t xml:space="preserve">States may request to use a different source and EPA would review those requests on an individual basis. </w:t>
      </w:r>
      <w:r w:rsidRPr="00376E24">
        <w:rPr>
          <w:rFonts w:ascii="Times New Roman" w:hAnsi="Times New Roman" w:cs="Times New Roman"/>
          <w:sz w:val="22"/>
          <w:szCs w:val="22"/>
        </w:rPr>
        <w:t>Any s</w:t>
      </w:r>
      <w:r w:rsidRPr="00376E24">
        <w:rPr>
          <w:rFonts w:ascii="Times New Roman" w:eastAsia="Calibri" w:hAnsi="Times New Roman" w:cs="Times New Roman"/>
          <w:color w:val="000000" w:themeColor="text1"/>
          <w:sz w:val="22"/>
          <w:szCs w:val="22"/>
        </w:rPr>
        <w:t xml:space="preserve">tate-specific base case forecasts developed by states must be approved by EPA per the final emission guidelines.  </w:t>
      </w:r>
    </w:p>
  </w:footnote>
  <w:footnote w:id="4">
    <w:p w14:paraId="5208AD47" w14:textId="7EE75342" w:rsidR="00FB1065" w:rsidRPr="00376E24" w:rsidRDefault="00FB1065" w:rsidP="009551FB">
      <w:pPr>
        <w:rPr>
          <w:rFonts w:ascii="Times New Roman" w:hAnsi="Times New Roman" w:cs="Times New Roman"/>
        </w:rPr>
      </w:pPr>
      <w:r w:rsidRPr="00376E24">
        <w:rPr>
          <w:rStyle w:val="FootnoteReference"/>
          <w:rFonts w:ascii="Times New Roman" w:hAnsi="Times New Roman" w:cs="Times New Roman"/>
        </w:rPr>
        <w:footnoteRef/>
      </w:r>
      <w:r w:rsidRPr="00376E24">
        <w:rPr>
          <w:rFonts w:ascii="Times New Roman" w:hAnsi="Times New Roman" w:cs="Times New Roman"/>
        </w:rPr>
        <w:t xml:space="preserve"> </w:t>
      </w:r>
      <w:r>
        <w:rPr>
          <w:rFonts w:ascii="Times New Roman" w:hAnsi="Times New Roman" w:cs="Times New Roman"/>
        </w:rPr>
        <w:t xml:space="preserve">Demand-side </w:t>
      </w:r>
      <w:r w:rsidRPr="00376E24">
        <w:rPr>
          <w:rFonts w:ascii="Times New Roman" w:hAnsi="Times New Roman" w:cs="Times New Roman"/>
        </w:rPr>
        <w:t xml:space="preserve">EE programs explicitly included in a demand forecast are programs that the forecast’s documentation specifically states directly impact future demand levels. Some </w:t>
      </w:r>
      <w:r>
        <w:rPr>
          <w:rFonts w:ascii="Times New Roman" w:hAnsi="Times New Roman" w:cs="Times New Roman"/>
        </w:rPr>
        <w:t xml:space="preserve">demand-side </w:t>
      </w:r>
      <w:r w:rsidRPr="00376E24">
        <w:rPr>
          <w:rFonts w:ascii="Times New Roman" w:hAnsi="Times New Roman" w:cs="Times New Roman"/>
        </w:rPr>
        <w:t>EE programs, however, are indirectly represented in the assumption and not explicitly identified. For example, the U.S. Energy Information Agency’s (EIA) Annual Energy Outlook (AEO) explicitly include</w:t>
      </w:r>
      <w:r>
        <w:rPr>
          <w:rFonts w:ascii="Times New Roman" w:hAnsi="Times New Roman" w:cs="Times New Roman"/>
        </w:rPr>
        <w:t>s</w:t>
      </w:r>
      <w:r w:rsidRPr="00376E24">
        <w:rPr>
          <w:rFonts w:ascii="Times New Roman" w:hAnsi="Times New Roman" w:cs="Times New Roman"/>
        </w:rPr>
        <w:t xml:space="preserve"> in the reference case for electricity demand and supply forecast existing federal appliance and equipment standards for residential and commercial sectors as well as state renewable portfolio standards. The AEO indirectly captures some impacts of state</w:t>
      </w:r>
      <w:r w:rsidR="00D52487">
        <w:rPr>
          <w:rFonts w:ascii="Times New Roman" w:hAnsi="Times New Roman" w:cs="Times New Roman"/>
        </w:rPr>
        <w:t xml:space="preserve"> demand-side</w:t>
      </w:r>
      <w:r w:rsidRPr="00376E24">
        <w:rPr>
          <w:rFonts w:ascii="Times New Roman" w:hAnsi="Times New Roman" w:cs="Times New Roman"/>
        </w:rPr>
        <w:t xml:space="preserve"> EE programs in the forecast and does not explicitly call out their impacts. Indirect impacts do not need to be quantified, but on a case-by case basis, a discount factor toward any incremental savings in the CPP performance projection may be required to adjust for potential double counting. For more information</w:t>
      </w:r>
      <w:r w:rsidRPr="00376E24" w:rsidDel="006C39C6">
        <w:rPr>
          <w:rFonts w:ascii="Times New Roman" w:hAnsi="Times New Roman" w:cs="Times New Roman"/>
        </w:rPr>
        <w:t xml:space="preserve"> </w:t>
      </w:r>
      <w:r w:rsidRPr="00376E24">
        <w:rPr>
          <w:rFonts w:ascii="Times New Roman" w:hAnsi="Times New Roman" w:cs="Times New Roman"/>
        </w:rPr>
        <w:t xml:space="preserve">visit: </w:t>
      </w:r>
      <w:r w:rsidRPr="00376E24">
        <w:rPr>
          <w:rFonts w:ascii="Times New Roman" w:eastAsia="Calibri" w:hAnsi="Times New Roman" w:cs="Times New Roman"/>
        </w:rPr>
        <w:t xml:space="preserve">http://www.epa.gov/statelocalclimate/state/statepolicies.html. </w:t>
      </w:r>
    </w:p>
  </w:footnote>
  <w:footnote w:id="5">
    <w:p w14:paraId="2ACD5E3D" w14:textId="5C81E874" w:rsidR="00FB1065" w:rsidRPr="00376E24" w:rsidRDefault="00FB1065" w:rsidP="004A453F">
      <w:pPr>
        <w:pStyle w:val="FootnoteText"/>
        <w:rPr>
          <w:rFonts w:ascii="Times New Roman" w:hAnsi="Times New Roman" w:cs="Times New Roman"/>
          <w:sz w:val="22"/>
          <w:szCs w:val="22"/>
        </w:rPr>
      </w:pPr>
      <w:r w:rsidRPr="00376E24">
        <w:rPr>
          <w:rStyle w:val="FootnoteReference"/>
          <w:rFonts w:ascii="Times New Roman" w:hAnsi="Times New Roman" w:cs="Times New Roman"/>
          <w:sz w:val="22"/>
          <w:szCs w:val="22"/>
        </w:rPr>
        <w:footnoteRef/>
      </w:r>
      <w:r w:rsidRPr="00376E24">
        <w:rPr>
          <w:rFonts w:ascii="Times New Roman" w:hAnsi="Times New Roman" w:cs="Times New Roman"/>
          <w:sz w:val="22"/>
          <w:szCs w:val="22"/>
        </w:rPr>
        <w:t xml:space="preserve"> For example, affected units in the state might be able to achieve the rate-based emission standards with other measures or actions outside of the EERS.</w:t>
      </w:r>
    </w:p>
  </w:footnote>
  <w:footnote w:id="6">
    <w:p w14:paraId="3A5EFE21" w14:textId="74A968C8" w:rsidR="00FB1065" w:rsidRPr="00376E24" w:rsidRDefault="00FB1065">
      <w:pPr>
        <w:pStyle w:val="FootnoteText"/>
        <w:rPr>
          <w:rFonts w:ascii="Times New Roman" w:hAnsi="Times New Roman" w:cs="Times New Roman"/>
          <w:b/>
          <w:sz w:val="22"/>
          <w:szCs w:val="22"/>
        </w:rPr>
      </w:pPr>
      <w:r w:rsidRPr="00376E24">
        <w:rPr>
          <w:rStyle w:val="FootnoteReference"/>
          <w:rFonts w:ascii="Times New Roman" w:hAnsi="Times New Roman" w:cs="Times New Roman"/>
          <w:sz w:val="22"/>
          <w:szCs w:val="22"/>
        </w:rPr>
        <w:footnoteRef/>
      </w:r>
      <w:r w:rsidRPr="00376E24">
        <w:rPr>
          <w:rFonts w:ascii="Times New Roman" w:hAnsi="Times New Roman" w:cs="Times New Roman"/>
          <w:sz w:val="22"/>
          <w:szCs w:val="22"/>
        </w:rPr>
        <w:t xml:space="preserve"> Eligibility requirements related to the timing, geography and type of RE and demand-side</w:t>
      </w:r>
      <w:r>
        <w:rPr>
          <w:rFonts w:ascii="Times New Roman" w:hAnsi="Times New Roman" w:cs="Times New Roman"/>
          <w:sz w:val="22"/>
          <w:szCs w:val="22"/>
        </w:rPr>
        <w:t xml:space="preserve"> EE</w:t>
      </w:r>
      <w:r w:rsidRPr="00376E24">
        <w:rPr>
          <w:rFonts w:ascii="Times New Roman" w:hAnsi="Times New Roman" w:cs="Times New Roman"/>
          <w:sz w:val="22"/>
          <w:szCs w:val="22"/>
        </w:rPr>
        <w:t xml:space="preserve"> measures that can be used to adjust a CO</w:t>
      </w:r>
      <w:r w:rsidRPr="00376E24">
        <w:rPr>
          <w:rFonts w:ascii="Times New Roman" w:hAnsi="Times New Roman" w:cs="Times New Roman"/>
          <w:sz w:val="22"/>
          <w:szCs w:val="22"/>
          <w:vertAlign w:val="subscript"/>
        </w:rPr>
        <w:t>2</w:t>
      </w:r>
      <w:r w:rsidRPr="00376E24">
        <w:rPr>
          <w:rFonts w:ascii="Times New Roman" w:hAnsi="Times New Roman" w:cs="Times New Roman"/>
          <w:sz w:val="22"/>
          <w:szCs w:val="22"/>
        </w:rPr>
        <w:t xml:space="preserve"> performance rate of an affected EGU under </w:t>
      </w:r>
      <w:r w:rsidR="00D52487">
        <w:rPr>
          <w:rFonts w:ascii="Times New Roman" w:hAnsi="Times New Roman" w:cs="Times New Roman"/>
          <w:sz w:val="22"/>
          <w:szCs w:val="22"/>
        </w:rPr>
        <w:t>the final rule are detailed in s</w:t>
      </w:r>
      <w:r w:rsidRPr="00376E24">
        <w:rPr>
          <w:rFonts w:ascii="Times New Roman" w:hAnsi="Times New Roman" w:cs="Times New Roman"/>
          <w:sz w:val="22"/>
          <w:szCs w:val="22"/>
        </w:rPr>
        <w:t>ection VIII.K.1</w:t>
      </w:r>
      <w:r w:rsidR="00D52487">
        <w:rPr>
          <w:rFonts w:ascii="Times New Roman" w:hAnsi="Times New Roman" w:cs="Times New Roman"/>
          <w:sz w:val="22"/>
          <w:szCs w:val="22"/>
        </w:rPr>
        <w:t>.</w:t>
      </w:r>
      <w:r w:rsidRPr="00376E24">
        <w:rPr>
          <w:rFonts w:ascii="Times New Roman" w:hAnsi="Times New Roman" w:cs="Times New Roman"/>
          <w:sz w:val="22"/>
          <w:szCs w:val="22"/>
        </w:rPr>
        <w:t xml:space="preserve"> </w:t>
      </w:r>
    </w:p>
  </w:footnote>
  <w:footnote w:id="7">
    <w:p w14:paraId="4FFFF123" w14:textId="0E656ADD" w:rsidR="00FB1065" w:rsidRPr="00376E24" w:rsidRDefault="00FB1065">
      <w:pPr>
        <w:pStyle w:val="FootnoteText"/>
        <w:rPr>
          <w:rFonts w:ascii="Times New Roman" w:hAnsi="Times New Roman" w:cs="Times New Roman"/>
          <w:b/>
          <w:sz w:val="22"/>
          <w:szCs w:val="22"/>
        </w:rPr>
      </w:pPr>
      <w:r w:rsidRPr="00376E24">
        <w:rPr>
          <w:rStyle w:val="FootnoteReference"/>
          <w:rFonts w:ascii="Times New Roman" w:hAnsi="Times New Roman" w:cs="Times New Roman"/>
          <w:sz w:val="22"/>
          <w:szCs w:val="22"/>
        </w:rPr>
        <w:footnoteRef/>
      </w:r>
      <w:r w:rsidR="00D52487">
        <w:rPr>
          <w:rFonts w:ascii="Times New Roman" w:hAnsi="Times New Roman" w:cs="Times New Roman"/>
          <w:sz w:val="22"/>
          <w:szCs w:val="22"/>
        </w:rPr>
        <w:t xml:space="preserve"> For details refer to s</w:t>
      </w:r>
      <w:r w:rsidRPr="00376E24">
        <w:rPr>
          <w:rFonts w:ascii="Times New Roman" w:hAnsi="Times New Roman" w:cs="Times New Roman"/>
          <w:sz w:val="22"/>
          <w:szCs w:val="22"/>
        </w:rPr>
        <w:t>ection</w:t>
      </w:r>
      <w:r w:rsidR="00D52487">
        <w:rPr>
          <w:rFonts w:ascii="Times New Roman" w:hAnsi="Times New Roman" w:cs="Times New Roman"/>
          <w:sz w:val="22"/>
          <w:szCs w:val="22"/>
        </w:rPr>
        <w:t>s</w:t>
      </w:r>
      <w:r w:rsidRPr="00376E24">
        <w:rPr>
          <w:rFonts w:ascii="Times New Roman" w:hAnsi="Times New Roman" w:cs="Times New Roman"/>
          <w:sz w:val="22"/>
          <w:szCs w:val="22"/>
        </w:rPr>
        <w:t xml:space="preserve"> VIII.B.2 and VIII.K.1.a</w:t>
      </w:r>
      <w:r>
        <w:rPr>
          <w:rFonts w:ascii="Times New Roman" w:hAnsi="Times New Roman" w:cs="Times New Roman"/>
          <w:sz w:val="22"/>
          <w:szCs w:val="22"/>
        </w:rPr>
        <w:t xml:space="preserve"> </w:t>
      </w:r>
      <w:r w:rsidRPr="00376E24">
        <w:rPr>
          <w:rFonts w:ascii="Times New Roman" w:hAnsi="Times New Roman" w:cs="Times New Roman"/>
          <w:sz w:val="22"/>
          <w:szCs w:val="22"/>
        </w:rPr>
        <w:t>of the preamble</w:t>
      </w:r>
      <w:r w:rsidRPr="00376E24">
        <w:rPr>
          <w:rFonts w:ascii="Times New Roman" w:hAnsi="Times New Roman" w:cs="Times New Roman"/>
          <w:b/>
          <w:sz w:val="22"/>
          <w:szCs w:val="22"/>
        </w:rPr>
        <w:t>.</w:t>
      </w:r>
    </w:p>
  </w:footnote>
  <w:footnote w:id="8">
    <w:p w14:paraId="53A2BFED" w14:textId="29DF6D21" w:rsidR="00FB1065" w:rsidRPr="00376E24" w:rsidRDefault="00FB1065">
      <w:pPr>
        <w:rPr>
          <w:rFonts w:ascii="Times New Roman" w:hAnsi="Times New Roman" w:cs="Times New Roman"/>
        </w:rPr>
      </w:pPr>
      <w:r w:rsidRPr="00376E24">
        <w:rPr>
          <w:rStyle w:val="FootnoteReference"/>
          <w:rFonts w:ascii="Times New Roman" w:hAnsi="Times New Roman" w:cs="Times New Roman"/>
        </w:rPr>
        <w:footnoteRef/>
      </w:r>
      <w:r w:rsidRPr="00376E24">
        <w:rPr>
          <w:rFonts w:ascii="Times New Roman" w:hAnsi="Times New Roman" w:cs="Times New Roman"/>
        </w:rPr>
        <w:t xml:space="preserve"> Incremental direct effects refers to RE and demand-side EE beyond any impacts that are in the base case. If a new program is more stringent than an existing program already in the base case, it may not be appropriate to use the full magnitude of the new program. </w:t>
      </w:r>
    </w:p>
  </w:footnote>
  <w:footnote w:id="9">
    <w:p w14:paraId="26029698" w14:textId="3A2DD47C" w:rsidR="00FB1065" w:rsidRPr="00376E24" w:rsidRDefault="00FB1065" w:rsidP="00701735">
      <w:pPr>
        <w:autoSpaceDE w:val="0"/>
        <w:autoSpaceDN w:val="0"/>
        <w:spacing w:after="0" w:line="240" w:lineRule="auto"/>
        <w:rPr>
          <w:rFonts w:ascii="Times New Roman" w:hAnsi="Times New Roman" w:cs="Times New Roman"/>
        </w:rPr>
      </w:pPr>
      <w:r w:rsidRPr="00376E24">
        <w:rPr>
          <w:rStyle w:val="FootnoteReference"/>
          <w:rFonts w:ascii="Times New Roman" w:hAnsi="Times New Roman" w:cs="Times New Roman"/>
        </w:rPr>
        <w:footnoteRef/>
      </w:r>
      <w:r w:rsidRPr="00376E24">
        <w:rPr>
          <w:rFonts w:ascii="Times New Roman" w:hAnsi="Times New Roman" w:cs="Times New Roman"/>
        </w:rPr>
        <w:t xml:space="preserve"> This can include state and local sponsored programs, and RE and demand-side EE projects, such as ones done under performance contracting</w:t>
      </w:r>
      <w:r w:rsidRPr="00376E24">
        <w:rPr>
          <w:rFonts w:ascii="Times New Roman" w:hAnsi="Times New Roman" w:cs="Times New Roman"/>
          <w:color w:val="000000"/>
        </w:rPr>
        <w:t>, provided they meet the eligibi</w:t>
      </w:r>
      <w:r w:rsidR="009D5B08">
        <w:rPr>
          <w:rFonts w:ascii="Times New Roman" w:hAnsi="Times New Roman" w:cs="Times New Roman"/>
          <w:color w:val="000000"/>
        </w:rPr>
        <w:t>lity requirements specified in s</w:t>
      </w:r>
      <w:r w:rsidRPr="00376E24">
        <w:rPr>
          <w:rFonts w:ascii="Times New Roman" w:hAnsi="Times New Roman" w:cs="Times New Roman"/>
          <w:color w:val="000000"/>
        </w:rPr>
        <w:t>ection VIII.K.1</w:t>
      </w:r>
      <w:r>
        <w:rPr>
          <w:rFonts w:ascii="Times New Roman" w:hAnsi="Times New Roman" w:cs="Times New Roman"/>
          <w:color w:val="000000"/>
        </w:rPr>
        <w:t xml:space="preserve"> of the preamble</w:t>
      </w:r>
      <w:r w:rsidRPr="00376E24">
        <w:rPr>
          <w:rFonts w:ascii="Times New Roman" w:hAnsi="Times New Roman" w:cs="Times New Roman"/>
        </w:rPr>
        <w:t xml:space="preserve">. Other types of programs and projects that may be eligible for inclusion are described in </w:t>
      </w:r>
      <w:r w:rsidR="009D5B08">
        <w:rPr>
          <w:rFonts w:ascii="Times New Roman" w:hAnsi="Times New Roman" w:cs="Times New Roman"/>
        </w:rPr>
        <w:t>s</w:t>
      </w:r>
      <w:r w:rsidRPr="00376E24">
        <w:rPr>
          <w:rFonts w:ascii="Times New Roman" w:hAnsi="Times New Roman" w:cs="Times New Roman"/>
        </w:rPr>
        <w:t>ection VIII.K.1.a</w:t>
      </w:r>
      <w:r w:rsidR="009D5B08">
        <w:rPr>
          <w:rFonts w:ascii="Times New Roman" w:hAnsi="Times New Roman" w:cs="Times New Roman"/>
        </w:rPr>
        <w:t>.</w:t>
      </w:r>
    </w:p>
  </w:footnote>
  <w:footnote w:id="10">
    <w:p w14:paraId="33CF0076" w14:textId="0B06B4DF" w:rsidR="00FB1065" w:rsidRPr="00376E24" w:rsidRDefault="00FB1065">
      <w:pPr>
        <w:pStyle w:val="FootnoteText"/>
        <w:rPr>
          <w:rFonts w:ascii="Times New Roman" w:hAnsi="Times New Roman" w:cs="Times New Roman"/>
          <w:sz w:val="22"/>
          <w:szCs w:val="22"/>
        </w:rPr>
      </w:pPr>
      <w:r w:rsidRPr="00376E24">
        <w:rPr>
          <w:rStyle w:val="FootnoteReference"/>
          <w:rFonts w:ascii="Times New Roman" w:hAnsi="Times New Roman" w:cs="Times New Roman"/>
          <w:sz w:val="22"/>
          <w:szCs w:val="22"/>
        </w:rPr>
        <w:footnoteRef/>
      </w:r>
      <w:r w:rsidRPr="00376E24">
        <w:rPr>
          <w:rFonts w:ascii="Times New Roman" w:hAnsi="Times New Roman" w:cs="Times New Roman"/>
          <w:sz w:val="22"/>
          <w:szCs w:val="22"/>
        </w:rPr>
        <w:t xml:space="preserve"> Guidance on Incorporating Bundled Measures in a State Implementation Plan, www.epa.gov/ttn/oarpg/t1/memoranda/10885guideibminsip.pdf.</w:t>
      </w:r>
    </w:p>
  </w:footnote>
  <w:footnote w:id="11">
    <w:p w14:paraId="388B1F2C" w14:textId="524E5CDE" w:rsidR="00FB1065" w:rsidRPr="00376E24" w:rsidRDefault="00FB1065">
      <w:pPr>
        <w:pStyle w:val="FootnoteText"/>
        <w:rPr>
          <w:rFonts w:ascii="Times New Roman" w:hAnsi="Times New Roman" w:cs="Times New Roman"/>
          <w:sz w:val="22"/>
          <w:szCs w:val="22"/>
        </w:rPr>
      </w:pPr>
      <w:r w:rsidRPr="00376E24">
        <w:rPr>
          <w:rStyle w:val="FootnoteReference"/>
          <w:rFonts w:ascii="Times New Roman" w:hAnsi="Times New Roman" w:cs="Times New Roman"/>
          <w:sz w:val="22"/>
          <w:szCs w:val="22"/>
        </w:rPr>
        <w:footnoteRef/>
      </w:r>
      <w:r w:rsidRPr="00376E24">
        <w:rPr>
          <w:rFonts w:ascii="Times New Roman" w:hAnsi="Times New Roman" w:cs="Times New Roman"/>
          <w:sz w:val="22"/>
          <w:szCs w:val="22"/>
        </w:rPr>
        <w:t xml:space="preserve"> The EPA recognizes that for unique situations, states may not be able to use these exact equations. In those unique circumstances, states can propose an alternative equation to EPA for approval on a case-by-case basis. </w:t>
      </w:r>
    </w:p>
  </w:footnote>
  <w:footnote w:id="12">
    <w:p w14:paraId="1992F2C7" w14:textId="2CA7C389" w:rsidR="00FB1065" w:rsidRPr="00376E24" w:rsidRDefault="00FB1065">
      <w:pPr>
        <w:pStyle w:val="FootnoteText"/>
        <w:rPr>
          <w:rFonts w:ascii="Times New Roman" w:hAnsi="Times New Roman" w:cs="Times New Roman"/>
          <w:sz w:val="22"/>
          <w:szCs w:val="22"/>
        </w:rPr>
      </w:pPr>
      <w:r w:rsidRPr="00376E24">
        <w:rPr>
          <w:rStyle w:val="FootnoteReference"/>
          <w:rFonts w:ascii="Times New Roman" w:hAnsi="Times New Roman" w:cs="Times New Roman"/>
          <w:sz w:val="22"/>
          <w:szCs w:val="22"/>
        </w:rPr>
        <w:footnoteRef/>
      </w:r>
      <w:r w:rsidRPr="00376E24">
        <w:rPr>
          <w:rFonts w:ascii="Times New Roman" w:hAnsi="Times New Roman" w:cs="Times New Roman"/>
          <w:sz w:val="22"/>
          <w:szCs w:val="22"/>
        </w:rPr>
        <w:t xml:space="preserve"> </w:t>
      </w:r>
      <w:r w:rsidRPr="00376E24">
        <w:rPr>
          <w:rFonts w:ascii="Times New Roman" w:eastAsia="Calibri" w:hAnsi="Times New Roman" w:cs="Times New Roman"/>
          <w:color w:val="000000" w:themeColor="text1"/>
          <w:sz w:val="22"/>
          <w:szCs w:val="22"/>
        </w:rPr>
        <w:t xml:space="preserve"> Projections of</w:t>
      </w:r>
      <w:r w:rsidR="009D5B08">
        <w:rPr>
          <w:rFonts w:ascii="Times New Roman" w:eastAsia="Calibri" w:hAnsi="Times New Roman" w:cs="Times New Roman"/>
          <w:color w:val="000000" w:themeColor="text1"/>
          <w:sz w:val="22"/>
          <w:szCs w:val="22"/>
        </w:rPr>
        <w:t xml:space="preserve"> demand-side</w:t>
      </w:r>
      <w:r w:rsidRPr="00376E24">
        <w:rPr>
          <w:rFonts w:ascii="Times New Roman" w:eastAsia="Calibri" w:hAnsi="Times New Roman" w:cs="Times New Roman"/>
          <w:color w:val="000000" w:themeColor="text1"/>
          <w:sz w:val="22"/>
          <w:szCs w:val="22"/>
        </w:rPr>
        <w:t xml:space="preserve"> EE impacts must reflect the annual impacts that occur due to new EE impacts in a given year plus the impacts of EE investments made in previous years that are still generating savings (i.e.</w:t>
      </w:r>
      <w:r w:rsidR="009D5B08">
        <w:rPr>
          <w:rFonts w:ascii="Times New Roman" w:eastAsia="Calibri" w:hAnsi="Times New Roman" w:cs="Times New Roman"/>
          <w:color w:val="000000" w:themeColor="text1"/>
          <w:sz w:val="22"/>
          <w:szCs w:val="22"/>
        </w:rPr>
        <w:t>,</w:t>
      </w:r>
      <w:r w:rsidRPr="00376E24">
        <w:rPr>
          <w:rFonts w:ascii="Times New Roman" w:eastAsia="Calibri" w:hAnsi="Times New Roman" w:cs="Times New Roman"/>
          <w:color w:val="000000" w:themeColor="text1"/>
          <w:sz w:val="22"/>
          <w:szCs w:val="22"/>
        </w:rPr>
        <w:t xml:space="preserve"> have not exceed their measure life or otherwise ended).  </w:t>
      </w:r>
    </w:p>
  </w:footnote>
  <w:footnote w:id="13">
    <w:p w14:paraId="1B98810A" w14:textId="3B5DE28F" w:rsidR="00FB1065" w:rsidRPr="00376E24" w:rsidRDefault="00FB1065">
      <w:pPr>
        <w:pStyle w:val="FootnoteText"/>
        <w:rPr>
          <w:rFonts w:ascii="Times New Roman" w:hAnsi="Times New Roman" w:cs="Times New Roman"/>
          <w:sz w:val="22"/>
          <w:szCs w:val="22"/>
        </w:rPr>
      </w:pPr>
      <w:r w:rsidRPr="00376E24">
        <w:rPr>
          <w:rStyle w:val="FootnoteReference"/>
          <w:rFonts w:ascii="Times New Roman" w:hAnsi="Times New Roman" w:cs="Times New Roman"/>
          <w:sz w:val="22"/>
          <w:szCs w:val="22"/>
        </w:rPr>
        <w:footnoteRef/>
      </w:r>
      <w:r w:rsidRPr="00376E24">
        <w:rPr>
          <w:rFonts w:ascii="Times New Roman" w:hAnsi="Times New Roman" w:cs="Times New Roman"/>
          <w:sz w:val="22"/>
          <w:szCs w:val="22"/>
        </w:rPr>
        <w:t xml:space="preserve"> States can use location-specific capacity factors informed by historical data or weather-prediction models, such as the kind of data included in the National Renewable Energy Laboratory (NREL) Eastern Wind Integration and Transmission Study (EWITS) or in publicly available datasets from EIA and ISO/RTOs.</w:t>
      </w:r>
    </w:p>
  </w:footnote>
  <w:footnote w:id="14">
    <w:p w14:paraId="74213B43" w14:textId="5D29F3E6" w:rsidR="00FB1065" w:rsidRPr="00376E24" w:rsidRDefault="00FB1065" w:rsidP="00DE3EE4">
      <w:pPr>
        <w:pStyle w:val="FootnoteText"/>
        <w:rPr>
          <w:rFonts w:ascii="Times New Roman" w:hAnsi="Times New Roman" w:cs="Times New Roman"/>
          <w:sz w:val="22"/>
          <w:szCs w:val="22"/>
        </w:rPr>
      </w:pPr>
      <w:r w:rsidRPr="00376E24">
        <w:rPr>
          <w:rStyle w:val="FootnoteReference"/>
          <w:rFonts w:ascii="Times New Roman" w:hAnsi="Times New Roman" w:cs="Times New Roman"/>
          <w:sz w:val="22"/>
          <w:szCs w:val="22"/>
        </w:rPr>
        <w:footnoteRef/>
      </w:r>
      <w:r w:rsidRPr="00376E24">
        <w:rPr>
          <w:rFonts w:ascii="Times New Roman" w:hAnsi="Times New Roman" w:cs="Times New Roman"/>
          <w:sz w:val="22"/>
          <w:szCs w:val="22"/>
        </w:rPr>
        <w:t xml:space="preserve"> For more information about available tools for estimating direct energy impacts, see Assessing the Multiple Benefits Guide: A Resource for States, Chapter 2. http://www.epa.gov/statelocalclimate/documents/pdf/epa_assessing_benefits_ch2.pdf#page=4</w:t>
      </w:r>
      <w:r w:rsidR="008D6F66">
        <w:rPr>
          <w:rFonts w:ascii="Times New Roman" w:hAnsi="Times New Roman" w:cs="Times New Roman"/>
          <w:sz w:val="22"/>
          <w:szCs w:val="22"/>
        </w:rPr>
        <w:t>.</w:t>
      </w:r>
      <w:r w:rsidRPr="00376E24">
        <w:rPr>
          <w:rFonts w:ascii="Times New Roman" w:hAnsi="Times New Roman" w:cs="Times New Roman"/>
          <w:sz w:val="22"/>
          <w:szCs w:val="22"/>
        </w:rPr>
        <w:t xml:space="preserve"> </w:t>
      </w:r>
    </w:p>
  </w:footnote>
  <w:footnote w:id="15">
    <w:p w14:paraId="6D6D87C5" w14:textId="09936F31" w:rsidR="00FB1065" w:rsidRPr="00376E24" w:rsidRDefault="00FB1065">
      <w:pPr>
        <w:pStyle w:val="FootnoteText"/>
        <w:rPr>
          <w:rFonts w:ascii="Times New Roman" w:hAnsi="Times New Roman" w:cs="Times New Roman"/>
          <w:sz w:val="22"/>
          <w:szCs w:val="22"/>
        </w:rPr>
      </w:pPr>
      <w:r w:rsidRPr="00376E24">
        <w:rPr>
          <w:rStyle w:val="FootnoteReference"/>
          <w:rFonts w:ascii="Times New Roman" w:hAnsi="Times New Roman" w:cs="Times New Roman"/>
          <w:sz w:val="22"/>
          <w:szCs w:val="22"/>
        </w:rPr>
        <w:footnoteRef/>
      </w:r>
      <w:r w:rsidRPr="00376E24">
        <w:rPr>
          <w:rFonts w:ascii="Times New Roman" w:hAnsi="Times New Roman" w:cs="Times New Roman"/>
          <w:sz w:val="22"/>
          <w:szCs w:val="22"/>
        </w:rPr>
        <w:t xml:space="preserve"> Savings from purely voluntary</w:t>
      </w:r>
      <w:r w:rsidR="008D6F66">
        <w:rPr>
          <w:rFonts w:ascii="Times New Roman" w:hAnsi="Times New Roman" w:cs="Times New Roman"/>
          <w:sz w:val="22"/>
          <w:szCs w:val="22"/>
        </w:rPr>
        <w:t xml:space="preserve"> demand-side</w:t>
      </w:r>
      <w:r w:rsidRPr="00376E24">
        <w:rPr>
          <w:rFonts w:ascii="Times New Roman" w:hAnsi="Times New Roman" w:cs="Times New Roman"/>
          <w:sz w:val="22"/>
          <w:szCs w:val="22"/>
        </w:rPr>
        <w:t xml:space="preserve"> EE goals are not state enforceable measures and are not eligible for use in a CO</w:t>
      </w:r>
      <w:r w:rsidRPr="00376E24">
        <w:rPr>
          <w:rFonts w:ascii="Times New Roman" w:hAnsi="Times New Roman" w:cs="Times New Roman"/>
          <w:sz w:val="22"/>
          <w:szCs w:val="22"/>
          <w:vertAlign w:val="subscript"/>
        </w:rPr>
        <w:t>2</w:t>
      </w:r>
      <w:r w:rsidRPr="00376E24">
        <w:rPr>
          <w:rFonts w:ascii="Times New Roman" w:hAnsi="Times New Roman" w:cs="Times New Roman"/>
          <w:sz w:val="22"/>
          <w:szCs w:val="22"/>
        </w:rPr>
        <w:t xml:space="preserve"> emission performance projection for a state measures type plan</w:t>
      </w:r>
      <w:r w:rsidRPr="00376E24" w:rsidDel="007474F2">
        <w:rPr>
          <w:rFonts w:ascii="Times New Roman" w:hAnsi="Times New Roman" w:cs="Times New Roman"/>
          <w:sz w:val="22"/>
          <w:szCs w:val="22"/>
        </w:rPr>
        <w:t>.</w:t>
      </w:r>
      <w:r w:rsidRPr="00376E24">
        <w:rPr>
          <w:rFonts w:ascii="Times New Roman" w:hAnsi="Times New Roman" w:cs="Times New Roman"/>
          <w:sz w:val="22"/>
          <w:szCs w:val="22"/>
        </w:rPr>
        <w:t xml:space="preserve"> Quantification of eligible</w:t>
      </w:r>
      <w:r w:rsidR="008D6F66">
        <w:rPr>
          <w:rFonts w:ascii="Times New Roman" w:hAnsi="Times New Roman" w:cs="Times New Roman"/>
          <w:sz w:val="22"/>
          <w:szCs w:val="22"/>
        </w:rPr>
        <w:t xml:space="preserve"> demand-side</w:t>
      </w:r>
      <w:r w:rsidRPr="00376E24">
        <w:rPr>
          <w:rFonts w:ascii="Times New Roman" w:hAnsi="Times New Roman" w:cs="Times New Roman"/>
          <w:sz w:val="22"/>
          <w:szCs w:val="22"/>
        </w:rPr>
        <w:t xml:space="preserve"> EE savings must be done in accordance with</w:t>
      </w:r>
      <w:r w:rsidR="008D6F66">
        <w:rPr>
          <w:rFonts w:ascii="Times New Roman" w:hAnsi="Times New Roman" w:cs="Times New Roman"/>
          <w:sz w:val="22"/>
          <w:szCs w:val="22"/>
        </w:rPr>
        <w:t xml:space="preserve"> the requirements specified in s</w:t>
      </w:r>
      <w:r w:rsidRPr="00376E24">
        <w:rPr>
          <w:rFonts w:ascii="Times New Roman" w:hAnsi="Times New Roman" w:cs="Times New Roman"/>
          <w:sz w:val="22"/>
          <w:szCs w:val="22"/>
        </w:rPr>
        <w:t>ection VIII.K.3 of the preamble.</w:t>
      </w:r>
    </w:p>
  </w:footnote>
  <w:footnote w:id="16">
    <w:p w14:paraId="5BF864B2" w14:textId="11D6B55E" w:rsidR="00FB1065" w:rsidRPr="00376E24" w:rsidRDefault="00FB1065">
      <w:pPr>
        <w:pStyle w:val="FootnoteText"/>
        <w:rPr>
          <w:rFonts w:ascii="Times New Roman" w:hAnsi="Times New Roman" w:cs="Times New Roman"/>
          <w:sz w:val="22"/>
          <w:szCs w:val="22"/>
        </w:rPr>
      </w:pPr>
      <w:r w:rsidRPr="00376E24">
        <w:rPr>
          <w:rStyle w:val="FootnoteReference"/>
          <w:rFonts w:ascii="Times New Roman" w:hAnsi="Times New Roman" w:cs="Times New Roman"/>
          <w:sz w:val="22"/>
          <w:szCs w:val="22"/>
        </w:rPr>
        <w:footnoteRef/>
      </w:r>
      <w:r w:rsidRPr="00376E24">
        <w:rPr>
          <w:rFonts w:ascii="Times New Roman" w:hAnsi="Times New Roman" w:cs="Times New Roman"/>
          <w:sz w:val="22"/>
          <w:szCs w:val="22"/>
        </w:rPr>
        <w:t xml:space="preserve"> These equations are the recommended calculation methods for inclusion in state plans. </w:t>
      </w:r>
    </w:p>
  </w:footnote>
  <w:footnote w:id="17">
    <w:p w14:paraId="05891120" w14:textId="42F90732" w:rsidR="00FB1065" w:rsidRPr="00376E24" w:rsidRDefault="00FB1065">
      <w:pPr>
        <w:pStyle w:val="FootnoteText"/>
        <w:rPr>
          <w:rFonts w:ascii="Times New Roman" w:hAnsi="Times New Roman" w:cs="Times New Roman"/>
          <w:sz w:val="22"/>
          <w:szCs w:val="22"/>
        </w:rPr>
      </w:pPr>
      <w:r w:rsidRPr="00376E24">
        <w:rPr>
          <w:rStyle w:val="FootnoteReference"/>
          <w:rFonts w:ascii="Times New Roman" w:hAnsi="Times New Roman" w:cs="Times New Roman"/>
          <w:sz w:val="22"/>
          <w:szCs w:val="22"/>
        </w:rPr>
        <w:footnoteRef/>
      </w:r>
      <w:r w:rsidRPr="00376E24">
        <w:rPr>
          <w:rFonts w:ascii="Times New Roman" w:hAnsi="Times New Roman" w:cs="Times New Roman"/>
          <w:sz w:val="22"/>
          <w:szCs w:val="22"/>
        </w:rPr>
        <w:t xml:space="preserve"> States using the AEO 2013 forecast should take note that it does not include state-level EERS policies but does embed EE savings of policies. These EE savings are not reported out by the AEO and need to be determined independently.  </w:t>
      </w:r>
    </w:p>
  </w:footnote>
  <w:footnote w:id="18">
    <w:p w14:paraId="472B557E" w14:textId="2FA73435" w:rsidR="00FB1065" w:rsidRPr="00376E24" w:rsidRDefault="00FB1065" w:rsidP="001A5E18">
      <w:pPr>
        <w:pStyle w:val="FootnoteText"/>
        <w:rPr>
          <w:rFonts w:ascii="Times New Roman" w:hAnsi="Times New Roman" w:cs="Times New Roman"/>
          <w:sz w:val="22"/>
          <w:szCs w:val="22"/>
        </w:rPr>
      </w:pPr>
      <w:r w:rsidRPr="00376E24">
        <w:rPr>
          <w:rStyle w:val="FootnoteReference"/>
          <w:rFonts w:ascii="Times New Roman" w:hAnsi="Times New Roman" w:cs="Times New Roman"/>
          <w:sz w:val="22"/>
          <w:szCs w:val="22"/>
        </w:rPr>
        <w:footnoteRef/>
      </w:r>
      <w:r w:rsidRPr="00376E24">
        <w:rPr>
          <w:rFonts w:ascii="Times New Roman" w:hAnsi="Times New Roman" w:cs="Times New Roman"/>
          <w:sz w:val="22"/>
          <w:szCs w:val="22"/>
        </w:rPr>
        <w:t xml:space="preserve"> States must represent measures in their projection in accordance with the accounting and eligibility requirements specified in the guidelines</w:t>
      </w:r>
      <w:r w:rsidR="00FC595C">
        <w:rPr>
          <w:rFonts w:ascii="Times New Roman" w:hAnsi="Times New Roman" w:cs="Times New Roman"/>
          <w:sz w:val="22"/>
          <w:szCs w:val="22"/>
        </w:rPr>
        <w:t>,</w:t>
      </w:r>
      <w:r w:rsidRPr="00376E24">
        <w:rPr>
          <w:rFonts w:ascii="Times New Roman" w:hAnsi="Times New Roman" w:cs="Times New Roman"/>
          <w:sz w:val="22"/>
          <w:szCs w:val="22"/>
        </w:rPr>
        <w:t xml:space="preserve"> irrespective of the ways that RE is counted under a state requirement</w:t>
      </w:r>
      <w:r>
        <w:rPr>
          <w:rFonts w:ascii="Times New Roman" w:hAnsi="Times New Roman" w:cs="Times New Roman"/>
          <w:sz w:val="22"/>
          <w:szCs w:val="22"/>
        </w:rPr>
        <w:t>,</w:t>
      </w:r>
      <w:r w:rsidRPr="00376E24">
        <w:rPr>
          <w:rFonts w:ascii="Times New Roman" w:hAnsi="Times New Roman" w:cs="Times New Roman"/>
          <w:sz w:val="22"/>
          <w:szCs w:val="22"/>
        </w:rPr>
        <w:t xml:space="preserve"> such as an RPS</w:t>
      </w:r>
      <w:r>
        <w:rPr>
          <w:rFonts w:ascii="Times New Roman" w:hAnsi="Times New Roman" w:cs="Times New Roman"/>
          <w:sz w:val="22"/>
          <w:szCs w:val="22"/>
        </w:rPr>
        <w:t>,</w:t>
      </w:r>
      <w:r w:rsidRPr="00376E24">
        <w:rPr>
          <w:rFonts w:ascii="Times New Roman" w:hAnsi="Times New Roman" w:cs="Times New Roman"/>
          <w:sz w:val="22"/>
          <w:szCs w:val="22"/>
        </w:rPr>
        <w:t xml:space="preserve"> or for the purposes of renewable energy certificates. For example, some RPS apply an adjustment factor or allow credit different from the accounting method included in the final rule. RE generation from purely voluntary RE goals are not state enforceable measures and are not eligible for use in a performance projection for a state measures plan type. Similarly, alternate compliance payments, state-level bonuses for RE and RE resources permitted under an RPS that are not permitted under the final guidelines are not eligible to demonstrate performance in a projection. For more information about acceptable accounting methods for RE, see </w:t>
      </w:r>
      <w:r w:rsidR="00FC595C">
        <w:rPr>
          <w:rFonts w:ascii="Times New Roman" w:hAnsi="Times New Roman" w:cs="Times New Roman"/>
          <w:sz w:val="22"/>
          <w:szCs w:val="22"/>
        </w:rPr>
        <w:t>s</w:t>
      </w:r>
      <w:r w:rsidRPr="00376E24">
        <w:rPr>
          <w:rFonts w:ascii="Times New Roman" w:hAnsi="Times New Roman" w:cs="Times New Roman"/>
          <w:sz w:val="22"/>
          <w:szCs w:val="22"/>
        </w:rPr>
        <w:t>e</w:t>
      </w:r>
      <w:r w:rsidR="00281905">
        <w:rPr>
          <w:rFonts w:ascii="Times New Roman" w:hAnsi="Times New Roman" w:cs="Times New Roman"/>
          <w:sz w:val="22"/>
          <w:szCs w:val="22"/>
        </w:rPr>
        <w:t>ctions VIII.K.1 and VIII.K.2 of the preamble.</w:t>
      </w:r>
      <w:r w:rsidRPr="00376E24">
        <w:rPr>
          <w:rFonts w:ascii="Times New Roman" w:hAnsi="Times New Roman" w:cs="Times New Roman"/>
          <w:sz w:val="22"/>
          <w:szCs w:val="22"/>
        </w:rPr>
        <w:t xml:space="preserve"> For information about addressing interactions between </w:t>
      </w:r>
      <w:r w:rsidR="00281905">
        <w:rPr>
          <w:rFonts w:ascii="Times New Roman" w:hAnsi="Times New Roman" w:cs="Times New Roman"/>
          <w:sz w:val="22"/>
          <w:szCs w:val="22"/>
        </w:rPr>
        <w:t>renewable energy credits (RECs)</w:t>
      </w:r>
      <w:r w:rsidRPr="00376E24">
        <w:rPr>
          <w:rFonts w:ascii="Times New Roman" w:hAnsi="Times New Roman" w:cs="Times New Roman"/>
          <w:sz w:val="22"/>
          <w:szCs w:val="22"/>
        </w:rPr>
        <w:t xml:space="preserve"> </w:t>
      </w:r>
      <w:r w:rsidR="00FC595C">
        <w:rPr>
          <w:rFonts w:ascii="Times New Roman" w:hAnsi="Times New Roman" w:cs="Times New Roman"/>
          <w:sz w:val="22"/>
          <w:szCs w:val="22"/>
        </w:rPr>
        <w:t>and emission rate credits, see s</w:t>
      </w:r>
      <w:r w:rsidRPr="00376E24">
        <w:rPr>
          <w:rFonts w:ascii="Times New Roman" w:hAnsi="Times New Roman" w:cs="Times New Roman"/>
          <w:sz w:val="22"/>
          <w:szCs w:val="22"/>
        </w:rPr>
        <w:t>ection VIII.K.2.</w:t>
      </w:r>
    </w:p>
  </w:footnote>
  <w:footnote w:id="19">
    <w:p w14:paraId="78305F82" w14:textId="1A374FCB" w:rsidR="00FB1065" w:rsidRPr="00376E24" w:rsidRDefault="00FB1065">
      <w:pPr>
        <w:pStyle w:val="FootnoteText"/>
        <w:rPr>
          <w:rFonts w:ascii="Times New Roman" w:hAnsi="Times New Roman" w:cs="Times New Roman"/>
          <w:sz w:val="22"/>
          <w:szCs w:val="22"/>
        </w:rPr>
      </w:pPr>
      <w:r w:rsidRPr="00376E24">
        <w:rPr>
          <w:rStyle w:val="FootnoteReference"/>
          <w:rFonts w:ascii="Times New Roman" w:hAnsi="Times New Roman" w:cs="Times New Roman"/>
          <w:sz w:val="22"/>
          <w:szCs w:val="22"/>
        </w:rPr>
        <w:footnoteRef/>
      </w:r>
      <w:r w:rsidRPr="00376E24">
        <w:rPr>
          <w:rFonts w:ascii="Times New Roman" w:hAnsi="Times New Roman" w:cs="Times New Roman"/>
          <w:sz w:val="22"/>
          <w:szCs w:val="22"/>
        </w:rPr>
        <w:t xml:space="preserve"> The equations in this section are the recommended calculation methods for inclusion in state plans.</w:t>
      </w:r>
    </w:p>
  </w:footnote>
  <w:footnote w:id="20">
    <w:p w14:paraId="5676B959" w14:textId="39CF8386" w:rsidR="00FB1065" w:rsidRPr="00376E24" w:rsidRDefault="00FB1065">
      <w:pPr>
        <w:pStyle w:val="FootnoteText"/>
        <w:rPr>
          <w:rFonts w:ascii="Times New Roman" w:hAnsi="Times New Roman" w:cs="Times New Roman"/>
          <w:sz w:val="22"/>
          <w:szCs w:val="22"/>
        </w:rPr>
      </w:pPr>
      <w:r w:rsidRPr="00376E24">
        <w:rPr>
          <w:rStyle w:val="FootnoteReference"/>
          <w:rFonts w:ascii="Times New Roman" w:hAnsi="Times New Roman" w:cs="Times New Roman"/>
          <w:sz w:val="22"/>
          <w:szCs w:val="22"/>
        </w:rPr>
        <w:footnoteRef/>
      </w:r>
      <w:r w:rsidRPr="00376E24">
        <w:rPr>
          <w:rFonts w:ascii="Times New Roman" w:hAnsi="Times New Roman" w:cs="Times New Roman"/>
          <w:sz w:val="22"/>
          <w:szCs w:val="22"/>
        </w:rPr>
        <w:t xml:space="preserve"> For more information about what renewable resources are eligible under</w:t>
      </w:r>
      <w:r w:rsidR="00281905">
        <w:rPr>
          <w:rFonts w:ascii="Times New Roman" w:hAnsi="Times New Roman" w:cs="Times New Roman"/>
          <w:sz w:val="22"/>
          <w:szCs w:val="22"/>
        </w:rPr>
        <w:t xml:space="preserve"> the emissions guidelines, see s</w:t>
      </w:r>
      <w:r w:rsidRPr="00376E24">
        <w:rPr>
          <w:rFonts w:ascii="Times New Roman" w:hAnsi="Times New Roman" w:cs="Times New Roman"/>
          <w:sz w:val="22"/>
          <w:szCs w:val="22"/>
        </w:rPr>
        <w:t>ection VIII.K.3</w:t>
      </w:r>
      <w:r w:rsidRPr="00376E24" w:rsidDel="00AB283F">
        <w:rPr>
          <w:rFonts w:ascii="Times New Roman" w:hAnsi="Times New Roman" w:cs="Times New Roman"/>
          <w:sz w:val="22"/>
          <w:szCs w:val="22"/>
        </w:rPr>
        <w:t>.</w:t>
      </w:r>
      <w:r w:rsidRPr="00376E24">
        <w:rPr>
          <w:rFonts w:ascii="Times New Roman" w:hAnsi="Times New Roman" w:cs="Times New Roman"/>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D318B" w14:textId="63E8B882" w:rsidR="00FB1065" w:rsidRPr="001651DC" w:rsidRDefault="00FB1065" w:rsidP="00E25802">
    <w:pPr>
      <w:pStyle w:val="Header"/>
      <w:jc w:val="center"/>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F71C" w14:textId="0057C899" w:rsidR="00FB1065" w:rsidRPr="0061507D" w:rsidRDefault="00FB1065" w:rsidP="00E25802">
    <w:pPr>
      <w:pStyle w:val="Header"/>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7AA4"/>
    <w:multiLevelType w:val="hybridMultilevel"/>
    <w:tmpl w:val="8F4A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0F58"/>
    <w:multiLevelType w:val="hybridMultilevel"/>
    <w:tmpl w:val="BA443B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7166E"/>
    <w:multiLevelType w:val="hybridMultilevel"/>
    <w:tmpl w:val="75D4D1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F4061"/>
    <w:multiLevelType w:val="hybridMultilevel"/>
    <w:tmpl w:val="36D27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7C5285"/>
    <w:multiLevelType w:val="hybridMultilevel"/>
    <w:tmpl w:val="DDA8FE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42E1E"/>
    <w:multiLevelType w:val="hybridMultilevel"/>
    <w:tmpl w:val="51883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1E62F7"/>
    <w:multiLevelType w:val="hybridMultilevel"/>
    <w:tmpl w:val="EBFE1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05297"/>
    <w:multiLevelType w:val="hybridMultilevel"/>
    <w:tmpl w:val="417ED5D2"/>
    <w:lvl w:ilvl="0" w:tplc="53F2DE4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3336C"/>
    <w:multiLevelType w:val="hybridMultilevel"/>
    <w:tmpl w:val="E95A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93E30"/>
    <w:multiLevelType w:val="hybridMultilevel"/>
    <w:tmpl w:val="519431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0E4E22"/>
    <w:multiLevelType w:val="hybridMultilevel"/>
    <w:tmpl w:val="67DA7E1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A947F2"/>
    <w:multiLevelType w:val="hybridMultilevel"/>
    <w:tmpl w:val="878A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E54278"/>
    <w:multiLevelType w:val="hybridMultilevel"/>
    <w:tmpl w:val="5D82E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76F6D"/>
    <w:multiLevelType w:val="hybridMultilevel"/>
    <w:tmpl w:val="9B1043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05020"/>
    <w:multiLevelType w:val="hybridMultilevel"/>
    <w:tmpl w:val="5B80D424"/>
    <w:lvl w:ilvl="0" w:tplc="297858B4">
      <w:start w:val="1"/>
      <w:numFmt w:val="upperLetter"/>
      <w:lvlText w:val="%1."/>
      <w:lvlJc w:val="left"/>
      <w:pPr>
        <w:ind w:left="108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7B1FA0"/>
    <w:multiLevelType w:val="hybridMultilevel"/>
    <w:tmpl w:val="2A4E748E"/>
    <w:lvl w:ilvl="0" w:tplc="C69626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067A22"/>
    <w:multiLevelType w:val="hybridMultilevel"/>
    <w:tmpl w:val="FC60B5A0"/>
    <w:lvl w:ilvl="0" w:tplc="04090001">
      <w:start w:val="1"/>
      <w:numFmt w:val="bullet"/>
      <w:lvlText w:val=""/>
      <w:lvlJc w:val="left"/>
      <w:pPr>
        <w:ind w:left="1080" w:hanging="360"/>
      </w:pPr>
      <w:rPr>
        <w:rFonts w:ascii="Symbol" w:hAnsi="Symbol" w:hint="default"/>
      </w:rPr>
    </w:lvl>
    <w:lvl w:ilvl="1" w:tplc="E16EE29A">
      <w:numFmt w:val="bullet"/>
      <w:lvlText w:val="•"/>
      <w:lvlJc w:val="left"/>
      <w:pPr>
        <w:ind w:left="2160" w:hanging="72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3D2410"/>
    <w:multiLevelType w:val="hybridMultilevel"/>
    <w:tmpl w:val="3B0C94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6F30B4"/>
    <w:multiLevelType w:val="hybridMultilevel"/>
    <w:tmpl w:val="41D87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384492"/>
    <w:multiLevelType w:val="hybridMultilevel"/>
    <w:tmpl w:val="45E0F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3C6E45"/>
    <w:multiLevelType w:val="hybridMultilevel"/>
    <w:tmpl w:val="9F7A71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A36FF3"/>
    <w:multiLevelType w:val="hybridMultilevel"/>
    <w:tmpl w:val="126A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9D506F"/>
    <w:multiLevelType w:val="hybridMultilevel"/>
    <w:tmpl w:val="16AC0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45127F"/>
    <w:multiLevelType w:val="hybridMultilevel"/>
    <w:tmpl w:val="BA443B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E2DC7"/>
    <w:multiLevelType w:val="hybridMultilevel"/>
    <w:tmpl w:val="AD7C0F2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144360"/>
    <w:multiLevelType w:val="hybridMultilevel"/>
    <w:tmpl w:val="196A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E5B99"/>
    <w:multiLevelType w:val="hybridMultilevel"/>
    <w:tmpl w:val="F6CCA4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0"/>
  </w:num>
  <w:num w:numId="2">
    <w:abstractNumId w:val="16"/>
  </w:num>
  <w:num w:numId="3">
    <w:abstractNumId w:val="21"/>
  </w:num>
  <w:num w:numId="4">
    <w:abstractNumId w:val="17"/>
  </w:num>
  <w:num w:numId="5">
    <w:abstractNumId w:val="26"/>
  </w:num>
  <w:num w:numId="6">
    <w:abstractNumId w:val="11"/>
  </w:num>
  <w:num w:numId="7">
    <w:abstractNumId w:val="14"/>
  </w:num>
  <w:num w:numId="8">
    <w:abstractNumId w:val="22"/>
  </w:num>
  <w:num w:numId="9">
    <w:abstractNumId w:val="15"/>
  </w:num>
  <w:num w:numId="10">
    <w:abstractNumId w:val="9"/>
  </w:num>
  <w:num w:numId="11">
    <w:abstractNumId w:val="19"/>
  </w:num>
  <w:num w:numId="12">
    <w:abstractNumId w:val="12"/>
  </w:num>
  <w:num w:numId="13">
    <w:abstractNumId w:val="10"/>
  </w:num>
  <w:num w:numId="14">
    <w:abstractNumId w:val="13"/>
  </w:num>
  <w:num w:numId="15">
    <w:abstractNumId w:val="25"/>
  </w:num>
  <w:num w:numId="16">
    <w:abstractNumId w:val="3"/>
  </w:num>
  <w:num w:numId="17">
    <w:abstractNumId w:val="4"/>
  </w:num>
  <w:num w:numId="18">
    <w:abstractNumId w:val="1"/>
  </w:num>
  <w:num w:numId="19">
    <w:abstractNumId w:val="18"/>
  </w:num>
  <w:num w:numId="20">
    <w:abstractNumId w:val="0"/>
  </w:num>
  <w:num w:numId="21">
    <w:abstractNumId w:val="23"/>
  </w:num>
  <w:num w:numId="22">
    <w:abstractNumId w:val="7"/>
  </w:num>
  <w:num w:numId="23">
    <w:abstractNumId w:val="8"/>
  </w:num>
  <w:num w:numId="24">
    <w:abstractNumId w:val="6"/>
  </w:num>
  <w:num w:numId="25">
    <w:abstractNumId w:val="2"/>
  </w:num>
  <w:num w:numId="26">
    <w:abstractNumId w:val="5"/>
  </w:num>
  <w:num w:numId="2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78"/>
    <w:rsid w:val="00002807"/>
    <w:rsid w:val="00003B0C"/>
    <w:rsid w:val="00003E67"/>
    <w:rsid w:val="0000610F"/>
    <w:rsid w:val="00010FA0"/>
    <w:rsid w:val="0001286F"/>
    <w:rsid w:val="0001361D"/>
    <w:rsid w:val="000136B0"/>
    <w:rsid w:val="00013F2A"/>
    <w:rsid w:val="00014A17"/>
    <w:rsid w:val="0001670F"/>
    <w:rsid w:val="00016D47"/>
    <w:rsid w:val="00016DAF"/>
    <w:rsid w:val="00016E3A"/>
    <w:rsid w:val="00021557"/>
    <w:rsid w:val="000235F2"/>
    <w:rsid w:val="000241ED"/>
    <w:rsid w:val="000245DF"/>
    <w:rsid w:val="00024DD7"/>
    <w:rsid w:val="000265F4"/>
    <w:rsid w:val="000267AC"/>
    <w:rsid w:val="000323A7"/>
    <w:rsid w:val="00033367"/>
    <w:rsid w:val="0003377B"/>
    <w:rsid w:val="000350D8"/>
    <w:rsid w:val="00037AF9"/>
    <w:rsid w:val="00040067"/>
    <w:rsid w:val="000414D6"/>
    <w:rsid w:val="00044C80"/>
    <w:rsid w:val="000453B4"/>
    <w:rsid w:val="0004792F"/>
    <w:rsid w:val="00047B46"/>
    <w:rsid w:val="0005317F"/>
    <w:rsid w:val="00054ECB"/>
    <w:rsid w:val="00056AAA"/>
    <w:rsid w:val="000608E3"/>
    <w:rsid w:val="00061029"/>
    <w:rsid w:val="00063B39"/>
    <w:rsid w:val="000669C1"/>
    <w:rsid w:val="0007080B"/>
    <w:rsid w:val="000711C2"/>
    <w:rsid w:val="00071912"/>
    <w:rsid w:val="00071BFE"/>
    <w:rsid w:val="0007297B"/>
    <w:rsid w:val="00073F7C"/>
    <w:rsid w:val="000751A3"/>
    <w:rsid w:val="00076957"/>
    <w:rsid w:val="00080A9E"/>
    <w:rsid w:val="000818F2"/>
    <w:rsid w:val="00086214"/>
    <w:rsid w:val="00086B2E"/>
    <w:rsid w:val="00090E47"/>
    <w:rsid w:val="00091958"/>
    <w:rsid w:val="00091D13"/>
    <w:rsid w:val="00092515"/>
    <w:rsid w:val="00095207"/>
    <w:rsid w:val="00096401"/>
    <w:rsid w:val="00097E1F"/>
    <w:rsid w:val="000A0678"/>
    <w:rsid w:val="000A1864"/>
    <w:rsid w:val="000A2CB8"/>
    <w:rsid w:val="000A2D53"/>
    <w:rsid w:val="000A411E"/>
    <w:rsid w:val="000A5F66"/>
    <w:rsid w:val="000A6BC5"/>
    <w:rsid w:val="000A7490"/>
    <w:rsid w:val="000B4473"/>
    <w:rsid w:val="000B5881"/>
    <w:rsid w:val="000C02D7"/>
    <w:rsid w:val="000C36E1"/>
    <w:rsid w:val="000C43C2"/>
    <w:rsid w:val="000C4CCF"/>
    <w:rsid w:val="000D38BF"/>
    <w:rsid w:val="000D59C9"/>
    <w:rsid w:val="000E1613"/>
    <w:rsid w:val="000E1E2E"/>
    <w:rsid w:val="000E2310"/>
    <w:rsid w:val="000E2827"/>
    <w:rsid w:val="000E3101"/>
    <w:rsid w:val="000E3EF1"/>
    <w:rsid w:val="000E529A"/>
    <w:rsid w:val="000E77AD"/>
    <w:rsid w:val="000E78F7"/>
    <w:rsid w:val="000F37DD"/>
    <w:rsid w:val="000F404A"/>
    <w:rsid w:val="000F42CC"/>
    <w:rsid w:val="000F5B9E"/>
    <w:rsid w:val="000F651C"/>
    <w:rsid w:val="00100551"/>
    <w:rsid w:val="00102687"/>
    <w:rsid w:val="00104C69"/>
    <w:rsid w:val="0010782E"/>
    <w:rsid w:val="00110C22"/>
    <w:rsid w:val="00111AFF"/>
    <w:rsid w:val="0011339C"/>
    <w:rsid w:val="00114B6B"/>
    <w:rsid w:val="00124451"/>
    <w:rsid w:val="00126197"/>
    <w:rsid w:val="001320F8"/>
    <w:rsid w:val="00133F73"/>
    <w:rsid w:val="001343D9"/>
    <w:rsid w:val="0013482B"/>
    <w:rsid w:val="00135CA6"/>
    <w:rsid w:val="001366E7"/>
    <w:rsid w:val="00137876"/>
    <w:rsid w:val="001417F5"/>
    <w:rsid w:val="00142ABA"/>
    <w:rsid w:val="0014320E"/>
    <w:rsid w:val="001477CF"/>
    <w:rsid w:val="001520D9"/>
    <w:rsid w:val="00152510"/>
    <w:rsid w:val="001532B7"/>
    <w:rsid w:val="00154075"/>
    <w:rsid w:val="001541B2"/>
    <w:rsid w:val="001562B0"/>
    <w:rsid w:val="001570F3"/>
    <w:rsid w:val="00160F0E"/>
    <w:rsid w:val="001651DC"/>
    <w:rsid w:val="00167394"/>
    <w:rsid w:val="001731A2"/>
    <w:rsid w:val="00173935"/>
    <w:rsid w:val="00174CC1"/>
    <w:rsid w:val="001751FF"/>
    <w:rsid w:val="00180A22"/>
    <w:rsid w:val="00181912"/>
    <w:rsid w:val="00182969"/>
    <w:rsid w:val="0018423E"/>
    <w:rsid w:val="001842E5"/>
    <w:rsid w:val="00184E0B"/>
    <w:rsid w:val="0018612E"/>
    <w:rsid w:val="00187772"/>
    <w:rsid w:val="00192D1A"/>
    <w:rsid w:val="00194BAA"/>
    <w:rsid w:val="001958DE"/>
    <w:rsid w:val="00196555"/>
    <w:rsid w:val="00197F35"/>
    <w:rsid w:val="001A570B"/>
    <w:rsid w:val="001A5E18"/>
    <w:rsid w:val="001A612B"/>
    <w:rsid w:val="001A67C3"/>
    <w:rsid w:val="001A72B7"/>
    <w:rsid w:val="001A72C3"/>
    <w:rsid w:val="001A7EF8"/>
    <w:rsid w:val="001B01A3"/>
    <w:rsid w:val="001B01BE"/>
    <w:rsid w:val="001B2ED9"/>
    <w:rsid w:val="001B42A3"/>
    <w:rsid w:val="001B49A2"/>
    <w:rsid w:val="001B684E"/>
    <w:rsid w:val="001C2193"/>
    <w:rsid w:val="001C2D6C"/>
    <w:rsid w:val="001C302A"/>
    <w:rsid w:val="001C370A"/>
    <w:rsid w:val="001C4324"/>
    <w:rsid w:val="001C4869"/>
    <w:rsid w:val="001C544B"/>
    <w:rsid w:val="001D2948"/>
    <w:rsid w:val="001D300C"/>
    <w:rsid w:val="001D3CCF"/>
    <w:rsid w:val="001D3FB3"/>
    <w:rsid w:val="001D4104"/>
    <w:rsid w:val="001D46B2"/>
    <w:rsid w:val="001D4851"/>
    <w:rsid w:val="001D738F"/>
    <w:rsid w:val="001E1DCD"/>
    <w:rsid w:val="001E555C"/>
    <w:rsid w:val="001F5075"/>
    <w:rsid w:val="001F5212"/>
    <w:rsid w:val="001F597C"/>
    <w:rsid w:val="001F7B20"/>
    <w:rsid w:val="002006B0"/>
    <w:rsid w:val="002011A4"/>
    <w:rsid w:val="00203CEF"/>
    <w:rsid w:val="00205A38"/>
    <w:rsid w:val="002066AF"/>
    <w:rsid w:val="00207082"/>
    <w:rsid w:val="002103BB"/>
    <w:rsid w:val="002104BA"/>
    <w:rsid w:val="00210633"/>
    <w:rsid w:val="00210EC1"/>
    <w:rsid w:val="00211156"/>
    <w:rsid w:val="002123B9"/>
    <w:rsid w:val="0021358E"/>
    <w:rsid w:val="00213BB3"/>
    <w:rsid w:val="00215E0D"/>
    <w:rsid w:val="0021672B"/>
    <w:rsid w:val="00217739"/>
    <w:rsid w:val="00220534"/>
    <w:rsid w:val="00222360"/>
    <w:rsid w:val="00224B67"/>
    <w:rsid w:val="00225588"/>
    <w:rsid w:val="002257FD"/>
    <w:rsid w:val="0022721A"/>
    <w:rsid w:val="0023102A"/>
    <w:rsid w:val="002312E0"/>
    <w:rsid w:val="00232A99"/>
    <w:rsid w:val="00232E94"/>
    <w:rsid w:val="0023345A"/>
    <w:rsid w:val="0023718C"/>
    <w:rsid w:val="00240F9C"/>
    <w:rsid w:val="002412E3"/>
    <w:rsid w:val="00242F1D"/>
    <w:rsid w:val="00243802"/>
    <w:rsid w:val="00247456"/>
    <w:rsid w:val="00247EC5"/>
    <w:rsid w:val="0025063E"/>
    <w:rsid w:val="00251E17"/>
    <w:rsid w:val="00252F74"/>
    <w:rsid w:val="00253A40"/>
    <w:rsid w:val="0026011C"/>
    <w:rsid w:val="00261FCF"/>
    <w:rsid w:val="002623B4"/>
    <w:rsid w:val="0026270D"/>
    <w:rsid w:val="0027268F"/>
    <w:rsid w:val="00272A21"/>
    <w:rsid w:val="002738F2"/>
    <w:rsid w:val="0027403B"/>
    <w:rsid w:val="0027410E"/>
    <w:rsid w:val="0027659A"/>
    <w:rsid w:val="00277323"/>
    <w:rsid w:val="00277702"/>
    <w:rsid w:val="002809EF"/>
    <w:rsid w:val="00280B87"/>
    <w:rsid w:val="00280DD0"/>
    <w:rsid w:val="00281905"/>
    <w:rsid w:val="00281A37"/>
    <w:rsid w:val="00282216"/>
    <w:rsid w:val="00283F07"/>
    <w:rsid w:val="00292F4B"/>
    <w:rsid w:val="00293B99"/>
    <w:rsid w:val="00296415"/>
    <w:rsid w:val="0029709F"/>
    <w:rsid w:val="0029710C"/>
    <w:rsid w:val="002A04CF"/>
    <w:rsid w:val="002A0AE0"/>
    <w:rsid w:val="002A248A"/>
    <w:rsid w:val="002A3EE6"/>
    <w:rsid w:val="002A56A8"/>
    <w:rsid w:val="002A57E4"/>
    <w:rsid w:val="002A5F8F"/>
    <w:rsid w:val="002A6AD6"/>
    <w:rsid w:val="002A7987"/>
    <w:rsid w:val="002B0BD7"/>
    <w:rsid w:val="002B3C15"/>
    <w:rsid w:val="002B5A8C"/>
    <w:rsid w:val="002B77F7"/>
    <w:rsid w:val="002C1685"/>
    <w:rsid w:val="002C18AA"/>
    <w:rsid w:val="002C37B5"/>
    <w:rsid w:val="002C4732"/>
    <w:rsid w:val="002C7E86"/>
    <w:rsid w:val="002D3924"/>
    <w:rsid w:val="002E113B"/>
    <w:rsid w:val="002E230A"/>
    <w:rsid w:val="002E2425"/>
    <w:rsid w:val="002E5549"/>
    <w:rsid w:val="002F7863"/>
    <w:rsid w:val="00303E90"/>
    <w:rsid w:val="003052C8"/>
    <w:rsid w:val="003061BD"/>
    <w:rsid w:val="00306382"/>
    <w:rsid w:val="00307D77"/>
    <w:rsid w:val="0031198F"/>
    <w:rsid w:val="00311B87"/>
    <w:rsid w:val="003149DF"/>
    <w:rsid w:val="003156D0"/>
    <w:rsid w:val="00315A54"/>
    <w:rsid w:val="00317AF4"/>
    <w:rsid w:val="003202CE"/>
    <w:rsid w:val="003244BD"/>
    <w:rsid w:val="00325ADB"/>
    <w:rsid w:val="003275CB"/>
    <w:rsid w:val="003313B4"/>
    <w:rsid w:val="00331785"/>
    <w:rsid w:val="00333094"/>
    <w:rsid w:val="00333ECA"/>
    <w:rsid w:val="00335A19"/>
    <w:rsid w:val="00340EC4"/>
    <w:rsid w:val="00344301"/>
    <w:rsid w:val="0035017E"/>
    <w:rsid w:val="0035244C"/>
    <w:rsid w:val="0035304A"/>
    <w:rsid w:val="0035489D"/>
    <w:rsid w:val="003548FB"/>
    <w:rsid w:val="0035551A"/>
    <w:rsid w:val="00357BE8"/>
    <w:rsid w:val="00357C76"/>
    <w:rsid w:val="003609BD"/>
    <w:rsid w:val="003629BB"/>
    <w:rsid w:val="003647A8"/>
    <w:rsid w:val="0037071B"/>
    <w:rsid w:val="00376E24"/>
    <w:rsid w:val="003811E7"/>
    <w:rsid w:val="00382A7C"/>
    <w:rsid w:val="00383877"/>
    <w:rsid w:val="003849E1"/>
    <w:rsid w:val="00384EC5"/>
    <w:rsid w:val="003859EC"/>
    <w:rsid w:val="00390E5A"/>
    <w:rsid w:val="003915BD"/>
    <w:rsid w:val="003929EB"/>
    <w:rsid w:val="00393C85"/>
    <w:rsid w:val="0039668D"/>
    <w:rsid w:val="003A0F08"/>
    <w:rsid w:val="003A1222"/>
    <w:rsid w:val="003A2415"/>
    <w:rsid w:val="003A4238"/>
    <w:rsid w:val="003A471F"/>
    <w:rsid w:val="003A4E75"/>
    <w:rsid w:val="003A5B99"/>
    <w:rsid w:val="003A5C55"/>
    <w:rsid w:val="003A5E36"/>
    <w:rsid w:val="003A6791"/>
    <w:rsid w:val="003A67E5"/>
    <w:rsid w:val="003B1B6C"/>
    <w:rsid w:val="003C02D7"/>
    <w:rsid w:val="003C1659"/>
    <w:rsid w:val="003C25D9"/>
    <w:rsid w:val="003C50DB"/>
    <w:rsid w:val="003C56E8"/>
    <w:rsid w:val="003C678C"/>
    <w:rsid w:val="003D38DE"/>
    <w:rsid w:val="003D4770"/>
    <w:rsid w:val="003D6F71"/>
    <w:rsid w:val="003D793E"/>
    <w:rsid w:val="003D7F89"/>
    <w:rsid w:val="003E0262"/>
    <w:rsid w:val="003E2A35"/>
    <w:rsid w:val="003E31F2"/>
    <w:rsid w:val="003E5285"/>
    <w:rsid w:val="003E5458"/>
    <w:rsid w:val="003E76B9"/>
    <w:rsid w:val="003F35A2"/>
    <w:rsid w:val="00404DC2"/>
    <w:rsid w:val="0040743D"/>
    <w:rsid w:val="004152FB"/>
    <w:rsid w:val="00420955"/>
    <w:rsid w:val="0042146B"/>
    <w:rsid w:val="00421B90"/>
    <w:rsid w:val="00421F8F"/>
    <w:rsid w:val="00422484"/>
    <w:rsid w:val="00422A08"/>
    <w:rsid w:val="00423945"/>
    <w:rsid w:val="00423F3E"/>
    <w:rsid w:val="004244D7"/>
    <w:rsid w:val="00425078"/>
    <w:rsid w:val="004273BB"/>
    <w:rsid w:val="00427590"/>
    <w:rsid w:val="0043275D"/>
    <w:rsid w:val="00435DB4"/>
    <w:rsid w:val="00436101"/>
    <w:rsid w:val="00442EB9"/>
    <w:rsid w:val="0044304C"/>
    <w:rsid w:val="00443C78"/>
    <w:rsid w:val="00445044"/>
    <w:rsid w:val="0044758E"/>
    <w:rsid w:val="00447C0B"/>
    <w:rsid w:val="00453893"/>
    <w:rsid w:val="00453B05"/>
    <w:rsid w:val="0045463B"/>
    <w:rsid w:val="0046049F"/>
    <w:rsid w:val="00462576"/>
    <w:rsid w:val="00462B8B"/>
    <w:rsid w:val="00463ADC"/>
    <w:rsid w:val="0046579C"/>
    <w:rsid w:val="00465872"/>
    <w:rsid w:val="00466A9E"/>
    <w:rsid w:val="00471266"/>
    <w:rsid w:val="00472827"/>
    <w:rsid w:val="00472C02"/>
    <w:rsid w:val="00475D0E"/>
    <w:rsid w:val="004804DB"/>
    <w:rsid w:val="004808A7"/>
    <w:rsid w:val="00481055"/>
    <w:rsid w:val="00483D50"/>
    <w:rsid w:val="004857B4"/>
    <w:rsid w:val="0048682A"/>
    <w:rsid w:val="00487156"/>
    <w:rsid w:val="004915B2"/>
    <w:rsid w:val="00494C08"/>
    <w:rsid w:val="00496D8A"/>
    <w:rsid w:val="00497C26"/>
    <w:rsid w:val="004A2559"/>
    <w:rsid w:val="004A453F"/>
    <w:rsid w:val="004A48F2"/>
    <w:rsid w:val="004A4BA3"/>
    <w:rsid w:val="004A632D"/>
    <w:rsid w:val="004B03D6"/>
    <w:rsid w:val="004B3153"/>
    <w:rsid w:val="004B49A1"/>
    <w:rsid w:val="004B743D"/>
    <w:rsid w:val="004B77D8"/>
    <w:rsid w:val="004C0398"/>
    <w:rsid w:val="004C44FC"/>
    <w:rsid w:val="004C4626"/>
    <w:rsid w:val="004C48BA"/>
    <w:rsid w:val="004C549E"/>
    <w:rsid w:val="004C757E"/>
    <w:rsid w:val="004D0D9B"/>
    <w:rsid w:val="004D2195"/>
    <w:rsid w:val="004D3B7F"/>
    <w:rsid w:val="004D572D"/>
    <w:rsid w:val="004D5CCC"/>
    <w:rsid w:val="004D69A8"/>
    <w:rsid w:val="004D773B"/>
    <w:rsid w:val="004E35EE"/>
    <w:rsid w:val="004E4EA4"/>
    <w:rsid w:val="004E5D7F"/>
    <w:rsid w:val="004E5FBA"/>
    <w:rsid w:val="004F1B4C"/>
    <w:rsid w:val="004F2966"/>
    <w:rsid w:val="004F4972"/>
    <w:rsid w:val="004F555A"/>
    <w:rsid w:val="004F7955"/>
    <w:rsid w:val="00500CB4"/>
    <w:rsid w:val="00500EF4"/>
    <w:rsid w:val="005051CB"/>
    <w:rsid w:val="00506543"/>
    <w:rsid w:val="00507325"/>
    <w:rsid w:val="00510362"/>
    <w:rsid w:val="005117FB"/>
    <w:rsid w:val="00513CFF"/>
    <w:rsid w:val="005145B5"/>
    <w:rsid w:val="00516B3F"/>
    <w:rsid w:val="00517FC0"/>
    <w:rsid w:val="0052342B"/>
    <w:rsid w:val="00524F1A"/>
    <w:rsid w:val="00526F35"/>
    <w:rsid w:val="00527B8E"/>
    <w:rsid w:val="00531D98"/>
    <w:rsid w:val="00533358"/>
    <w:rsid w:val="00533E19"/>
    <w:rsid w:val="00535D1F"/>
    <w:rsid w:val="0053694D"/>
    <w:rsid w:val="005373DA"/>
    <w:rsid w:val="00537F63"/>
    <w:rsid w:val="005404AC"/>
    <w:rsid w:val="005422E5"/>
    <w:rsid w:val="00542C65"/>
    <w:rsid w:val="00542DE3"/>
    <w:rsid w:val="00544200"/>
    <w:rsid w:val="005478E6"/>
    <w:rsid w:val="00550935"/>
    <w:rsid w:val="00551A86"/>
    <w:rsid w:val="005537DC"/>
    <w:rsid w:val="00555171"/>
    <w:rsid w:val="0055669E"/>
    <w:rsid w:val="005638A8"/>
    <w:rsid w:val="0056434A"/>
    <w:rsid w:val="00564666"/>
    <w:rsid w:val="00565570"/>
    <w:rsid w:val="00565744"/>
    <w:rsid w:val="00565A67"/>
    <w:rsid w:val="0057157B"/>
    <w:rsid w:val="00572652"/>
    <w:rsid w:val="00572776"/>
    <w:rsid w:val="0057305B"/>
    <w:rsid w:val="00577555"/>
    <w:rsid w:val="005802B0"/>
    <w:rsid w:val="00583246"/>
    <w:rsid w:val="005847EE"/>
    <w:rsid w:val="00587E42"/>
    <w:rsid w:val="00592143"/>
    <w:rsid w:val="0059276F"/>
    <w:rsid w:val="00592F3C"/>
    <w:rsid w:val="00593A61"/>
    <w:rsid w:val="00595991"/>
    <w:rsid w:val="005A0BED"/>
    <w:rsid w:val="005A3412"/>
    <w:rsid w:val="005A3A89"/>
    <w:rsid w:val="005A7CD9"/>
    <w:rsid w:val="005B056A"/>
    <w:rsid w:val="005B0D4C"/>
    <w:rsid w:val="005B0D5F"/>
    <w:rsid w:val="005B1F4C"/>
    <w:rsid w:val="005B3B8A"/>
    <w:rsid w:val="005B5074"/>
    <w:rsid w:val="005B5556"/>
    <w:rsid w:val="005B693A"/>
    <w:rsid w:val="005C05D7"/>
    <w:rsid w:val="005C4143"/>
    <w:rsid w:val="005C4356"/>
    <w:rsid w:val="005C7638"/>
    <w:rsid w:val="005D0929"/>
    <w:rsid w:val="005D0D3A"/>
    <w:rsid w:val="005D1376"/>
    <w:rsid w:val="005D17D1"/>
    <w:rsid w:val="005D3359"/>
    <w:rsid w:val="005D7144"/>
    <w:rsid w:val="005D7947"/>
    <w:rsid w:val="005E053D"/>
    <w:rsid w:val="005E0EBA"/>
    <w:rsid w:val="005E2D78"/>
    <w:rsid w:val="005E3CC5"/>
    <w:rsid w:val="005F71FA"/>
    <w:rsid w:val="005F742A"/>
    <w:rsid w:val="006027B7"/>
    <w:rsid w:val="006027D5"/>
    <w:rsid w:val="00603BE6"/>
    <w:rsid w:val="006069BD"/>
    <w:rsid w:val="00607444"/>
    <w:rsid w:val="00607B1E"/>
    <w:rsid w:val="00614A1B"/>
    <w:rsid w:val="0061507D"/>
    <w:rsid w:val="00616383"/>
    <w:rsid w:val="00616ED5"/>
    <w:rsid w:val="006239D0"/>
    <w:rsid w:val="00624D89"/>
    <w:rsid w:val="006264EA"/>
    <w:rsid w:val="0063014D"/>
    <w:rsid w:val="006312BD"/>
    <w:rsid w:val="00632850"/>
    <w:rsid w:val="00633545"/>
    <w:rsid w:val="00634216"/>
    <w:rsid w:val="00635770"/>
    <w:rsid w:val="006418EA"/>
    <w:rsid w:val="00643532"/>
    <w:rsid w:val="006436AD"/>
    <w:rsid w:val="00645610"/>
    <w:rsid w:val="0064572E"/>
    <w:rsid w:val="00646293"/>
    <w:rsid w:val="00652DE0"/>
    <w:rsid w:val="006530B5"/>
    <w:rsid w:val="00656873"/>
    <w:rsid w:val="006573B9"/>
    <w:rsid w:val="00660407"/>
    <w:rsid w:val="006613D0"/>
    <w:rsid w:val="00661F6B"/>
    <w:rsid w:val="006624ED"/>
    <w:rsid w:val="00662857"/>
    <w:rsid w:val="006629B9"/>
    <w:rsid w:val="00664431"/>
    <w:rsid w:val="00664A5D"/>
    <w:rsid w:val="00665C0A"/>
    <w:rsid w:val="0066701A"/>
    <w:rsid w:val="006710A9"/>
    <w:rsid w:val="00671C72"/>
    <w:rsid w:val="006729CE"/>
    <w:rsid w:val="00674D4E"/>
    <w:rsid w:val="00674E76"/>
    <w:rsid w:val="0067730F"/>
    <w:rsid w:val="00681C84"/>
    <w:rsid w:val="00685D8B"/>
    <w:rsid w:val="006918C4"/>
    <w:rsid w:val="00692753"/>
    <w:rsid w:val="00692A9E"/>
    <w:rsid w:val="00697C1E"/>
    <w:rsid w:val="006A3323"/>
    <w:rsid w:val="006A37A6"/>
    <w:rsid w:val="006A3BA2"/>
    <w:rsid w:val="006A438F"/>
    <w:rsid w:val="006A4BE7"/>
    <w:rsid w:val="006A4F9C"/>
    <w:rsid w:val="006A6852"/>
    <w:rsid w:val="006A6D3A"/>
    <w:rsid w:val="006A7055"/>
    <w:rsid w:val="006A707C"/>
    <w:rsid w:val="006B0499"/>
    <w:rsid w:val="006B140E"/>
    <w:rsid w:val="006C39C6"/>
    <w:rsid w:val="006D0E6A"/>
    <w:rsid w:val="006D22AA"/>
    <w:rsid w:val="006D2D28"/>
    <w:rsid w:val="006D4139"/>
    <w:rsid w:val="006E061C"/>
    <w:rsid w:val="006E2B56"/>
    <w:rsid w:val="006E3F76"/>
    <w:rsid w:val="006E4966"/>
    <w:rsid w:val="006E6A36"/>
    <w:rsid w:val="006F0AD2"/>
    <w:rsid w:val="006F1519"/>
    <w:rsid w:val="006F26AC"/>
    <w:rsid w:val="006F2AA0"/>
    <w:rsid w:val="006F2F44"/>
    <w:rsid w:val="006F37C4"/>
    <w:rsid w:val="006F7C7F"/>
    <w:rsid w:val="00701735"/>
    <w:rsid w:val="00702351"/>
    <w:rsid w:val="00702986"/>
    <w:rsid w:val="00702BD8"/>
    <w:rsid w:val="00703F8E"/>
    <w:rsid w:val="007058E4"/>
    <w:rsid w:val="00705C99"/>
    <w:rsid w:val="00706F01"/>
    <w:rsid w:val="00707B87"/>
    <w:rsid w:val="00707FB2"/>
    <w:rsid w:val="00710D62"/>
    <w:rsid w:val="00711757"/>
    <w:rsid w:val="00712338"/>
    <w:rsid w:val="00713850"/>
    <w:rsid w:val="00713A9B"/>
    <w:rsid w:val="00716934"/>
    <w:rsid w:val="00716FB4"/>
    <w:rsid w:val="0072093C"/>
    <w:rsid w:val="00720A87"/>
    <w:rsid w:val="0072137E"/>
    <w:rsid w:val="00722BD1"/>
    <w:rsid w:val="00722BFB"/>
    <w:rsid w:val="00724B61"/>
    <w:rsid w:val="007256AF"/>
    <w:rsid w:val="0072576F"/>
    <w:rsid w:val="00726F92"/>
    <w:rsid w:val="007278AD"/>
    <w:rsid w:val="007337D5"/>
    <w:rsid w:val="0073531E"/>
    <w:rsid w:val="00735F96"/>
    <w:rsid w:val="007364A3"/>
    <w:rsid w:val="00736936"/>
    <w:rsid w:val="00736D1A"/>
    <w:rsid w:val="00737210"/>
    <w:rsid w:val="00741607"/>
    <w:rsid w:val="00741FB9"/>
    <w:rsid w:val="0074382A"/>
    <w:rsid w:val="00744B24"/>
    <w:rsid w:val="00746C47"/>
    <w:rsid w:val="00746E39"/>
    <w:rsid w:val="007474F2"/>
    <w:rsid w:val="00750EB0"/>
    <w:rsid w:val="0075114C"/>
    <w:rsid w:val="00751773"/>
    <w:rsid w:val="007543D1"/>
    <w:rsid w:val="00757221"/>
    <w:rsid w:val="00763297"/>
    <w:rsid w:val="00763E7B"/>
    <w:rsid w:val="00766A5B"/>
    <w:rsid w:val="007709DD"/>
    <w:rsid w:val="00771889"/>
    <w:rsid w:val="0077200F"/>
    <w:rsid w:val="00773DFF"/>
    <w:rsid w:val="00776ED3"/>
    <w:rsid w:val="00777265"/>
    <w:rsid w:val="00782097"/>
    <w:rsid w:val="00782829"/>
    <w:rsid w:val="00786E8D"/>
    <w:rsid w:val="007906E2"/>
    <w:rsid w:val="00794241"/>
    <w:rsid w:val="007957A0"/>
    <w:rsid w:val="00796E0C"/>
    <w:rsid w:val="00797736"/>
    <w:rsid w:val="00797E5F"/>
    <w:rsid w:val="007A157D"/>
    <w:rsid w:val="007A25A0"/>
    <w:rsid w:val="007A4A2F"/>
    <w:rsid w:val="007A6B40"/>
    <w:rsid w:val="007A7A3D"/>
    <w:rsid w:val="007B02A6"/>
    <w:rsid w:val="007B5CCA"/>
    <w:rsid w:val="007B6E9A"/>
    <w:rsid w:val="007B706B"/>
    <w:rsid w:val="007B7081"/>
    <w:rsid w:val="007C079C"/>
    <w:rsid w:val="007C38AA"/>
    <w:rsid w:val="007C3BBC"/>
    <w:rsid w:val="007C4398"/>
    <w:rsid w:val="007C7A93"/>
    <w:rsid w:val="007C7BA8"/>
    <w:rsid w:val="007D4F55"/>
    <w:rsid w:val="007D66FB"/>
    <w:rsid w:val="007E039B"/>
    <w:rsid w:val="007E1412"/>
    <w:rsid w:val="007E52C7"/>
    <w:rsid w:val="007E6FF5"/>
    <w:rsid w:val="007E7746"/>
    <w:rsid w:val="007F0220"/>
    <w:rsid w:val="007F5D0E"/>
    <w:rsid w:val="007F66A3"/>
    <w:rsid w:val="007F7F4A"/>
    <w:rsid w:val="00801E42"/>
    <w:rsid w:val="00804ECD"/>
    <w:rsid w:val="008051F4"/>
    <w:rsid w:val="0080545B"/>
    <w:rsid w:val="00807D52"/>
    <w:rsid w:val="00807D5F"/>
    <w:rsid w:val="00811B3C"/>
    <w:rsid w:val="008137D6"/>
    <w:rsid w:val="00814F4F"/>
    <w:rsid w:val="008153E4"/>
    <w:rsid w:val="00815C23"/>
    <w:rsid w:val="008162A7"/>
    <w:rsid w:val="00817147"/>
    <w:rsid w:val="00817786"/>
    <w:rsid w:val="00821D52"/>
    <w:rsid w:val="008248F4"/>
    <w:rsid w:val="00824C71"/>
    <w:rsid w:val="00826D6D"/>
    <w:rsid w:val="00827F31"/>
    <w:rsid w:val="008305AD"/>
    <w:rsid w:val="00833827"/>
    <w:rsid w:val="0083548A"/>
    <w:rsid w:val="00835FF4"/>
    <w:rsid w:val="00837AC9"/>
    <w:rsid w:val="00840529"/>
    <w:rsid w:val="0084079B"/>
    <w:rsid w:val="008407A3"/>
    <w:rsid w:val="008414DE"/>
    <w:rsid w:val="008414F0"/>
    <w:rsid w:val="00845247"/>
    <w:rsid w:val="008510DE"/>
    <w:rsid w:val="00852199"/>
    <w:rsid w:val="008522E2"/>
    <w:rsid w:val="008555E3"/>
    <w:rsid w:val="00861673"/>
    <w:rsid w:val="00862A8B"/>
    <w:rsid w:val="00862DDD"/>
    <w:rsid w:val="00865989"/>
    <w:rsid w:val="00867472"/>
    <w:rsid w:val="008719A3"/>
    <w:rsid w:val="00873A08"/>
    <w:rsid w:val="00873E30"/>
    <w:rsid w:val="00880B54"/>
    <w:rsid w:val="00883014"/>
    <w:rsid w:val="00883D67"/>
    <w:rsid w:val="0088524A"/>
    <w:rsid w:val="00885D06"/>
    <w:rsid w:val="00887D7C"/>
    <w:rsid w:val="00892040"/>
    <w:rsid w:val="00894A5E"/>
    <w:rsid w:val="00894D89"/>
    <w:rsid w:val="00897C34"/>
    <w:rsid w:val="008A0C61"/>
    <w:rsid w:val="008A28F2"/>
    <w:rsid w:val="008A324E"/>
    <w:rsid w:val="008A4ECA"/>
    <w:rsid w:val="008A5361"/>
    <w:rsid w:val="008A7246"/>
    <w:rsid w:val="008B27FD"/>
    <w:rsid w:val="008B4650"/>
    <w:rsid w:val="008B46BA"/>
    <w:rsid w:val="008B7486"/>
    <w:rsid w:val="008B7E60"/>
    <w:rsid w:val="008C1985"/>
    <w:rsid w:val="008C1CB5"/>
    <w:rsid w:val="008C3118"/>
    <w:rsid w:val="008C6296"/>
    <w:rsid w:val="008C70BF"/>
    <w:rsid w:val="008C726D"/>
    <w:rsid w:val="008D1140"/>
    <w:rsid w:val="008D2DB7"/>
    <w:rsid w:val="008D4785"/>
    <w:rsid w:val="008D5C2A"/>
    <w:rsid w:val="008D6400"/>
    <w:rsid w:val="008D64DC"/>
    <w:rsid w:val="008D6F66"/>
    <w:rsid w:val="008E2B7D"/>
    <w:rsid w:val="008E47F6"/>
    <w:rsid w:val="008E50DD"/>
    <w:rsid w:val="008E5880"/>
    <w:rsid w:val="008E6577"/>
    <w:rsid w:val="008E6C46"/>
    <w:rsid w:val="008F4831"/>
    <w:rsid w:val="008F7581"/>
    <w:rsid w:val="008F7DD8"/>
    <w:rsid w:val="00901A7B"/>
    <w:rsid w:val="00902EB2"/>
    <w:rsid w:val="00903440"/>
    <w:rsid w:val="00903BF7"/>
    <w:rsid w:val="009052EE"/>
    <w:rsid w:val="00906AD6"/>
    <w:rsid w:val="00907358"/>
    <w:rsid w:val="00911218"/>
    <w:rsid w:val="009115E8"/>
    <w:rsid w:val="0091592D"/>
    <w:rsid w:val="00917554"/>
    <w:rsid w:val="00920176"/>
    <w:rsid w:val="00920948"/>
    <w:rsid w:val="009212B8"/>
    <w:rsid w:val="00923A46"/>
    <w:rsid w:val="00923F36"/>
    <w:rsid w:val="0092452F"/>
    <w:rsid w:val="00924593"/>
    <w:rsid w:val="00924DBB"/>
    <w:rsid w:val="00925328"/>
    <w:rsid w:val="00930929"/>
    <w:rsid w:val="0093418C"/>
    <w:rsid w:val="009375F2"/>
    <w:rsid w:val="00941619"/>
    <w:rsid w:val="0094196C"/>
    <w:rsid w:val="009423AF"/>
    <w:rsid w:val="009433A4"/>
    <w:rsid w:val="009433CE"/>
    <w:rsid w:val="00944276"/>
    <w:rsid w:val="009459F1"/>
    <w:rsid w:val="009502E9"/>
    <w:rsid w:val="00950999"/>
    <w:rsid w:val="00951AC1"/>
    <w:rsid w:val="00953819"/>
    <w:rsid w:val="00953FDC"/>
    <w:rsid w:val="00954E6D"/>
    <w:rsid w:val="009551FB"/>
    <w:rsid w:val="00962BA2"/>
    <w:rsid w:val="00963A20"/>
    <w:rsid w:val="00963BC8"/>
    <w:rsid w:val="00964AA5"/>
    <w:rsid w:val="009664EA"/>
    <w:rsid w:val="009671C0"/>
    <w:rsid w:val="009673DD"/>
    <w:rsid w:val="00970A83"/>
    <w:rsid w:val="00971A37"/>
    <w:rsid w:val="0097280D"/>
    <w:rsid w:val="00972F75"/>
    <w:rsid w:val="0097394A"/>
    <w:rsid w:val="0097504A"/>
    <w:rsid w:val="009800E5"/>
    <w:rsid w:val="00980208"/>
    <w:rsid w:val="00980513"/>
    <w:rsid w:val="00980F53"/>
    <w:rsid w:val="00983D09"/>
    <w:rsid w:val="00985A35"/>
    <w:rsid w:val="0098639C"/>
    <w:rsid w:val="00991834"/>
    <w:rsid w:val="00994305"/>
    <w:rsid w:val="009956FF"/>
    <w:rsid w:val="00995D3E"/>
    <w:rsid w:val="009968D4"/>
    <w:rsid w:val="00997600"/>
    <w:rsid w:val="00997A41"/>
    <w:rsid w:val="009A013C"/>
    <w:rsid w:val="009A0F83"/>
    <w:rsid w:val="009A2127"/>
    <w:rsid w:val="009A2B15"/>
    <w:rsid w:val="009A309F"/>
    <w:rsid w:val="009A31A7"/>
    <w:rsid w:val="009A48F7"/>
    <w:rsid w:val="009A6B09"/>
    <w:rsid w:val="009A75E6"/>
    <w:rsid w:val="009A7669"/>
    <w:rsid w:val="009B0CCB"/>
    <w:rsid w:val="009B20BF"/>
    <w:rsid w:val="009B2D45"/>
    <w:rsid w:val="009B3061"/>
    <w:rsid w:val="009B5CAF"/>
    <w:rsid w:val="009B60B8"/>
    <w:rsid w:val="009B6C94"/>
    <w:rsid w:val="009C5341"/>
    <w:rsid w:val="009C65B8"/>
    <w:rsid w:val="009C69EF"/>
    <w:rsid w:val="009C6B54"/>
    <w:rsid w:val="009C7362"/>
    <w:rsid w:val="009D1F8A"/>
    <w:rsid w:val="009D23BC"/>
    <w:rsid w:val="009D4937"/>
    <w:rsid w:val="009D5B08"/>
    <w:rsid w:val="009D6B98"/>
    <w:rsid w:val="009E0006"/>
    <w:rsid w:val="009E00A5"/>
    <w:rsid w:val="009E09C4"/>
    <w:rsid w:val="009E4DAF"/>
    <w:rsid w:val="009E56D0"/>
    <w:rsid w:val="009F1B55"/>
    <w:rsid w:val="009F2542"/>
    <w:rsid w:val="009F59C3"/>
    <w:rsid w:val="009F5AB1"/>
    <w:rsid w:val="009F635E"/>
    <w:rsid w:val="00A01AA4"/>
    <w:rsid w:val="00A02F75"/>
    <w:rsid w:val="00A04050"/>
    <w:rsid w:val="00A04FD1"/>
    <w:rsid w:val="00A069D1"/>
    <w:rsid w:val="00A06A3F"/>
    <w:rsid w:val="00A06ED9"/>
    <w:rsid w:val="00A07776"/>
    <w:rsid w:val="00A10F8A"/>
    <w:rsid w:val="00A121F4"/>
    <w:rsid w:val="00A160DA"/>
    <w:rsid w:val="00A16911"/>
    <w:rsid w:val="00A16C3D"/>
    <w:rsid w:val="00A16E57"/>
    <w:rsid w:val="00A17B26"/>
    <w:rsid w:val="00A23388"/>
    <w:rsid w:val="00A23A98"/>
    <w:rsid w:val="00A23C91"/>
    <w:rsid w:val="00A264B7"/>
    <w:rsid w:val="00A2658F"/>
    <w:rsid w:val="00A26647"/>
    <w:rsid w:val="00A311AF"/>
    <w:rsid w:val="00A32456"/>
    <w:rsid w:val="00A338C7"/>
    <w:rsid w:val="00A33C99"/>
    <w:rsid w:val="00A34D7F"/>
    <w:rsid w:val="00A37ADC"/>
    <w:rsid w:val="00A42D02"/>
    <w:rsid w:val="00A443FC"/>
    <w:rsid w:val="00A45721"/>
    <w:rsid w:val="00A50535"/>
    <w:rsid w:val="00A53C73"/>
    <w:rsid w:val="00A61151"/>
    <w:rsid w:val="00A614C8"/>
    <w:rsid w:val="00A620DB"/>
    <w:rsid w:val="00A644A0"/>
    <w:rsid w:val="00A64650"/>
    <w:rsid w:val="00A65309"/>
    <w:rsid w:val="00A677B0"/>
    <w:rsid w:val="00A67F26"/>
    <w:rsid w:val="00A717EC"/>
    <w:rsid w:val="00A7316A"/>
    <w:rsid w:val="00A73A10"/>
    <w:rsid w:val="00A76CDE"/>
    <w:rsid w:val="00A776BC"/>
    <w:rsid w:val="00A80009"/>
    <w:rsid w:val="00A815C0"/>
    <w:rsid w:val="00A816DA"/>
    <w:rsid w:val="00A82500"/>
    <w:rsid w:val="00A82E1E"/>
    <w:rsid w:val="00A85A88"/>
    <w:rsid w:val="00A869C4"/>
    <w:rsid w:val="00A925D2"/>
    <w:rsid w:val="00A950BF"/>
    <w:rsid w:val="00A95249"/>
    <w:rsid w:val="00A9587D"/>
    <w:rsid w:val="00AA18A1"/>
    <w:rsid w:val="00AA43B7"/>
    <w:rsid w:val="00AA495E"/>
    <w:rsid w:val="00AA6285"/>
    <w:rsid w:val="00AB283F"/>
    <w:rsid w:val="00AB3277"/>
    <w:rsid w:val="00AB6052"/>
    <w:rsid w:val="00AB6FDC"/>
    <w:rsid w:val="00AB7EAB"/>
    <w:rsid w:val="00AC1768"/>
    <w:rsid w:val="00AC1844"/>
    <w:rsid w:val="00AC2468"/>
    <w:rsid w:val="00AC2735"/>
    <w:rsid w:val="00AC4CA4"/>
    <w:rsid w:val="00AC623C"/>
    <w:rsid w:val="00AD05E5"/>
    <w:rsid w:val="00AD3472"/>
    <w:rsid w:val="00AD3772"/>
    <w:rsid w:val="00AD3A63"/>
    <w:rsid w:val="00AD4229"/>
    <w:rsid w:val="00AE0E3D"/>
    <w:rsid w:val="00AE0F50"/>
    <w:rsid w:val="00AE15A9"/>
    <w:rsid w:val="00AE1886"/>
    <w:rsid w:val="00AE1D67"/>
    <w:rsid w:val="00AE64FE"/>
    <w:rsid w:val="00AF1862"/>
    <w:rsid w:val="00AF33BB"/>
    <w:rsid w:val="00AF6D5E"/>
    <w:rsid w:val="00B000E5"/>
    <w:rsid w:val="00B02D0C"/>
    <w:rsid w:val="00B04313"/>
    <w:rsid w:val="00B0449D"/>
    <w:rsid w:val="00B1087D"/>
    <w:rsid w:val="00B113F3"/>
    <w:rsid w:val="00B12672"/>
    <w:rsid w:val="00B131CD"/>
    <w:rsid w:val="00B15CF6"/>
    <w:rsid w:val="00B15D0E"/>
    <w:rsid w:val="00B15D9B"/>
    <w:rsid w:val="00B214E3"/>
    <w:rsid w:val="00B22DEA"/>
    <w:rsid w:val="00B2603F"/>
    <w:rsid w:val="00B2616B"/>
    <w:rsid w:val="00B2662F"/>
    <w:rsid w:val="00B26674"/>
    <w:rsid w:val="00B26FBA"/>
    <w:rsid w:val="00B30D5C"/>
    <w:rsid w:val="00B31A4F"/>
    <w:rsid w:val="00B332AD"/>
    <w:rsid w:val="00B41C63"/>
    <w:rsid w:val="00B42914"/>
    <w:rsid w:val="00B437E5"/>
    <w:rsid w:val="00B46D25"/>
    <w:rsid w:val="00B505B3"/>
    <w:rsid w:val="00B52040"/>
    <w:rsid w:val="00B55B9B"/>
    <w:rsid w:val="00B5664B"/>
    <w:rsid w:val="00B57314"/>
    <w:rsid w:val="00B616FF"/>
    <w:rsid w:val="00B61CAA"/>
    <w:rsid w:val="00B63C28"/>
    <w:rsid w:val="00B66F80"/>
    <w:rsid w:val="00B67407"/>
    <w:rsid w:val="00B67A00"/>
    <w:rsid w:val="00B76473"/>
    <w:rsid w:val="00B80F05"/>
    <w:rsid w:val="00B80F09"/>
    <w:rsid w:val="00B823B2"/>
    <w:rsid w:val="00B83A33"/>
    <w:rsid w:val="00B873DF"/>
    <w:rsid w:val="00B91E22"/>
    <w:rsid w:val="00B928F8"/>
    <w:rsid w:val="00B939DA"/>
    <w:rsid w:val="00B94DA6"/>
    <w:rsid w:val="00B9554D"/>
    <w:rsid w:val="00BA0B0F"/>
    <w:rsid w:val="00BA25C5"/>
    <w:rsid w:val="00BA3578"/>
    <w:rsid w:val="00BA7EC8"/>
    <w:rsid w:val="00BB044B"/>
    <w:rsid w:val="00BB0692"/>
    <w:rsid w:val="00BB0A96"/>
    <w:rsid w:val="00BB473B"/>
    <w:rsid w:val="00BB7A51"/>
    <w:rsid w:val="00BB7AC3"/>
    <w:rsid w:val="00BC6943"/>
    <w:rsid w:val="00BD1A98"/>
    <w:rsid w:val="00BD1C75"/>
    <w:rsid w:val="00BD2C1F"/>
    <w:rsid w:val="00BD594B"/>
    <w:rsid w:val="00BD6C52"/>
    <w:rsid w:val="00BE5FC5"/>
    <w:rsid w:val="00BF1052"/>
    <w:rsid w:val="00BF14ED"/>
    <w:rsid w:val="00BF3A4F"/>
    <w:rsid w:val="00BF43F7"/>
    <w:rsid w:val="00BF54BE"/>
    <w:rsid w:val="00BF5BD4"/>
    <w:rsid w:val="00C13EBF"/>
    <w:rsid w:val="00C14A60"/>
    <w:rsid w:val="00C16D2F"/>
    <w:rsid w:val="00C17A4A"/>
    <w:rsid w:val="00C17DEE"/>
    <w:rsid w:val="00C2049F"/>
    <w:rsid w:val="00C21B98"/>
    <w:rsid w:val="00C230E9"/>
    <w:rsid w:val="00C23ABE"/>
    <w:rsid w:val="00C27732"/>
    <w:rsid w:val="00C27C98"/>
    <w:rsid w:val="00C30AF9"/>
    <w:rsid w:val="00C32E27"/>
    <w:rsid w:val="00C343EF"/>
    <w:rsid w:val="00C3481F"/>
    <w:rsid w:val="00C360E9"/>
    <w:rsid w:val="00C36628"/>
    <w:rsid w:val="00C37AE3"/>
    <w:rsid w:val="00C37D7F"/>
    <w:rsid w:val="00C40E1D"/>
    <w:rsid w:val="00C4533F"/>
    <w:rsid w:val="00C4537A"/>
    <w:rsid w:val="00C50825"/>
    <w:rsid w:val="00C51A11"/>
    <w:rsid w:val="00C51BC8"/>
    <w:rsid w:val="00C541E9"/>
    <w:rsid w:val="00C5446D"/>
    <w:rsid w:val="00C54A92"/>
    <w:rsid w:val="00C54C70"/>
    <w:rsid w:val="00C55A9A"/>
    <w:rsid w:val="00C5683E"/>
    <w:rsid w:val="00C56F7C"/>
    <w:rsid w:val="00C571C7"/>
    <w:rsid w:val="00C63D60"/>
    <w:rsid w:val="00C6501E"/>
    <w:rsid w:val="00C650A2"/>
    <w:rsid w:val="00C66254"/>
    <w:rsid w:val="00C674CF"/>
    <w:rsid w:val="00C74089"/>
    <w:rsid w:val="00C74D93"/>
    <w:rsid w:val="00C757AF"/>
    <w:rsid w:val="00C763DF"/>
    <w:rsid w:val="00C77ED2"/>
    <w:rsid w:val="00C806EC"/>
    <w:rsid w:val="00C8187C"/>
    <w:rsid w:val="00C87A1B"/>
    <w:rsid w:val="00C87A4E"/>
    <w:rsid w:val="00C914E4"/>
    <w:rsid w:val="00C93F93"/>
    <w:rsid w:val="00C956D8"/>
    <w:rsid w:val="00C96B0D"/>
    <w:rsid w:val="00C96DB9"/>
    <w:rsid w:val="00CA0242"/>
    <w:rsid w:val="00CA0BC6"/>
    <w:rsid w:val="00CA1D86"/>
    <w:rsid w:val="00CA1E4F"/>
    <w:rsid w:val="00CA2FE5"/>
    <w:rsid w:val="00CA7E16"/>
    <w:rsid w:val="00CB20D9"/>
    <w:rsid w:val="00CB556E"/>
    <w:rsid w:val="00CB5C6E"/>
    <w:rsid w:val="00CC4584"/>
    <w:rsid w:val="00CC677B"/>
    <w:rsid w:val="00CD08C7"/>
    <w:rsid w:val="00CD3214"/>
    <w:rsid w:val="00CD4650"/>
    <w:rsid w:val="00CD4D8A"/>
    <w:rsid w:val="00CD4F42"/>
    <w:rsid w:val="00CE2F62"/>
    <w:rsid w:val="00CE407F"/>
    <w:rsid w:val="00CE6329"/>
    <w:rsid w:val="00CE6A2A"/>
    <w:rsid w:val="00CE6D2F"/>
    <w:rsid w:val="00CE7BC6"/>
    <w:rsid w:val="00CF3F1D"/>
    <w:rsid w:val="00CF4190"/>
    <w:rsid w:val="00CF4F6C"/>
    <w:rsid w:val="00CF5431"/>
    <w:rsid w:val="00CF60E3"/>
    <w:rsid w:val="00D029E3"/>
    <w:rsid w:val="00D057A9"/>
    <w:rsid w:val="00D07E84"/>
    <w:rsid w:val="00D2306A"/>
    <w:rsid w:val="00D2308A"/>
    <w:rsid w:val="00D23AB1"/>
    <w:rsid w:val="00D24D94"/>
    <w:rsid w:val="00D251F0"/>
    <w:rsid w:val="00D30FE0"/>
    <w:rsid w:val="00D33EF1"/>
    <w:rsid w:val="00D34C55"/>
    <w:rsid w:val="00D35D2E"/>
    <w:rsid w:val="00D36AA1"/>
    <w:rsid w:val="00D36B27"/>
    <w:rsid w:val="00D402EA"/>
    <w:rsid w:val="00D40CBB"/>
    <w:rsid w:val="00D412D1"/>
    <w:rsid w:val="00D41351"/>
    <w:rsid w:val="00D453F3"/>
    <w:rsid w:val="00D45B30"/>
    <w:rsid w:val="00D4639B"/>
    <w:rsid w:val="00D4681B"/>
    <w:rsid w:val="00D46B73"/>
    <w:rsid w:val="00D504CB"/>
    <w:rsid w:val="00D50D59"/>
    <w:rsid w:val="00D51DDB"/>
    <w:rsid w:val="00D52487"/>
    <w:rsid w:val="00D53150"/>
    <w:rsid w:val="00D54039"/>
    <w:rsid w:val="00D54C5B"/>
    <w:rsid w:val="00D54D41"/>
    <w:rsid w:val="00D5619E"/>
    <w:rsid w:val="00D56C2F"/>
    <w:rsid w:val="00D56D9E"/>
    <w:rsid w:val="00D575C7"/>
    <w:rsid w:val="00D608AA"/>
    <w:rsid w:val="00D65556"/>
    <w:rsid w:val="00D6583D"/>
    <w:rsid w:val="00D65A3B"/>
    <w:rsid w:val="00D66B7D"/>
    <w:rsid w:val="00D727EF"/>
    <w:rsid w:val="00D73129"/>
    <w:rsid w:val="00D7337C"/>
    <w:rsid w:val="00D77F8B"/>
    <w:rsid w:val="00D856B0"/>
    <w:rsid w:val="00D87339"/>
    <w:rsid w:val="00D9190D"/>
    <w:rsid w:val="00D928D9"/>
    <w:rsid w:val="00D95592"/>
    <w:rsid w:val="00D95796"/>
    <w:rsid w:val="00DA0948"/>
    <w:rsid w:val="00DA0F2E"/>
    <w:rsid w:val="00DA182C"/>
    <w:rsid w:val="00DA1BEC"/>
    <w:rsid w:val="00DA35FA"/>
    <w:rsid w:val="00DA3CE7"/>
    <w:rsid w:val="00DA5DCA"/>
    <w:rsid w:val="00DA7257"/>
    <w:rsid w:val="00DB2846"/>
    <w:rsid w:val="00DB2879"/>
    <w:rsid w:val="00DB4097"/>
    <w:rsid w:val="00DB7298"/>
    <w:rsid w:val="00DB79E9"/>
    <w:rsid w:val="00DC0214"/>
    <w:rsid w:val="00DC05D7"/>
    <w:rsid w:val="00DC1050"/>
    <w:rsid w:val="00DC1CE2"/>
    <w:rsid w:val="00DC216E"/>
    <w:rsid w:val="00DD07C3"/>
    <w:rsid w:val="00DD099F"/>
    <w:rsid w:val="00DD3494"/>
    <w:rsid w:val="00DD3B5D"/>
    <w:rsid w:val="00DD5358"/>
    <w:rsid w:val="00DE1AAB"/>
    <w:rsid w:val="00DE3B3E"/>
    <w:rsid w:val="00DE3EE4"/>
    <w:rsid w:val="00DE5532"/>
    <w:rsid w:val="00DE5BFF"/>
    <w:rsid w:val="00DE79F3"/>
    <w:rsid w:val="00DF748E"/>
    <w:rsid w:val="00E00BBE"/>
    <w:rsid w:val="00E07A9F"/>
    <w:rsid w:val="00E16B1B"/>
    <w:rsid w:val="00E17DB4"/>
    <w:rsid w:val="00E2033D"/>
    <w:rsid w:val="00E20AB6"/>
    <w:rsid w:val="00E2393C"/>
    <w:rsid w:val="00E25802"/>
    <w:rsid w:val="00E2716D"/>
    <w:rsid w:val="00E278D3"/>
    <w:rsid w:val="00E27FD1"/>
    <w:rsid w:val="00E3350D"/>
    <w:rsid w:val="00E35313"/>
    <w:rsid w:val="00E452E1"/>
    <w:rsid w:val="00E47C5F"/>
    <w:rsid w:val="00E5182B"/>
    <w:rsid w:val="00E52B97"/>
    <w:rsid w:val="00E55321"/>
    <w:rsid w:val="00E55413"/>
    <w:rsid w:val="00E55FCE"/>
    <w:rsid w:val="00E569F4"/>
    <w:rsid w:val="00E56B50"/>
    <w:rsid w:val="00E57172"/>
    <w:rsid w:val="00E60E0A"/>
    <w:rsid w:val="00E63A7B"/>
    <w:rsid w:val="00E63D69"/>
    <w:rsid w:val="00E641D1"/>
    <w:rsid w:val="00E7379D"/>
    <w:rsid w:val="00E7415B"/>
    <w:rsid w:val="00E745B4"/>
    <w:rsid w:val="00E75BC1"/>
    <w:rsid w:val="00E7623E"/>
    <w:rsid w:val="00E770F2"/>
    <w:rsid w:val="00E8227C"/>
    <w:rsid w:val="00E84825"/>
    <w:rsid w:val="00E85B99"/>
    <w:rsid w:val="00E86656"/>
    <w:rsid w:val="00E878D6"/>
    <w:rsid w:val="00E9140F"/>
    <w:rsid w:val="00E9146E"/>
    <w:rsid w:val="00E9497E"/>
    <w:rsid w:val="00E94C39"/>
    <w:rsid w:val="00E96751"/>
    <w:rsid w:val="00E96DE9"/>
    <w:rsid w:val="00E975B8"/>
    <w:rsid w:val="00EA1E28"/>
    <w:rsid w:val="00EB1047"/>
    <w:rsid w:val="00EB1D66"/>
    <w:rsid w:val="00EB57CF"/>
    <w:rsid w:val="00EC0EE7"/>
    <w:rsid w:val="00EC236A"/>
    <w:rsid w:val="00EC2E6B"/>
    <w:rsid w:val="00EC3A38"/>
    <w:rsid w:val="00EC5D42"/>
    <w:rsid w:val="00EC5F66"/>
    <w:rsid w:val="00EC6261"/>
    <w:rsid w:val="00EC7023"/>
    <w:rsid w:val="00ED12D5"/>
    <w:rsid w:val="00ED1DC0"/>
    <w:rsid w:val="00ED26FD"/>
    <w:rsid w:val="00ED30C3"/>
    <w:rsid w:val="00EE0ACB"/>
    <w:rsid w:val="00EE1BE8"/>
    <w:rsid w:val="00EE51F0"/>
    <w:rsid w:val="00EE7482"/>
    <w:rsid w:val="00EF2502"/>
    <w:rsid w:val="00EF318B"/>
    <w:rsid w:val="00EF4044"/>
    <w:rsid w:val="00EF41C4"/>
    <w:rsid w:val="00EF7651"/>
    <w:rsid w:val="00F009C5"/>
    <w:rsid w:val="00F028EC"/>
    <w:rsid w:val="00F04202"/>
    <w:rsid w:val="00F04A72"/>
    <w:rsid w:val="00F052A3"/>
    <w:rsid w:val="00F05F40"/>
    <w:rsid w:val="00F0663A"/>
    <w:rsid w:val="00F079FC"/>
    <w:rsid w:val="00F10149"/>
    <w:rsid w:val="00F12B2B"/>
    <w:rsid w:val="00F16990"/>
    <w:rsid w:val="00F16DD1"/>
    <w:rsid w:val="00F170C3"/>
    <w:rsid w:val="00F172B9"/>
    <w:rsid w:val="00F17723"/>
    <w:rsid w:val="00F178E1"/>
    <w:rsid w:val="00F21EA3"/>
    <w:rsid w:val="00F22BCC"/>
    <w:rsid w:val="00F255B4"/>
    <w:rsid w:val="00F27584"/>
    <w:rsid w:val="00F31A99"/>
    <w:rsid w:val="00F337D6"/>
    <w:rsid w:val="00F3427D"/>
    <w:rsid w:val="00F347FA"/>
    <w:rsid w:val="00F373F2"/>
    <w:rsid w:val="00F37E1B"/>
    <w:rsid w:val="00F40115"/>
    <w:rsid w:val="00F40D14"/>
    <w:rsid w:val="00F428E0"/>
    <w:rsid w:val="00F42F7A"/>
    <w:rsid w:val="00F44628"/>
    <w:rsid w:val="00F5182F"/>
    <w:rsid w:val="00F52D31"/>
    <w:rsid w:val="00F53084"/>
    <w:rsid w:val="00F53B0E"/>
    <w:rsid w:val="00F54394"/>
    <w:rsid w:val="00F55292"/>
    <w:rsid w:val="00F5682C"/>
    <w:rsid w:val="00F56FCD"/>
    <w:rsid w:val="00F60C1A"/>
    <w:rsid w:val="00F62764"/>
    <w:rsid w:val="00F6739F"/>
    <w:rsid w:val="00F71224"/>
    <w:rsid w:val="00F77448"/>
    <w:rsid w:val="00F77F9F"/>
    <w:rsid w:val="00F87726"/>
    <w:rsid w:val="00F92047"/>
    <w:rsid w:val="00F94A49"/>
    <w:rsid w:val="00F9576F"/>
    <w:rsid w:val="00F9709E"/>
    <w:rsid w:val="00FA34D5"/>
    <w:rsid w:val="00FA3C9E"/>
    <w:rsid w:val="00FA564C"/>
    <w:rsid w:val="00FA6979"/>
    <w:rsid w:val="00FA7305"/>
    <w:rsid w:val="00FB1065"/>
    <w:rsid w:val="00FC0449"/>
    <w:rsid w:val="00FC595C"/>
    <w:rsid w:val="00FC7603"/>
    <w:rsid w:val="00FD15F0"/>
    <w:rsid w:val="00FD3895"/>
    <w:rsid w:val="00FD48FF"/>
    <w:rsid w:val="00FD7076"/>
    <w:rsid w:val="00FD73E6"/>
    <w:rsid w:val="00FE5CF7"/>
    <w:rsid w:val="00FF25E9"/>
    <w:rsid w:val="00FF2E92"/>
    <w:rsid w:val="00FF3208"/>
    <w:rsid w:val="00FF5CD1"/>
    <w:rsid w:val="031529ED"/>
    <w:rsid w:val="08627C0C"/>
    <w:rsid w:val="08809E99"/>
    <w:rsid w:val="0C861C76"/>
    <w:rsid w:val="0E514839"/>
    <w:rsid w:val="1556A634"/>
    <w:rsid w:val="15EE9C28"/>
    <w:rsid w:val="1A92A0D6"/>
    <w:rsid w:val="1E011A46"/>
    <w:rsid w:val="208B63DA"/>
    <w:rsid w:val="2E94D21F"/>
    <w:rsid w:val="2F018CF8"/>
    <w:rsid w:val="2F04BB24"/>
    <w:rsid w:val="2FE3A8DB"/>
    <w:rsid w:val="33DDA7DD"/>
    <w:rsid w:val="3440D487"/>
    <w:rsid w:val="37707293"/>
    <w:rsid w:val="378984C5"/>
    <w:rsid w:val="38A8436B"/>
    <w:rsid w:val="3FEED9AF"/>
    <w:rsid w:val="4AEAECA0"/>
    <w:rsid w:val="4B5E3941"/>
    <w:rsid w:val="4C78BE88"/>
    <w:rsid w:val="4EE857BB"/>
    <w:rsid w:val="52CFEAF4"/>
    <w:rsid w:val="581C7A40"/>
    <w:rsid w:val="58B92AF9"/>
    <w:rsid w:val="5A8AE281"/>
    <w:rsid w:val="5B526AC5"/>
    <w:rsid w:val="5E403B12"/>
    <w:rsid w:val="5FBCD999"/>
    <w:rsid w:val="6267414B"/>
    <w:rsid w:val="6EA79A8F"/>
    <w:rsid w:val="7547C5F4"/>
    <w:rsid w:val="7C083A95"/>
    <w:rsid w:val="7F80F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D7F2E"/>
  <w15:chartTrackingRefBased/>
  <w15:docId w15:val="{4F4B962B-468F-4D81-9653-E8CA2D60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1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10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3E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E3E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E3EE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E3EE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E3EE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E3EE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1"/>
    <w:basedOn w:val="Normal"/>
    <w:link w:val="ListParagraphChar"/>
    <w:uiPriority w:val="34"/>
    <w:qFormat/>
    <w:rsid w:val="005E2D78"/>
    <w:pPr>
      <w:ind w:left="720"/>
      <w:contextualSpacing/>
    </w:pPr>
  </w:style>
  <w:style w:type="character" w:styleId="CommentReference">
    <w:name w:val="annotation reference"/>
    <w:basedOn w:val="DefaultParagraphFont"/>
    <w:uiPriority w:val="99"/>
    <w:unhideWhenUsed/>
    <w:rsid w:val="00BF1052"/>
    <w:rPr>
      <w:sz w:val="16"/>
      <w:szCs w:val="16"/>
    </w:rPr>
  </w:style>
  <w:style w:type="paragraph" w:styleId="CommentText">
    <w:name w:val="annotation text"/>
    <w:basedOn w:val="Normal"/>
    <w:link w:val="CommentTextChar"/>
    <w:uiPriority w:val="99"/>
    <w:unhideWhenUsed/>
    <w:rsid w:val="00BF105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F105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F1052"/>
    <w:rPr>
      <w:vertAlign w:val="superscript"/>
    </w:rPr>
  </w:style>
  <w:style w:type="paragraph" w:styleId="BalloonText">
    <w:name w:val="Balloon Text"/>
    <w:basedOn w:val="Normal"/>
    <w:link w:val="BalloonTextChar"/>
    <w:uiPriority w:val="99"/>
    <w:semiHidden/>
    <w:unhideWhenUsed/>
    <w:rsid w:val="00BF1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052"/>
    <w:rPr>
      <w:rFonts w:ascii="Segoe UI" w:hAnsi="Segoe UI" w:cs="Segoe UI"/>
      <w:sz w:val="18"/>
      <w:szCs w:val="18"/>
    </w:rPr>
  </w:style>
  <w:style w:type="paragraph" w:styleId="Title">
    <w:name w:val="Title"/>
    <w:basedOn w:val="Normal"/>
    <w:next w:val="Normal"/>
    <w:link w:val="TitleChar"/>
    <w:uiPriority w:val="10"/>
    <w:qFormat/>
    <w:rsid w:val="00BF10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0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10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1052"/>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BC694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C6943"/>
    <w:rPr>
      <w:rFonts w:ascii="Times New Roman" w:eastAsia="Times New Roman" w:hAnsi="Times New Roman" w:cs="Times New Roman"/>
      <w:b/>
      <w:bCs/>
      <w:sz w:val="20"/>
      <w:szCs w:val="20"/>
    </w:rPr>
  </w:style>
  <w:style w:type="paragraph" w:styleId="Revision">
    <w:name w:val="Revision"/>
    <w:hidden/>
    <w:uiPriority w:val="99"/>
    <w:semiHidden/>
    <w:rsid w:val="0084079B"/>
    <w:pPr>
      <w:spacing w:after="0" w:line="240" w:lineRule="auto"/>
    </w:pPr>
  </w:style>
  <w:style w:type="paragraph" w:styleId="Header">
    <w:name w:val="header"/>
    <w:basedOn w:val="Normal"/>
    <w:link w:val="HeaderChar"/>
    <w:uiPriority w:val="99"/>
    <w:unhideWhenUsed/>
    <w:rsid w:val="00724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61"/>
  </w:style>
  <w:style w:type="paragraph" w:styleId="Footer">
    <w:name w:val="footer"/>
    <w:basedOn w:val="Normal"/>
    <w:link w:val="FooterChar"/>
    <w:uiPriority w:val="99"/>
    <w:unhideWhenUsed/>
    <w:rsid w:val="00724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61"/>
  </w:style>
  <w:style w:type="character" w:customStyle="1" w:styleId="normaltextrun">
    <w:name w:val="normaltextrun"/>
    <w:basedOn w:val="DefaultParagraphFont"/>
    <w:rsid w:val="00724B61"/>
  </w:style>
  <w:style w:type="paragraph" w:styleId="Caption">
    <w:name w:val="caption"/>
    <w:basedOn w:val="Normal"/>
    <w:next w:val="Normal"/>
    <w:uiPriority w:val="35"/>
    <w:unhideWhenUsed/>
    <w:qFormat/>
    <w:rsid w:val="004244D7"/>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DE3EE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E3EE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E3EE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E3EE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E3EE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E3EE4"/>
    <w:rPr>
      <w:rFonts w:asciiTheme="majorHAnsi" w:eastAsiaTheme="majorEastAsia" w:hAnsiTheme="majorHAnsi" w:cstheme="majorBidi"/>
      <w:color w:val="272727" w:themeColor="text1" w:themeTint="D8"/>
      <w:sz w:val="21"/>
      <w:szCs w:val="21"/>
    </w:rPr>
  </w:style>
  <w:style w:type="paragraph" w:styleId="FootnoteText">
    <w:name w:val="footnote text"/>
    <w:aliases w:val="Footnote Text1 Char,Footnote Text Char Ch"/>
    <w:basedOn w:val="Normal"/>
    <w:link w:val="FootnoteTextChar"/>
    <w:unhideWhenUsed/>
    <w:rsid w:val="00DE3EE4"/>
    <w:pPr>
      <w:spacing w:after="0" w:line="240" w:lineRule="auto"/>
    </w:pPr>
    <w:rPr>
      <w:sz w:val="20"/>
      <w:szCs w:val="20"/>
    </w:rPr>
  </w:style>
  <w:style w:type="character" w:customStyle="1" w:styleId="FootnoteTextChar">
    <w:name w:val="Footnote Text Char"/>
    <w:aliases w:val="Footnote Text1 Char Char,Footnote Text Char Ch Char"/>
    <w:basedOn w:val="DefaultParagraphFont"/>
    <w:link w:val="FootnoteText"/>
    <w:rsid w:val="00DE3EE4"/>
    <w:rPr>
      <w:sz w:val="20"/>
      <w:szCs w:val="20"/>
    </w:rPr>
  </w:style>
  <w:style w:type="character" w:styleId="Hyperlink">
    <w:name w:val="Hyperlink"/>
    <w:basedOn w:val="DefaultParagraphFont"/>
    <w:uiPriority w:val="99"/>
    <w:unhideWhenUsed/>
    <w:rsid w:val="00DE3EE4"/>
    <w:rPr>
      <w:color w:val="0563C1" w:themeColor="hyperlink"/>
      <w:u w:val="single"/>
    </w:rPr>
  </w:style>
  <w:style w:type="table" w:styleId="TableGrid">
    <w:name w:val="Table Grid"/>
    <w:basedOn w:val="TableNormal"/>
    <w:uiPriority w:val="39"/>
    <w:rsid w:val="00DE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1 Char"/>
    <w:basedOn w:val="DefaultParagraphFont"/>
    <w:link w:val="ListParagraph"/>
    <w:uiPriority w:val="34"/>
    <w:rsid w:val="00DE3EE4"/>
  </w:style>
  <w:style w:type="paragraph" w:customStyle="1" w:styleId="Pa0">
    <w:name w:val="Pa0"/>
    <w:basedOn w:val="Normal"/>
    <w:next w:val="Normal"/>
    <w:uiPriority w:val="99"/>
    <w:rsid w:val="00DE3EE4"/>
    <w:pPr>
      <w:autoSpaceDE w:val="0"/>
      <w:autoSpaceDN w:val="0"/>
      <w:adjustRightInd w:val="0"/>
      <w:spacing w:after="0" w:line="221" w:lineRule="atLeast"/>
    </w:pPr>
    <w:rPr>
      <w:rFonts w:ascii="Minion Pro" w:hAnsi="Minion Pro"/>
      <w:sz w:val="24"/>
      <w:szCs w:val="24"/>
    </w:rPr>
  </w:style>
  <w:style w:type="paragraph" w:customStyle="1" w:styleId="Pa1">
    <w:name w:val="Pa1"/>
    <w:basedOn w:val="Normal"/>
    <w:next w:val="Normal"/>
    <w:uiPriority w:val="99"/>
    <w:rsid w:val="00DE3EE4"/>
    <w:pPr>
      <w:autoSpaceDE w:val="0"/>
      <w:autoSpaceDN w:val="0"/>
      <w:adjustRightInd w:val="0"/>
      <w:spacing w:after="0" w:line="221" w:lineRule="atLeast"/>
    </w:pPr>
    <w:rPr>
      <w:rFonts w:ascii="Minion Pro" w:hAnsi="Minion Pro"/>
      <w:sz w:val="24"/>
      <w:szCs w:val="24"/>
    </w:rPr>
  </w:style>
  <w:style w:type="character" w:customStyle="1" w:styleId="A1">
    <w:name w:val="A1"/>
    <w:uiPriority w:val="99"/>
    <w:rsid w:val="00DE3EE4"/>
    <w:rPr>
      <w:rFonts w:cs="Minion Pro"/>
      <w:color w:val="000000"/>
    </w:rPr>
  </w:style>
  <w:style w:type="paragraph" w:customStyle="1" w:styleId="BodyText">
    <w:name w:val="BodyText"/>
    <w:basedOn w:val="Normal"/>
    <w:qFormat/>
    <w:rsid w:val="009B3061"/>
    <w:rPr>
      <w:rFonts w:ascii="Calibri" w:hAnsi="Calibri" w:cs="Calibri"/>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38446">
      <w:bodyDiv w:val="1"/>
      <w:marLeft w:val="0"/>
      <w:marRight w:val="0"/>
      <w:marTop w:val="0"/>
      <w:marBottom w:val="0"/>
      <w:divBdr>
        <w:top w:val="none" w:sz="0" w:space="0" w:color="auto"/>
        <w:left w:val="none" w:sz="0" w:space="0" w:color="auto"/>
        <w:bottom w:val="none" w:sz="0" w:space="0" w:color="auto"/>
        <w:right w:val="none" w:sz="0" w:space="0" w:color="auto"/>
      </w:divBdr>
    </w:div>
    <w:div w:id="301741272">
      <w:bodyDiv w:val="1"/>
      <w:marLeft w:val="0"/>
      <w:marRight w:val="0"/>
      <w:marTop w:val="0"/>
      <w:marBottom w:val="0"/>
      <w:divBdr>
        <w:top w:val="none" w:sz="0" w:space="0" w:color="auto"/>
        <w:left w:val="none" w:sz="0" w:space="0" w:color="auto"/>
        <w:bottom w:val="none" w:sz="0" w:space="0" w:color="auto"/>
        <w:right w:val="none" w:sz="0" w:space="0" w:color="auto"/>
      </w:divBdr>
      <w:divsChild>
        <w:div w:id="2130276117">
          <w:marLeft w:val="0"/>
          <w:marRight w:val="120"/>
          <w:marTop w:val="0"/>
          <w:marBottom w:val="0"/>
          <w:divBdr>
            <w:top w:val="none" w:sz="0" w:space="0" w:color="auto"/>
            <w:left w:val="none" w:sz="0" w:space="0" w:color="auto"/>
            <w:bottom w:val="none" w:sz="0" w:space="0" w:color="auto"/>
            <w:right w:val="none" w:sz="0" w:space="0" w:color="auto"/>
          </w:divBdr>
          <w:divsChild>
            <w:div w:id="1517890616">
              <w:marLeft w:val="0"/>
              <w:marRight w:val="0"/>
              <w:marTop w:val="0"/>
              <w:marBottom w:val="0"/>
              <w:divBdr>
                <w:top w:val="none" w:sz="0" w:space="0" w:color="auto"/>
                <w:left w:val="none" w:sz="0" w:space="0" w:color="auto"/>
                <w:bottom w:val="none" w:sz="0" w:space="0" w:color="auto"/>
                <w:right w:val="none" w:sz="0" w:space="0" w:color="auto"/>
              </w:divBdr>
              <w:divsChild>
                <w:div w:id="894657508">
                  <w:marLeft w:val="0"/>
                  <w:marRight w:val="0"/>
                  <w:marTop w:val="0"/>
                  <w:marBottom w:val="0"/>
                  <w:divBdr>
                    <w:top w:val="none" w:sz="0" w:space="0" w:color="auto"/>
                    <w:left w:val="none" w:sz="0" w:space="0" w:color="auto"/>
                    <w:bottom w:val="none" w:sz="0" w:space="0" w:color="auto"/>
                    <w:right w:val="none" w:sz="0" w:space="0" w:color="auto"/>
                  </w:divBdr>
                  <w:divsChild>
                    <w:div w:id="538862213">
                      <w:marLeft w:val="0"/>
                      <w:marRight w:val="0"/>
                      <w:marTop w:val="0"/>
                      <w:marBottom w:val="0"/>
                      <w:divBdr>
                        <w:top w:val="none" w:sz="0" w:space="0" w:color="auto"/>
                        <w:left w:val="none" w:sz="0" w:space="0" w:color="auto"/>
                        <w:bottom w:val="none" w:sz="0" w:space="0" w:color="auto"/>
                        <w:right w:val="none" w:sz="0" w:space="0" w:color="auto"/>
                      </w:divBdr>
                      <w:divsChild>
                        <w:div w:id="1636329407">
                          <w:marLeft w:val="0"/>
                          <w:marRight w:val="0"/>
                          <w:marTop w:val="0"/>
                          <w:marBottom w:val="0"/>
                          <w:divBdr>
                            <w:top w:val="none" w:sz="0" w:space="0" w:color="auto"/>
                            <w:left w:val="none" w:sz="0" w:space="0" w:color="auto"/>
                            <w:bottom w:val="none" w:sz="0" w:space="0" w:color="auto"/>
                            <w:right w:val="none" w:sz="0" w:space="0" w:color="auto"/>
                          </w:divBdr>
                          <w:divsChild>
                            <w:div w:id="351683931">
                              <w:marLeft w:val="0"/>
                              <w:marRight w:val="0"/>
                              <w:marTop w:val="0"/>
                              <w:marBottom w:val="0"/>
                              <w:divBdr>
                                <w:top w:val="none" w:sz="0" w:space="0" w:color="auto"/>
                                <w:left w:val="none" w:sz="0" w:space="0" w:color="auto"/>
                                <w:bottom w:val="none" w:sz="0" w:space="0" w:color="auto"/>
                                <w:right w:val="none" w:sz="0" w:space="0" w:color="auto"/>
                              </w:divBdr>
                              <w:divsChild>
                                <w:div w:id="1527984509">
                                  <w:marLeft w:val="0"/>
                                  <w:marRight w:val="0"/>
                                  <w:marTop w:val="0"/>
                                  <w:marBottom w:val="0"/>
                                  <w:divBdr>
                                    <w:top w:val="none" w:sz="0" w:space="0" w:color="auto"/>
                                    <w:left w:val="none" w:sz="0" w:space="0" w:color="auto"/>
                                    <w:bottom w:val="none" w:sz="0" w:space="0" w:color="auto"/>
                                    <w:right w:val="none" w:sz="0" w:space="0" w:color="auto"/>
                                  </w:divBdr>
                                  <w:divsChild>
                                    <w:div w:id="97920175">
                                      <w:marLeft w:val="0"/>
                                      <w:marRight w:val="0"/>
                                      <w:marTop w:val="0"/>
                                      <w:marBottom w:val="0"/>
                                      <w:divBdr>
                                        <w:top w:val="none" w:sz="0" w:space="0" w:color="auto"/>
                                        <w:left w:val="none" w:sz="0" w:space="0" w:color="auto"/>
                                        <w:bottom w:val="none" w:sz="0" w:space="0" w:color="auto"/>
                                        <w:right w:val="none" w:sz="0" w:space="0" w:color="auto"/>
                                      </w:divBdr>
                                      <w:divsChild>
                                        <w:div w:id="790788632">
                                          <w:marLeft w:val="0"/>
                                          <w:marRight w:val="0"/>
                                          <w:marTop w:val="0"/>
                                          <w:marBottom w:val="0"/>
                                          <w:divBdr>
                                            <w:top w:val="none" w:sz="0" w:space="0" w:color="auto"/>
                                            <w:left w:val="none" w:sz="0" w:space="0" w:color="auto"/>
                                            <w:bottom w:val="none" w:sz="0" w:space="0" w:color="auto"/>
                                            <w:right w:val="none" w:sz="0" w:space="0" w:color="auto"/>
                                          </w:divBdr>
                                          <w:divsChild>
                                            <w:div w:id="799305767">
                                              <w:marLeft w:val="0"/>
                                              <w:marRight w:val="0"/>
                                              <w:marTop w:val="0"/>
                                              <w:marBottom w:val="0"/>
                                              <w:divBdr>
                                                <w:top w:val="none" w:sz="0" w:space="0" w:color="auto"/>
                                                <w:left w:val="none" w:sz="0" w:space="0" w:color="auto"/>
                                                <w:bottom w:val="none" w:sz="0" w:space="0" w:color="auto"/>
                                                <w:right w:val="none" w:sz="0" w:space="0" w:color="auto"/>
                                              </w:divBdr>
                                              <w:divsChild>
                                                <w:div w:id="1399326635">
                                                  <w:marLeft w:val="0"/>
                                                  <w:marRight w:val="0"/>
                                                  <w:marTop w:val="0"/>
                                                  <w:marBottom w:val="0"/>
                                                  <w:divBdr>
                                                    <w:top w:val="none" w:sz="0" w:space="0" w:color="auto"/>
                                                    <w:left w:val="none" w:sz="0" w:space="0" w:color="auto"/>
                                                    <w:bottom w:val="none" w:sz="0" w:space="0" w:color="auto"/>
                                                    <w:right w:val="none" w:sz="0" w:space="0" w:color="auto"/>
                                                  </w:divBdr>
                                                  <w:divsChild>
                                                    <w:div w:id="1753896404">
                                                      <w:marLeft w:val="0"/>
                                                      <w:marRight w:val="0"/>
                                                      <w:marTop w:val="0"/>
                                                      <w:marBottom w:val="0"/>
                                                      <w:divBdr>
                                                        <w:top w:val="none" w:sz="0" w:space="0" w:color="auto"/>
                                                        <w:left w:val="none" w:sz="0" w:space="0" w:color="auto"/>
                                                        <w:bottom w:val="none" w:sz="0" w:space="0" w:color="auto"/>
                                                        <w:right w:val="none" w:sz="0" w:space="0" w:color="auto"/>
                                                      </w:divBdr>
                                                      <w:divsChild>
                                                        <w:div w:id="758134474">
                                                          <w:marLeft w:val="0"/>
                                                          <w:marRight w:val="0"/>
                                                          <w:marTop w:val="0"/>
                                                          <w:marBottom w:val="0"/>
                                                          <w:divBdr>
                                                            <w:top w:val="none" w:sz="0" w:space="0" w:color="auto"/>
                                                            <w:left w:val="none" w:sz="0" w:space="0" w:color="auto"/>
                                                            <w:bottom w:val="none" w:sz="0" w:space="0" w:color="auto"/>
                                                            <w:right w:val="none" w:sz="0" w:space="0" w:color="auto"/>
                                                          </w:divBdr>
                                                          <w:divsChild>
                                                            <w:div w:id="1087653290">
                                                              <w:marLeft w:val="0"/>
                                                              <w:marRight w:val="0"/>
                                                              <w:marTop w:val="0"/>
                                                              <w:marBottom w:val="0"/>
                                                              <w:divBdr>
                                                                <w:top w:val="none" w:sz="0" w:space="0" w:color="auto"/>
                                                                <w:left w:val="none" w:sz="0" w:space="0" w:color="auto"/>
                                                                <w:bottom w:val="none" w:sz="0" w:space="0" w:color="auto"/>
                                                                <w:right w:val="none" w:sz="0" w:space="0" w:color="auto"/>
                                                              </w:divBdr>
                                                              <w:divsChild>
                                                                <w:div w:id="863320683">
                                                                  <w:marLeft w:val="315"/>
                                                                  <w:marRight w:val="315"/>
                                                                  <w:marTop w:val="0"/>
                                                                  <w:marBottom w:val="0"/>
                                                                  <w:divBdr>
                                                                    <w:top w:val="none" w:sz="0" w:space="0" w:color="auto"/>
                                                                    <w:left w:val="none" w:sz="0" w:space="0" w:color="auto"/>
                                                                    <w:bottom w:val="single" w:sz="6" w:space="0" w:color="auto"/>
                                                                    <w:right w:val="none" w:sz="0" w:space="0" w:color="auto"/>
                                                                  </w:divBdr>
                                                                  <w:divsChild>
                                                                    <w:div w:id="2020619532">
                                                                      <w:marLeft w:val="60"/>
                                                                      <w:marRight w:val="60"/>
                                                                      <w:marTop w:val="60"/>
                                                                      <w:marBottom w:val="60"/>
                                                                      <w:divBdr>
                                                                        <w:top w:val="single" w:sz="12" w:space="0" w:color="auto"/>
                                                                        <w:left w:val="single" w:sz="12" w:space="0" w:color="auto"/>
                                                                        <w:bottom w:val="single" w:sz="12" w:space="0" w:color="auto"/>
                                                                        <w:right w:val="single" w:sz="12" w:space="0" w:color="auto"/>
                                                                      </w:divBdr>
                                                                      <w:divsChild>
                                                                        <w:div w:id="2093354345">
                                                                          <w:marLeft w:val="0"/>
                                                                          <w:marRight w:val="0"/>
                                                                          <w:marTop w:val="0"/>
                                                                          <w:marBottom w:val="0"/>
                                                                          <w:divBdr>
                                                                            <w:top w:val="none" w:sz="0" w:space="0" w:color="auto"/>
                                                                            <w:left w:val="none" w:sz="0" w:space="0" w:color="auto"/>
                                                                            <w:bottom w:val="none" w:sz="0" w:space="0" w:color="auto"/>
                                                                            <w:right w:val="none" w:sz="0" w:space="0" w:color="auto"/>
                                                                          </w:divBdr>
                                                                          <w:divsChild>
                                                                            <w:div w:id="512182617">
                                                                              <w:marLeft w:val="0"/>
                                                                              <w:marRight w:val="0"/>
                                                                              <w:marTop w:val="0"/>
                                                                              <w:marBottom w:val="0"/>
                                                                              <w:divBdr>
                                                                                <w:top w:val="none" w:sz="0" w:space="0" w:color="auto"/>
                                                                                <w:left w:val="none" w:sz="0" w:space="0" w:color="auto"/>
                                                                                <w:bottom w:val="none" w:sz="0" w:space="0" w:color="auto"/>
                                                                                <w:right w:val="none" w:sz="0" w:space="0" w:color="auto"/>
                                                                              </w:divBdr>
                                                                              <w:divsChild>
                                                                                <w:div w:id="746417340">
                                                                                  <w:marLeft w:val="0"/>
                                                                                  <w:marRight w:val="0"/>
                                                                                  <w:marTop w:val="0"/>
                                                                                  <w:marBottom w:val="0"/>
                                                                                  <w:divBdr>
                                                                                    <w:top w:val="none" w:sz="0" w:space="0" w:color="auto"/>
                                                                                    <w:left w:val="none" w:sz="0" w:space="0" w:color="auto"/>
                                                                                    <w:bottom w:val="none" w:sz="0" w:space="0" w:color="auto"/>
                                                                                    <w:right w:val="none" w:sz="0" w:space="0" w:color="auto"/>
                                                                                  </w:divBdr>
                                                                                  <w:divsChild>
                                                                                    <w:div w:id="767236422">
                                                                                      <w:marLeft w:val="0"/>
                                                                                      <w:marRight w:val="0"/>
                                                                                      <w:marTop w:val="0"/>
                                                                                      <w:marBottom w:val="0"/>
                                                                                      <w:divBdr>
                                                                                        <w:top w:val="none" w:sz="0" w:space="0" w:color="auto"/>
                                                                                        <w:left w:val="none" w:sz="0" w:space="0" w:color="auto"/>
                                                                                        <w:bottom w:val="none" w:sz="0" w:space="0" w:color="auto"/>
                                                                                        <w:right w:val="none" w:sz="0" w:space="0" w:color="auto"/>
                                                                                      </w:divBdr>
                                                                                      <w:divsChild>
                                                                                        <w:div w:id="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10376">
      <w:bodyDiv w:val="1"/>
      <w:marLeft w:val="0"/>
      <w:marRight w:val="0"/>
      <w:marTop w:val="0"/>
      <w:marBottom w:val="0"/>
      <w:divBdr>
        <w:top w:val="none" w:sz="0" w:space="0" w:color="auto"/>
        <w:left w:val="none" w:sz="0" w:space="0" w:color="auto"/>
        <w:bottom w:val="none" w:sz="0" w:space="0" w:color="auto"/>
        <w:right w:val="none" w:sz="0" w:space="0" w:color="auto"/>
      </w:divBdr>
    </w:div>
    <w:div w:id="575431684">
      <w:bodyDiv w:val="1"/>
      <w:marLeft w:val="0"/>
      <w:marRight w:val="0"/>
      <w:marTop w:val="0"/>
      <w:marBottom w:val="0"/>
      <w:divBdr>
        <w:top w:val="none" w:sz="0" w:space="0" w:color="auto"/>
        <w:left w:val="none" w:sz="0" w:space="0" w:color="auto"/>
        <w:bottom w:val="none" w:sz="0" w:space="0" w:color="auto"/>
        <w:right w:val="none" w:sz="0" w:space="0" w:color="auto"/>
      </w:divBdr>
    </w:div>
    <w:div w:id="1068309743">
      <w:bodyDiv w:val="1"/>
      <w:marLeft w:val="0"/>
      <w:marRight w:val="0"/>
      <w:marTop w:val="0"/>
      <w:marBottom w:val="0"/>
      <w:divBdr>
        <w:top w:val="none" w:sz="0" w:space="0" w:color="auto"/>
        <w:left w:val="none" w:sz="0" w:space="0" w:color="auto"/>
        <w:bottom w:val="none" w:sz="0" w:space="0" w:color="auto"/>
        <w:right w:val="none" w:sz="0" w:space="0" w:color="auto"/>
      </w:divBdr>
    </w:div>
    <w:div w:id="1133864341">
      <w:bodyDiv w:val="1"/>
      <w:marLeft w:val="0"/>
      <w:marRight w:val="0"/>
      <w:marTop w:val="0"/>
      <w:marBottom w:val="0"/>
      <w:divBdr>
        <w:top w:val="none" w:sz="0" w:space="0" w:color="auto"/>
        <w:left w:val="none" w:sz="0" w:space="0" w:color="auto"/>
        <w:bottom w:val="none" w:sz="0" w:space="0" w:color="auto"/>
        <w:right w:val="none" w:sz="0" w:space="0" w:color="auto"/>
      </w:divBdr>
    </w:div>
    <w:div w:id="18185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2015-07-02T04:00:00+00:00</Document_x0020_Creation_x0020_Date>
    <EPA_x0020_Office xmlns="4ffa91fb-a0ff-4ac5-b2db-65c790d184a4">OAR-OAP-CCD-CPB</EPA_x0020_Office>
    <CategoryDescription xmlns="http://schemas.microsoft.com/sharepoint.v3">working document in prep for OMB review.</CategoryDescription>
    <Identifier xmlns="4ffa91fb-a0ff-4ac5-b2db-65c790d184a4" xsi:nil="true"/>
    <_Coverage xmlns="http://schemas.microsoft.com/sharepoint/v3/fields" xsi:nil="true"/>
    <Creator xmlns="4ffa91fb-a0ff-4ac5-b2db-65c790d184a4">
      <UserInfo>
        <DisplayName>Tarr, Jeremy</DisplayName>
        <AccountId>3164</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fdfc7f89-361c-4da3-9eb1-c903ad39280a">
      <UserInfo>
        <DisplayName>Strine, Lora</DisplayName>
        <AccountId>642</AccountId>
        <AccountType/>
      </UserInfo>
    </SharedWithUsers>
    <Status xmlns="4ac6f653-1ec0-4368-b61c-4ecc36cd00bb">Final</Status>
    <Uploaded xmlns="4ac6f653-1ec0-4368-b61c-4ecc36cd00bb">false</Uploaded>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10F8BBD51855A4A99A6A45DD1F00FCD" ma:contentTypeVersion="11" ma:contentTypeDescription="Create a new document." ma:contentTypeScope="" ma:versionID="2af04eb9371e8af5ae284ac8ad2d29e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dfc7f89-361c-4da3-9eb1-c903ad39280a" xmlns:ns6="4ac6f653-1ec0-4368-b61c-4ecc36cd00bb" targetNamespace="http://schemas.microsoft.com/office/2006/metadata/properties" ma:root="true" ma:fieldsID="7364ebd1c60adb729c1df89b86ccf2c5" ns1:_="" ns2:_="" ns3:_="" ns4:_="" ns5:_="" ns6:_="">
    <xsd:import namespace="http://schemas.microsoft.com/sharepoint/v3"/>
    <xsd:import namespace="4ffa91fb-a0ff-4ac5-b2db-65c790d184a4"/>
    <xsd:import namespace="http://schemas.microsoft.com/sharepoint.v3"/>
    <xsd:import namespace="http://schemas.microsoft.com/sharepoint/v3/fields"/>
    <xsd:import namespace="fdfc7f89-361c-4da3-9eb1-c903ad39280a"/>
    <xsd:import namespace="4ac6f653-1ec0-4368-b61c-4ecc36cd00b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6:Status" minOccurs="0"/>
                <xsd:element ref="ns6:Uploaded"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fc7f89-361c-4da3-9eb1-c903ad39280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c6f653-1ec0-4368-b61c-4ecc36cd00bb" elementFormDefault="qualified">
    <xsd:import namespace="http://schemas.microsoft.com/office/2006/documentManagement/types"/>
    <xsd:import namespace="http://schemas.microsoft.com/office/infopath/2007/PartnerControls"/>
    <xsd:element name="Status" ma:index="30" nillable="true" ma:displayName="Status" ma:default="Final" ma:format="Dropdown" ma:internalName="Status">
      <xsd:simpleType>
        <xsd:restriction base="dms:Choice">
          <xsd:enumeration value="Final"/>
          <xsd:enumeration value="Draft"/>
        </xsd:restriction>
      </xsd:simpleType>
    </xsd:element>
    <xsd:element name="Uploaded" ma:index="31" nillable="true" ma:displayName="Uploaded" ma:default="0" ma:internalName="Upload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88330-E44D-41A1-9BBB-B83CF5D03046}"/>
</file>

<file path=customXml/itemProps2.xml><?xml version="1.0" encoding="utf-8"?>
<ds:datastoreItem xmlns:ds="http://schemas.openxmlformats.org/officeDocument/2006/customXml" ds:itemID="{B32DB314-2458-4AC2-A14C-95B3D4FEE3C8}"/>
</file>

<file path=customXml/itemProps3.xml><?xml version="1.0" encoding="utf-8"?>
<ds:datastoreItem xmlns:ds="http://schemas.openxmlformats.org/officeDocument/2006/customXml" ds:itemID="{106B3A1D-18CA-446B-84D2-541582DD6070}"/>
</file>

<file path=customXml/itemProps4.xml><?xml version="1.0" encoding="utf-8"?>
<ds:datastoreItem xmlns:ds="http://schemas.openxmlformats.org/officeDocument/2006/customXml" ds:itemID="{812AC344-572C-4F1D-A3A9-8156E5539301}"/>
</file>

<file path=customXml/itemProps5.xml><?xml version="1.0" encoding="utf-8"?>
<ds:datastoreItem xmlns:ds="http://schemas.openxmlformats.org/officeDocument/2006/customXml" ds:itemID="{AA1AE503-4517-49AD-AFDA-D1EB30945C80}"/>
</file>

<file path=docProps/app.xml><?xml version="1.0" encoding="utf-8"?>
<Properties xmlns="http://schemas.openxmlformats.org/officeDocument/2006/extended-properties" xmlns:vt="http://schemas.openxmlformats.org/officeDocument/2006/docPropsVTypes">
  <Template>Normal.dotm</Template>
  <TotalTime>0</TotalTime>
  <Pages>1</Pages>
  <Words>5359</Words>
  <Characters>30549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Incorporating EERE Impacts TSD</vt:lpstr>
    </vt:vector>
  </TitlesOfParts>
  <Company/>
  <LinksUpToDate>false</LinksUpToDate>
  <CharactersWithSpaces>35837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EERE Impacts TSD</dc:title>
  <dc:subject/>
  <dc:creator>Jeremy Tarr</dc:creator>
  <cp:keywords/>
  <dc:description/>
  <cp:lastModifiedBy>Schaefer, John</cp:lastModifiedBy>
  <cp:revision>3</cp:revision>
  <cp:lastPrinted>2015-07-31T17:04:00Z</cp:lastPrinted>
  <dcterms:created xsi:type="dcterms:W3CDTF">2015-08-02T16:08:00Z</dcterms:created>
  <dcterms:modified xsi:type="dcterms:W3CDTF">2015-08-02T16:08:00Z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0x010100510F8BBD51855A4A99A6A45DD1F00FCD</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