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8.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1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8.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00626D" w14:textId="77777777" w:rsidR="00B562BA" w:rsidRDefault="00B562BA" w:rsidP="00003324">
      <w:pPr>
        <w:rPr>
          <w:rFonts w:ascii="Times New Roman" w:hAnsi="Times New Roman" w:cs="Times New Roman"/>
          <w:color w:val="56A4D5" w:themeColor="accent2" w:themeShade="BF"/>
          <w:sz w:val="32"/>
          <w:szCs w:val="32"/>
        </w:rPr>
      </w:pPr>
    </w:p>
    <w:p w14:paraId="54CCA47F" w14:textId="77777777" w:rsidR="00B562BA" w:rsidRDefault="00B562BA" w:rsidP="00003324">
      <w:pPr>
        <w:rPr>
          <w:rFonts w:ascii="Times New Roman" w:hAnsi="Times New Roman" w:cs="Times New Roman"/>
          <w:color w:val="56A4D5" w:themeColor="accent2" w:themeShade="BF"/>
          <w:sz w:val="32"/>
          <w:szCs w:val="32"/>
        </w:rPr>
      </w:pPr>
    </w:p>
    <w:p w14:paraId="49CF7F1E" w14:textId="77777777" w:rsidR="00B562BA" w:rsidRDefault="00B562BA" w:rsidP="00003324">
      <w:pPr>
        <w:rPr>
          <w:rFonts w:ascii="Times New Roman" w:hAnsi="Times New Roman" w:cs="Times New Roman"/>
          <w:color w:val="56A4D5" w:themeColor="accent2" w:themeShade="BF"/>
          <w:sz w:val="32"/>
          <w:szCs w:val="32"/>
        </w:rPr>
      </w:pPr>
    </w:p>
    <w:p w14:paraId="384C79B7" w14:textId="77777777" w:rsidR="00B562BA" w:rsidRDefault="00B562BA" w:rsidP="00003324">
      <w:pPr>
        <w:rPr>
          <w:rFonts w:ascii="Times New Roman" w:hAnsi="Times New Roman" w:cs="Times New Roman"/>
          <w:color w:val="56A4D5" w:themeColor="accent2" w:themeShade="BF"/>
          <w:sz w:val="32"/>
          <w:szCs w:val="32"/>
        </w:rPr>
      </w:pPr>
    </w:p>
    <w:p w14:paraId="3834448A" w14:textId="02F212DE" w:rsidR="00003324" w:rsidRDefault="004448A6" w:rsidP="00B562BA">
      <w:pPr>
        <w:jc w:val="center"/>
        <w:rPr>
          <w:rFonts w:ascii="Times New Roman" w:hAnsi="Times New Roman" w:cs="Times New Roman"/>
          <w:color w:val="000000" w:themeColor="text1"/>
          <w:sz w:val="32"/>
          <w:szCs w:val="32"/>
        </w:rPr>
      </w:pPr>
      <w:r w:rsidRPr="00823B9D">
        <w:rPr>
          <w:rFonts w:ascii="Times New Roman" w:hAnsi="Times New Roman" w:cs="Times New Roman"/>
          <w:color w:val="000000" w:themeColor="text1"/>
          <w:sz w:val="32"/>
          <w:szCs w:val="32"/>
        </w:rPr>
        <w:t>Demand-</w:t>
      </w:r>
      <w:r w:rsidR="00823B9D">
        <w:rPr>
          <w:rFonts w:ascii="Times New Roman" w:hAnsi="Times New Roman" w:cs="Times New Roman"/>
          <w:color w:val="000000" w:themeColor="text1"/>
          <w:sz w:val="32"/>
          <w:szCs w:val="32"/>
        </w:rPr>
        <w:t>S</w:t>
      </w:r>
      <w:r w:rsidRPr="00823B9D">
        <w:rPr>
          <w:rFonts w:ascii="Times New Roman" w:hAnsi="Times New Roman" w:cs="Times New Roman"/>
          <w:color w:val="000000" w:themeColor="text1"/>
          <w:sz w:val="32"/>
          <w:szCs w:val="32"/>
        </w:rPr>
        <w:t>ide Energy Efficiency Technical Support Document</w:t>
      </w:r>
    </w:p>
    <w:p w14:paraId="1BCA790F" w14:textId="419306F3" w:rsidR="004A61E1" w:rsidRPr="00823B9D" w:rsidRDefault="004A61E1" w:rsidP="00B562BA">
      <w:pPr>
        <w:jc w:val="center"/>
        <w:rPr>
          <w:rFonts w:ascii="Times New Roman" w:hAnsi="Times New Roman" w:cs="Times New Roman"/>
          <w:b/>
          <w:color w:val="000000" w:themeColor="text1"/>
          <w:sz w:val="32"/>
          <w:szCs w:val="32"/>
        </w:rPr>
      </w:pPr>
      <w:r>
        <w:rPr>
          <w:rFonts w:ascii="Times New Roman" w:hAnsi="Times New Roman" w:cs="Times New Roman"/>
          <w:color w:val="000000" w:themeColor="text1"/>
          <w:sz w:val="32"/>
          <w:szCs w:val="32"/>
        </w:rPr>
        <w:t>August 2015</w:t>
      </w:r>
    </w:p>
    <w:p w14:paraId="599D1C5D" w14:textId="77777777" w:rsidR="00003324" w:rsidRDefault="00003324" w:rsidP="00003324">
      <w:pPr>
        <w:rPr>
          <w:rFonts w:ascii="Times New Roman" w:hAnsi="Times New Roman" w:cs="Times New Roman"/>
          <w:b/>
          <w:sz w:val="28"/>
          <w:szCs w:val="28"/>
        </w:rPr>
      </w:pPr>
    </w:p>
    <w:p w14:paraId="24AEEB97" w14:textId="16EA7972" w:rsidR="00003324" w:rsidRDefault="00003324" w:rsidP="00003324">
      <w:pPr>
        <w:tabs>
          <w:tab w:val="left" w:pos="5146"/>
        </w:tabs>
        <w:rPr>
          <w:rFonts w:ascii="Times New Roman" w:hAnsi="Times New Roman" w:cs="Times New Roman"/>
          <w:b/>
          <w:sz w:val="28"/>
          <w:szCs w:val="28"/>
        </w:rPr>
      </w:pPr>
    </w:p>
    <w:p w14:paraId="6590D8B8" w14:textId="77777777" w:rsidR="00003324" w:rsidRDefault="00003324" w:rsidP="00003324">
      <w:pPr>
        <w:rPr>
          <w:rFonts w:ascii="Times New Roman" w:hAnsi="Times New Roman" w:cs="Times New Roman"/>
          <w:b/>
          <w:sz w:val="28"/>
          <w:szCs w:val="28"/>
        </w:rPr>
      </w:pPr>
    </w:p>
    <w:p w14:paraId="00D6F505" w14:textId="77777777" w:rsidR="00003324" w:rsidRDefault="00003324" w:rsidP="00003324">
      <w:pPr>
        <w:rPr>
          <w:rFonts w:ascii="Times New Roman" w:hAnsi="Times New Roman" w:cs="Times New Roman"/>
          <w:b/>
          <w:sz w:val="28"/>
          <w:szCs w:val="28"/>
        </w:rPr>
      </w:pPr>
    </w:p>
    <w:p w14:paraId="09B52A7A" w14:textId="77777777" w:rsidR="00003324" w:rsidRDefault="00003324">
      <w:pPr>
        <w:spacing w:after="200" w:line="276" w:lineRule="auto"/>
        <w:rPr>
          <w:rFonts w:ascii="Times New Roman" w:hAnsi="Times New Roman" w:cs="Times New Roman"/>
          <w:b/>
          <w:sz w:val="28"/>
          <w:szCs w:val="28"/>
        </w:rPr>
        <w:sectPr w:rsidR="00003324" w:rsidSect="00C50014">
          <w:footerReference w:type="even" r:id="rId9"/>
          <w:footerReference w:type="default" r:id="rId10"/>
          <w:endnotePr>
            <w:numFmt w:val="lowerLetter"/>
            <w:numRestart w:val="eachSect"/>
          </w:endnotePr>
          <w:type w:val="oddPage"/>
          <w:pgSz w:w="12240" w:h="15840" w:code="1"/>
          <w:pgMar w:top="1440" w:right="1440" w:bottom="1440" w:left="1440" w:header="720" w:footer="720" w:gutter="0"/>
          <w:pgNumType w:fmt="lowerRoman" w:start="1"/>
          <w:cols w:space="720"/>
          <w:docGrid w:linePitch="360"/>
        </w:sectPr>
      </w:pPr>
      <w:bookmarkStart w:id="0" w:name="_GoBack"/>
      <w:bookmarkEnd w:id="0"/>
    </w:p>
    <w:p w14:paraId="125E3F84" w14:textId="4A449360" w:rsidR="00B86541" w:rsidRDefault="0091274B" w:rsidP="0091274B">
      <w:pPr>
        <w:jc w:val="center"/>
        <w:rPr>
          <w:rFonts w:ascii="Times New Roman" w:hAnsi="Times New Roman" w:cs="Times New Roman"/>
          <w:b/>
          <w:sz w:val="28"/>
          <w:szCs w:val="28"/>
        </w:rPr>
      </w:pPr>
      <w:r w:rsidRPr="0091274B">
        <w:rPr>
          <w:rFonts w:ascii="Times New Roman" w:hAnsi="Times New Roman" w:cs="Times New Roman"/>
          <w:b/>
          <w:sz w:val="28"/>
          <w:szCs w:val="28"/>
        </w:rPr>
        <w:lastRenderedPageBreak/>
        <w:t>Contents</w:t>
      </w:r>
    </w:p>
    <w:p w14:paraId="44B75FDA" w14:textId="77777777" w:rsidR="002D59E1" w:rsidRDefault="002D59E1" w:rsidP="002D59E1"/>
    <w:p w14:paraId="76E4A645" w14:textId="3CCBA63E" w:rsidR="004448A6" w:rsidRPr="0097443E" w:rsidRDefault="004448A6" w:rsidP="004448A6">
      <w:pPr>
        <w:jc w:val="right"/>
        <w:rPr>
          <w:rFonts w:ascii="Times New Roman" w:hAnsi="Times New Roman" w:cs="Times New Roman"/>
          <w:b/>
          <w:sz w:val="24"/>
          <w:szCs w:val="24"/>
        </w:rPr>
      </w:pPr>
      <w:r w:rsidRPr="0097443E">
        <w:rPr>
          <w:rFonts w:ascii="Times New Roman" w:hAnsi="Times New Roman" w:cs="Times New Roman"/>
          <w:b/>
          <w:sz w:val="24"/>
          <w:szCs w:val="24"/>
        </w:rPr>
        <w:t>Page</w:t>
      </w:r>
    </w:p>
    <w:p w14:paraId="7A4A5173" w14:textId="77777777" w:rsidR="00B66212" w:rsidRDefault="00B562BA">
      <w:pPr>
        <w:pStyle w:val="TOC1"/>
        <w:rPr>
          <w:rFonts w:asciiTheme="minorHAnsi" w:eastAsiaTheme="minorEastAsia" w:hAnsiTheme="minorHAnsi"/>
          <w:b w:val="0"/>
          <w:noProof/>
          <w:sz w:val="22"/>
        </w:rPr>
      </w:pPr>
      <w:r>
        <w:rPr>
          <w:b w:val="0"/>
        </w:rPr>
        <w:fldChar w:fldCharType="begin"/>
      </w:r>
      <w:r>
        <w:rPr>
          <w:b w:val="0"/>
        </w:rPr>
        <w:instrText xml:space="preserve"> TOC \o "3-4" \h \z \t "Heading 1,1,Heading 2,2,Heading 1 (not numbered),1" </w:instrText>
      </w:r>
      <w:r>
        <w:rPr>
          <w:b w:val="0"/>
        </w:rPr>
        <w:fldChar w:fldCharType="separate"/>
      </w:r>
      <w:hyperlink w:anchor="_Toc424721524" w:history="1">
        <w:r w:rsidR="00B66212" w:rsidRPr="0063399B">
          <w:rPr>
            <w:rStyle w:val="Hyperlink"/>
            <w:noProof/>
          </w:rPr>
          <w:t>List of Figures</w:t>
        </w:r>
        <w:r w:rsidR="00B66212">
          <w:rPr>
            <w:noProof/>
            <w:webHidden/>
          </w:rPr>
          <w:tab/>
        </w:r>
        <w:r w:rsidR="00B66212">
          <w:rPr>
            <w:noProof/>
            <w:webHidden/>
          </w:rPr>
          <w:fldChar w:fldCharType="begin"/>
        </w:r>
        <w:r w:rsidR="00B66212">
          <w:rPr>
            <w:noProof/>
            <w:webHidden/>
          </w:rPr>
          <w:instrText xml:space="preserve"> PAGEREF _Toc424721524 \h </w:instrText>
        </w:r>
        <w:r w:rsidR="00B66212">
          <w:rPr>
            <w:noProof/>
            <w:webHidden/>
          </w:rPr>
        </w:r>
        <w:r w:rsidR="00B66212">
          <w:rPr>
            <w:noProof/>
            <w:webHidden/>
          </w:rPr>
          <w:fldChar w:fldCharType="separate"/>
        </w:r>
        <w:r w:rsidR="00A8218A">
          <w:rPr>
            <w:noProof/>
            <w:webHidden/>
          </w:rPr>
          <w:t>v</w:t>
        </w:r>
        <w:r w:rsidR="00B66212">
          <w:rPr>
            <w:noProof/>
            <w:webHidden/>
          </w:rPr>
          <w:fldChar w:fldCharType="end"/>
        </w:r>
      </w:hyperlink>
    </w:p>
    <w:p w14:paraId="1023AE9A" w14:textId="77777777" w:rsidR="00B66212" w:rsidRDefault="004A61E1">
      <w:pPr>
        <w:pStyle w:val="TOC1"/>
        <w:rPr>
          <w:rFonts w:asciiTheme="minorHAnsi" w:eastAsiaTheme="minorEastAsia" w:hAnsiTheme="minorHAnsi"/>
          <w:b w:val="0"/>
          <w:noProof/>
          <w:sz w:val="22"/>
        </w:rPr>
      </w:pPr>
      <w:hyperlink w:anchor="_Toc424721525" w:history="1">
        <w:r w:rsidR="00B66212" w:rsidRPr="0063399B">
          <w:rPr>
            <w:rStyle w:val="Hyperlink"/>
            <w:noProof/>
          </w:rPr>
          <w:t>List of Tables</w:t>
        </w:r>
        <w:r w:rsidR="00B66212">
          <w:rPr>
            <w:noProof/>
            <w:webHidden/>
          </w:rPr>
          <w:tab/>
        </w:r>
        <w:r w:rsidR="00B66212">
          <w:rPr>
            <w:noProof/>
            <w:webHidden/>
          </w:rPr>
          <w:fldChar w:fldCharType="begin"/>
        </w:r>
        <w:r w:rsidR="00B66212">
          <w:rPr>
            <w:noProof/>
            <w:webHidden/>
          </w:rPr>
          <w:instrText xml:space="preserve"> PAGEREF _Toc424721525 \h </w:instrText>
        </w:r>
        <w:r w:rsidR="00B66212">
          <w:rPr>
            <w:noProof/>
            <w:webHidden/>
          </w:rPr>
        </w:r>
        <w:r w:rsidR="00B66212">
          <w:rPr>
            <w:noProof/>
            <w:webHidden/>
          </w:rPr>
          <w:fldChar w:fldCharType="separate"/>
        </w:r>
        <w:r w:rsidR="00A8218A">
          <w:rPr>
            <w:noProof/>
            <w:webHidden/>
          </w:rPr>
          <w:t>v</w:t>
        </w:r>
        <w:r w:rsidR="00B66212">
          <w:rPr>
            <w:noProof/>
            <w:webHidden/>
          </w:rPr>
          <w:fldChar w:fldCharType="end"/>
        </w:r>
      </w:hyperlink>
    </w:p>
    <w:p w14:paraId="43EE0D4E" w14:textId="77777777" w:rsidR="00B66212" w:rsidRDefault="004A61E1">
      <w:pPr>
        <w:pStyle w:val="TOC1"/>
        <w:rPr>
          <w:rFonts w:asciiTheme="minorHAnsi" w:eastAsiaTheme="minorEastAsia" w:hAnsiTheme="minorHAnsi"/>
          <w:b w:val="0"/>
          <w:noProof/>
          <w:sz w:val="22"/>
        </w:rPr>
      </w:pPr>
      <w:hyperlink w:anchor="_Toc424721526" w:history="1">
        <w:r w:rsidR="00B66212" w:rsidRPr="0063399B">
          <w:rPr>
            <w:rStyle w:val="Hyperlink"/>
            <w:noProof/>
          </w:rPr>
          <w:t>1.</w:t>
        </w:r>
        <w:r w:rsidR="00B66212">
          <w:rPr>
            <w:rFonts w:asciiTheme="minorHAnsi" w:eastAsiaTheme="minorEastAsia" w:hAnsiTheme="minorHAnsi"/>
            <w:b w:val="0"/>
            <w:noProof/>
            <w:sz w:val="22"/>
          </w:rPr>
          <w:tab/>
        </w:r>
        <w:r w:rsidR="00B66212" w:rsidRPr="0063399B">
          <w:rPr>
            <w:rStyle w:val="Hyperlink"/>
            <w:noProof/>
          </w:rPr>
          <w:t>Introduction</w:t>
        </w:r>
        <w:r w:rsidR="00B66212">
          <w:rPr>
            <w:noProof/>
            <w:webHidden/>
          </w:rPr>
          <w:tab/>
        </w:r>
        <w:r w:rsidR="00B66212">
          <w:rPr>
            <w:noProof/>
            <w:webHidden/>
          </w:rPr>
          <w:fldChar w:fldCharType="begin"/>
        </w:r>
        <w:r w:rsidR="00B66212">
          <w:rPr>
            <w:noProof/>
            <w:webHidden/>
          </w:rPr>
          <w:instrText xml:space="preserve"> PAGEREF _Toc424721526 \h </w:instrText>
        </w:r>
        <w:r w:rsidR="00B66212">
          <w:rPr>
            <w:noProof/>
            <w:webHidden/>
          </w:rPr>
        </w:r>
        <w:r w:rsidR="00B66212">
          <w:rPr>
            <w:noProof/>
            <w:webHidden/>
          </w:rPr>
          <w:fldChar w:fldCharType="separate"/>
        </w:r>
        <w:r w:rsidR="00A8218A">
          <w:rPr>
            <w:noProof/>
            <w:webHidden/>
          </w:rPr>
          <w:t>1</w:t>
        </w:r>
        <w:r w:rsidR="00B66212">
          <w:rPr>
            <w:noProof/>
            <w:webHidden/>
          </w:rPr>
          <w:fldChar w:fldCharType="end"/>
        </w:r>
      </w:hyperlink>
    </w:p>
    <w:p w14:paraId="1E814E7E" w14:textId="77777777" w:rsidR="00B66212" w:rsidRDefault="004A61E1">
      <w:pPr>
        <w:pStyle w:val="TOC1"/>
        <w:rPr>
          <w:rFonts w:asciiTheme="minorHAnsi" w:eastAsiaTheme="minorEastAsia" w:hAnsiTheme="minorHAnsi"/>
          <w:b w:val="0"/>
          <w:noProof/>
          <w:sz w:val="22"/>
        </w:rPr>
      </w:pPr>
      <w:hyperlink w:anchor="_Toc424721527" w:history="1">
        <w:r w:rsidR="00B66212" w:rsidRPr="0063399B">
          <w:rPr>
            <w:rStyle w:val="Hyperlink"/>
            <w:noProof/>
          </w:rPr>
          <w:t>2.</w:t>
        </w:r>
        <w:r w:rsidR="00B66212">
          <w:rPr>
            <w:rFonts w:asciiTheme="minorHAnsi" w:eastAsiaTheme="minorEastAsia" w:hAnsiTheme="minorHAnsi"/>
            <w:b w:val="0"/>
            <w:noProof/>
            <w:sz w:val="22"/>
          </w:rPr>
          <w:tab/>
        </w:r>
        <w:r w:rsidR="00B66212" w:rsidRPr="0063399B">
          <w:rPr>
            <w:rStyle w:val="Hyperlink"/>
            <w:noProof/>
          </w:rPr>
          <w:t>Background</w:t>
        </w:r>
        <w:r w:rsidR="00B66212">
          <w:rPr>
            <w:noProof/>
            <w:webHidden/>
          </w:rPr>
          <w:tab/>
        </w:r>
        <w:r w:rsidR="00B66212">
          <w:rPr>
            <w:noProof/>
            <w:webHidden/>
          </w:rPr>
          <w:fldChar w:fldCharType="begin"/>
        </w:r>
        <w:r w:rsidR="00B66212">
          <w:rPr>
            <w:noProof/>
            <w:webHidden/>
          </w:rPr>
          <w:instrText xml:space="preserve"> PAGEREF _Toc424721527 \h </w:instrText>
        </w:r>
        <w:r w:rsidR="00B66212">
          <w:rPr>
            <w:noProof/>
            <w:webHidden/>
          </w:rPr>
        </w:r>
        <w:r w:rsidR="00B66212">
          <w:rPr>
            <w:noProof/>
            <w:webHidden/>
          </w:rPr>
          <w:fldChar w:fldCharType="separate"/>
        </w:r>
        <w:r w:rsidR="00A8218A">
          <w:rPr>
            <w:noProof/>
            <w:webHidden/>
          </w:rPr>
          <w:t>1</w:t>
        </w:r>
        <w:r w:rsidR="00B66212">
          <w:rPr>
            <w:noProof/>
            <w:webHidden/>
          </w:rPr>
          <w:fldChar w:fldCharType="end"/>
        </w:r>
      </w:hyperlink>
    </w:p>
    <w:p w14:paraId="61ACF37D" w14:textId="77777777" w:rsidR="00B66212" w:rsidRDefault="004A61E1">
      <w:pPr>
        <w:pStyle w:val="TOC2"/>
        <w:rPr>
          <w:rFonts w:asciiTheme="minorHAnsi" w:hAnsiTheme="minorHAnsi"/>
          <w:noProof/>
          <w:sz w:val="22"/>
        </w:rPr>
      </w:pPr>
      <w:hyperlink w:anchor="_Toc424721528" w:history="1">
        <w:r w:rsidR="00B66212" w:rsidRPr="0063399B">
          <w:rPr>
            <w:rStyle w:val="Hyperlink"/>
            <w:noProof/>
          </w:rPr>
          <w:t>2.1</w:t>
        </w:r>
        <w:r w:rsidR="00B66212">
          <w:rPr>
            <w:rFonts w:asciiTheme="minorHAnsi" w:hAnsiTheme="minorHAnsi"/>
            <w:noProof/>
            <w:sz w:val="22"/>
          </w:rPr>
          <w:tab/>
        </w:r>
        <w:r w:rsidR="00B66212" w:rsidRPr="0063399B">
          <w:rPr>
            <w:rStyle w:val="Hyperlink"/>
            <w:noProof/>
          </w:rPr>
          <w:t>EE Technologies and Practices</w:t>
        </w:r>
        <w:r w:rsidR="00B66212">
          <w:rPr>
            <w:noProof/>
            <w:webHidden/>
          </w:rPr>
          <w:tab/>
        </w:r>
        <w:r w:rsidR="00B66212">
          <w:rPr>
            <w:noProof/>
            <w:webHidden/>
          </w:rPr>
          <w:fldChar w:fldCharType="begin"/>
        </w:r>
        <w:r w:rsidR="00B66212">
          <w:rPr>
            <w:noProof/>
            <w:webHidden/>
          </w:rPr>
          <w:instrText xml:space="preserve"> PAGEREF _Toc424721528 \h </w:instrText>
        </w:r>
        <w:r w:rsidR="00B66212">
          <w:rPr>
            <w:noProof/>
            <w:webHidden/>
          </w:rPr>
        </w:r>
        <w:r w:rsidR="00B66212">
          <w:rPr>
            <w:noProof/>
            <w:webHidden/>
          </w:rPr>
          <w:fldChar w:fldCharType="separate"/>
        </w:r>
        <w:r w:rsidR="00A8218A">
          <w:rPr>
            <w:noProof/>
            <w:webHidden/>
          </w:rPr>
          <w:t>2</w:t>
        </w:r>
        <w:r w:rsidR="00B66212">
          <w:rPr>
            <w:noProof/>
            <w:webHidden/>
          </w:rPr>
          <w:fldChar w:fldCharType="end"/>
        </w:r>
      </w:hyperlink>
    </w:p>
    <w:p w14:paraId="4305F9B2" w14:textId="77777777" w:rsidR="00B66212" w:rsidRDefault="004A61E1">
      <w:pPr>
        <w:pStyle w:val="TOC2"/>
        <w:rPr>
          <w:rFonts w:asciiTheme="minorHAnsi" w:hAnsiTheme="minorHAnsi"/>
          <w:noProof/>
          <w:sz w:val="22"/>
        </w:rPr>
      </w:pPr>
      <w:hyperlink w:anchor="_Toc424721529" w:history="1">
        <w:r w:rsidR="00B66212" w:rsidRPr="0063399B">
          <w:rPr>
            <w:rStyle w:val="Hyperlink"/>
            <w:noProof/>
          </w:rPr>
          <w:t>2.2</w:t>
        </w:r>
        <w:r w:rsidR="00B66212">
          <w:rPr>
            <w:rFonts w:asciiTheme="minorHAnsi" w:hAnsiTheme="minorHAnsi"/>
            <w:noProof/>
            <w:sz w:val="22"/>
          </w:rPr>
          <w:tab/>
        </w:r>
        <w:r w:rsidR="00B66212" w:rsidRPr="0063399B">
          <w:rPr>
            <w:rStyle w:val="Hyperlink"/>
            <w:noProof/>
          </w:rPr>
          <w:t>Barriers to EE Investment</w:t>
        </w:r>
        <w:r w:rsidR="00B66212">
          <w:rPr>
            <w:noProof/>
            <w:webHidden/>
          </w:rPr>
          <w:tab/>
        </w:r>
        <w:r w:rsidR="00B66212">
          <w:rPr>
            <w:noProof/>
            <w:webHidden/>
          </w:rPr>
          <w:fldChar w:fldCharType="begin"/>
        </w:r>
        <w:r w:rsidR="00B66212">
          <w:rPr>
            <w:noProof/>
            <w:webHidden/>
          </w:rPr>
          <w:instrText xml:space="preserve"> PAGEREF _Toc424721529 \h </w:instrText>
        </w:r>
        <w:r w:rsidR="00B66212">
          <w:rPr>
            <w:noProof/>
            <w:webHidden/>
          </w:rPr>
        </w:r>
        <w:r w:rsidR="00B66212">
          <w:rPr>
            <w:noProof/>
            <w:webHidden/>
          </w:rPr>
          <w:fldChar w:fldCharType="separate"/>
        </w:r>
        <w:r w:rsidR="00A8218A">
          <w:rPr>
            <w:noProof/>
            <w:webHidden/>
          </w:rPr>
          <w:t>3</w:t>
        </w:r>
        <w:r w:rsidR="00B66212">
          <w:rPr>
            <w:noProof/>
            <w:webHidden/>
          </w:rPr>
          <w:fldChar w:fldCharType="end"/>
        </w:r>
      </w:hyperlink>
    </w:p>
    <w:p w14:paraId="57490218" w14:textId="77777777" w:rsidR="00B66212" w:rsidRDefault="004A61E1">
      <w:pPr>
        <w:pStyle w:val="TOC2"/>
        <w:rPr>
          <w:rFonts w:asciiTheme="minorHAnsi" w:hAnsiTheme="minorHAnsi"/>
          <w:noProof/>
          <w:sz w:val="22"/>
        </w:rPr>
      </w:pPr>
      <w:hyperlink w:anchor="_Toc424721530" w:history="1">
        <w:r w:rsidR="00B66212" w:rsidRPr="0063399B">
          <w:rPr>
            <w:rStyle w:val="Hyperlink"/>
            <w:noProof/>
          </w:rPr>
          <w:t>2.3</w:t>
        </w:r>
        <w:r w:rsidR="00B66212">
          <w:rPr>
            <w:rFonts w:asciiTheme="minorHAnsi" w:hAnsiTheme="minorHAnsi"/>
            <w:noProof/>
            <w:sz w:val="22"/>
          </w:rPr>
          <w:tab/>
        </w:r>
        <w:r w:rsidR="00B66212" w:rsidRPr="0063399B">
          <w:rPr>
            <w:rStyle w:val="Hyperlink"/>
            <w:noProof/>
          </w:rPr>
          <w:t>EE Policies</w:t>
        </w:r>
        <w:r w:rsidR="00B66212">
          <w:rPr>
            <w:noProof/>
            <w:webHidden/>
          </w:rPr>
          <w:tab/>
        </w:r>
        <w:r w:rsidR="00B66212">
          <w:rPr>
            <w:noProof/>
            <w:webHidden/>
          </w:rPr>
          <w:fldChar w:fldCharType="begin"/>
        </w:r>
        <w:r w:rsidR="00B66212">
          <w:rPr>
            <w:noProof/>
            <w:webHidden/>
          </w:rPr>
          <w:instrText xml:space="preserve"> PAGEREF _Toc424721530 \h </w:instrText>
        </w:r>
        <w:r w:rsidR="00B66212">
          <w:rPr>
            <w:noProof/>
            <w:webHidden/>
          </w:rPr>
        </w:r>
        <w:r w:rsidR="00B66212">
          <w:rPr>
            <w:noProof/>
            <w:webHidden/>
          </w:rPr>
          <w:fldChar w:fldCharType="separate"/>
        </w:r>
        <w:r w:rsidR="00A8218A">
          <w:rPr>
            <w:noProof/>
            <w:webHidden/>
          </w:rPr>
          <w:t>5</w:t>
        </w:r>
        <w:r w:rsidR="00B66212">
          <w:rPr>
            <w:noProof/>
            <w:webHidden/>
          </w:rPr>
          <w:fldChar w:fldCharType="end"/>
        </w:r>
      </w:hyperlink>
    </w:p>
    <w:p w14:paraId="26E24A28" w14:textId="77777777" w:rsidR="00B66212" w:rsidRDefault="004A61E1">
      <w:pPr>
        <w:pStyle w:val="TOC3"/>
        <w:rPr>
          <w:rFonts w:asciiTheme="minorHAnsi" w:hAnsiTheme="minorHAnsi"/>
          <w:noProof/>
          <w:sz w:val="22"/>
        </w:rPr>
      </w:pPr>
      <w:hyperlink w:anchor="_Toc424721531" w:history="1">
        <w:r w:rsidR="00B66212" w:rsidRPr="0063399B">
          <w:rPr>
            <w:rStyle w:val="Hyperlink"/>
            <w:noProof/>
          </w:rPr>
          <w:t>2.3.1</w:t>
        </w:r>
        <w:r w:rsidR="00B66212">
          <w:rPr>
            <w:rFonts w:asciiTheme="minorHAnsi" w:hAnsiTheme="minorHAnsi"/>
            <w:noProof/>
            <w:sz w:val="22"/>
          </w:rPr>
          <w:tab/>
        </w:r>
        <w:r w:rsidR="00B66212" w:rsidRPr="0063399B">
          <w:rPr>
            <w:rStyle w:val="Hyperlink"/>
            <w:noProof/>
          </w:rPr>
          <w:t>Objectives and Role in Reducing CO</w:t>
        </w:r>
        <w:r w:rsidR="00B66212" w:rsidRPr="0063399B">
          <w:rPr>
            <w:rStyle w:val="Hyperlink"/>
            <w:noProof/>
            <w:vertAlign w:val="subscript"/>
          </w:rPr>
          <w:t>2</w:t>
        </w:r>
        <w:r w:rsidR="00B66212" w:rsidRPr="0063399B">
          <w:rPr>
            <w:rStyle w:val="Hyperlink"/>
            <w:noProof/>
          </w:rPr>
          <w:t xml:space="preserve"> Emissions from the Power Sector</w:t>
        </w:r>
        <w:r w:rsidR="00B66212">
          <w:rPr>
            <w:noProof/>
            <w:webHidden/>
          </w:rPr>
          <w:tab/>
        </w:r>
        <w:r w:rsidR="00B66212">
          <w:rPr>
            <w:noProof/>
            <w:webHidden/>
          </w:rPr>
          <w:fldChar w:fldCharType="begin"/>
        </w:r>
        <w:r w:rsidR="00B66212">
          <w:rPr>
            <w:noProof/>
            <w:webHidden/>
          </w:rPr>
          <w:instrText xml:space="preserve"> PAGEREF _Toc424721531 \h </w:instrText>
        </w:r>
        <w:r w:rsidR="00B66212">
          <w:rPr>
            <w:noProof/>
            <w:webHidden/>
          </w:rPr>
        </w:r>
        <w:r w:rsidR="00B66212">
          <w:rPr>
            <w:noProof/>
            <w:webHidden/>
          </w:rPr>
          <w:fldChar w:fldCharType="separate"/>
        </w:r>
        <w:r w:rsidR="00A8218A">
          <w:rPr>
            <w:noProof/>
            <w:webHidden/>
          </w:rPr>
          <w:t>5</w:t>
        </w:r>
        <w:r w:rsidR="00B66212">
          <w:rPr>
            <w:noProof/>
            <w:webHidden/>
          </w:rPr>
          <w:fldChar w:fldCharType="end"/>
        </w:r>
      </w:hyperlink>
    </w:p>
    <w:p w14:paraId="5243A889" w14:textId="77777777" w:rsidR="00B66212" w:rsidRDefault="004A61E1">
      <w:pPr>
        <w:pStyle w:val="TOC3"/>
        <w:rPr>
          <w:rFonts w:asciiTheme="minorHAnsi" w:hAnsiTheme="minorHAnsi"/>
          <w:noProof/>
          <w:sz w:val="22"/>
        </w:rPr>
      </w:pPr>
      <w:hyperlink w:anchor="_Toc424721532" w:history="1">
        <w:r w:rsidR="00B66212" w:rsidRPr="0063399B">
          <w:rPr>
            <w:rStyle w:val="Hyperlink"/>
            <w:noProof/>
          </w:rPr>
          <w:t>2.3.2</w:t>
        </w:r>
        <w:r w:rsidR="00B66212">
          <w:rPr>
            <w:rFonts w:asciiTheme="minorHAnsi" w:hAnsiTheme="minorHAnsi"/>
            <w:noProof/>
            <w:sz w:val="22"/>
          </w:rPr>
          <w:tab/>
        </w:r>
        <w:r w:rsidR="00B66212" w:rsidRPr="0063399B">
          <w:rPr>
            <w:rStyle w:val="Hyperlink"/>
            <w:noProof/>
          </w:rPr>
          <w:t>Policy Types</w:t>
        </w:r>
        <w:r w:rsidR="00B66212">
          <w:rPr>
            <w:noProof/>
            <w:webHidden/>
          </w:rPr>
          <w:tab/>
        </w:r>
        <w:r w:rsidR="00B66212">
          <w:rPr>
            <w:noProof/>
            <w:webHidden/>
          </w:rPr>
          <w:fldChar w:fldCharType="begin"/>
        </w:r>
        <w:r w:rsidR="00B66212">
          <w:rPr>
            <w:noProof/>
            <w:webHidden/>
          </w:rPr>
          <w:instrText xml:space="preserve"> PAGEREF _Toc424721532 \h </w:instrText>
        </w:r>
        <w:r w:rsidR="00B66212">
          <w:rPr>
            <w:noProof/>
            <w:webHidden/>
          </w:rPr>
        </w:r>
        <w:r w:rsidR="00B66212">
          <w:rPr>
            <w:noProof/>
            <w:webHidden/>
          </w:rPr>
          <w:fldChar w:fldCharType="separate"/>
        </w:r>
        <w:r w:rsidR="00A8218A">
          <w:rPr>
            <w:noProof/>
            <w:webHidden/>
          </w:rPr>
          <w:t>7</w:t>
        </w:r>
        <w:r w:rsidR="00B66212">
          <w:rPr>
            <w:noProof/>
            <w:webHidden/>
          </w:rPr>
          <w:fldChar w:fldCharType="end"/>
        </w:r>
      </w:hyperlink>
    </w:p>
    <w:p w14:paraId="08A57EF8" w14:textId="77777777" w:rsidR="00B66212" w:rsidRDefault="004A61E1">
      <w:pPr>
        <w:pStyle w:val="TOC1"/>
        <w:rPr>
          <w:rFonts w:asciiTheme="minorHAnsi" w:eastAsiaTheme="minorEastAsia" w:hAnsiTheme="minorHAnsi"/>
          <w:b w:val="0"/>
          <w:noProof/>
          <w:sz w:val="22"/>
        </w:rPr>
      </w:pPr>
      <w:hyperlink w:anchor="_Toc424721533" w:history="1">
        <w:r w:rsidR="00B66212" w:rsidRPr="0063399B">
          <w:rPr>
            <w:rStyle w:val="Hyperlink"/>
            <w:noProof/>
          </w:rPr>
          <w:t>3.</w:t>
        </w:r>
        <w:r w:rsidR="00B66212">
          <w:rPr>
            <w:rFonts w:asciiTheme="minorHAnsi" w:eastAsiaTheme="minorEastAsia" w:hAnsiTheme="minorHAnsi"/>
            <w:b w:val="0"/>
            <w:noProof/>
            <w:sz w:val="22"/>
          </w:rPr>
          <w:tab/>
        </w:r>
        <w:r w:rsidR="00B66212" w:rsidRPr="0063399B">
          <w:rPr>
            <w:rStyle w:val="Hyperlink"/>
            <w:noProof/>
          </w:rPr>
          <w:t>History of EE Policies in the United States</w:t>
        </w:r>
        <w:r w:rsidR="00B66212">
          <w:rPr>
            <w:noProof/>
            <w:webHidden/>
          </w:rPr>
          <w:tab/>
        </w:r>
        <w:r w:rsidR="00B66212">
          <w:rPr>
            <w:noProof/>
            <w:webHidden/>
          </w:rPr>
          <w:fldChar w:fldCharType="begin"/>
        </w:r>
        <w:r w:rsidR="00B66212">
          <w:rPr>
            <w:noProof/>
            <w:webHidden/>
          </w:rPr>
          <w:instrText xml:space="preserve"> PAGEREF _Toc424721533 \h </w:instrText>
        </w:r>
        <w:r w:rsidR="00B66212">
          <w:rPr>
            <w:noProof/>
            <w:webHidden/>
          </w:rPr>
        </w:r>
        <w:r w:rsidR="00B66212">
          <w:rPr>
            <w:noProof/>
            <w:webHidden/>
          </w:rPr>
          <w:fldChar w:fldCharType="separate"/>
        </w:r>
        <w:r w:rsidR="00A8218A">
          <w:rPr>
            <w:noProof/>
            <w:webHidden/>
          </w:rPr>
          <w:t>9</w:t>
        </w:r>
        <w:r w:rsidR="00B66212">
          <w:rPr>
            <w:noProof/>
            <w:webHidden/>
          </w:rPr>
          <w:fldChar w:fldCharType="end"/>
        </w:r>
      </w:hyperlink>
    </w:p>
    <w:p w14:paraId="5004927C" w14:textId="77777777" w:rsidR="00B66212" w:rsidRDefault="004A61E1">
      <w:pPr>
        <w:pStyle w:val="TOC1"/>
        <w:rPr>
          <w:rFonts w:asciiTheme="minorHAnsi" w:eastAsiaTheme="minorEastAsia" w:hAnsiTheme="minorHAnsi"/>
          <w:b w:val="0"/>
          <w:noProof/>
          <w:sz w:val="22"/>
        </w:rPr>
      </w:pPr>
      <w:hyperlink w:anchor="_Toc424721534" w:history="1">
        <w:r w:rsidR="00B66212" w:rsidRPr="0063399B">
          <w:rPr>
            <w:rStyle w:val="Hyperlink"/>
            <w:noProof/>
          </w:rPr>
          <w:t>4.</w:t>
        </w:r>
        <w:r w:rsidR="00B66212">
          <w:rPr>
            <w:rFonts w:asciiTheme="minorHAnsi" w:eastAsiaTheme="minorEastAsia" w:hAnsiTheme="minorHAnsi"/>
            <w:b w:val="0"/>
            <w:noProof/>
            <w:sz w:val="22"/>
          </w:rPr>
          <w:tab/>
        </w:r>
        <w:r w:rsidR="00B66212" w:rsidRPr="0063399B">
          <w:rPr>
            <w:rStyle w:val="Hyperlink"/>
            <w:noProof/>
          </w:rPr>
          <w:t>EE Programs</w:t>
        </w:r>
        <w:r w:rsidR="00B66212">
          <w:rPr>
            <w:noProof/>
            <w:webHidden/>
          </w:rPr>
          <w:tab/>
        </w:r>
        <w:r w:rsidR="00B66212">
          <w:rPr>
            <w:noProof/>
            <w:webHidden/>
          </w:rPr>
          <w:fldChar w:fldCharType="begin"/>
        </w:r>
        <w:r w:rsidR="00B66212">
          <w:rPr>
            <w:noProof/>
            <w:webHidden/>
          </w:rPr>
          <w:instrText xml:space="preserve"> PAGEREF _Toc424721534 \h </w:instrText>
        </w:r>
        <w:r w:rsidR="00B66212">
          <w:rPr>
            <w:noProof/>
            <w:webHidden/>
          </w:rPr>
        </w:r>
        <w:r w:rsidR="00B66212">
          <w:rPr>
            <w:noProof/>
            <w:webHidden/>
          </w:rPr>
          <w:fldChar w:fldCharType="separate"/>
        </w:r>
        <w:r w:rsidR="00A8218A">
          <w:rPr>
            <w:noProof/>
            <w:webHidden/>
          </w:rPr>
          <w:t>15</w:t>
        </w:r>
        <w:r w:rsidR="00B66212">
          <w:rPr>
            <w:noProof/>
            <w:webHidden/>
          </w:rPr>
          <w:fldChar w:fldCharType="end"/>
        </w:r>
      </w:hyperlink>
    </w:p>
    <w:p w14:paraId="5A748732" w14:textId="77777777" w:rsidR="00B66212" w:rsidRDefault="004A61E1">
      <w:pPr>
        <w:pStyle w:val="TOC2"/>
        <w:rPr>
          <w:rFonts w:asciiTheme="minorHAnsi" w:hAnsiTheme="minorHAnsi"/>
          <w:noProof/>
          <w:sz w:val="22"/>
        </w:rPr>
      </w:pPr>
      <w:hyperlink w:anchor="_Toc424721535" w:history="1">
        <w:r w:rsidR="00B66212" w:rsidRPr="0063399B">
          <w:rPr>
            <w:rStyle w:val="Hyperlink"/>
            <w:noProof/>
          </w:rPr>
          <w:t>4.1</w:t>
        </w:r>
        <w:r w:rsidR="00B66212">
          <w:rPr>
            <w:rFonts w:asciiTheme="minorHAnsi" w:hAnsiTheme="minorHAnsi"/>
            <w:noProof/>
            <w:sz w:val="22"/>
          </w:rPr>
          <w:tab/>
        </w:r>
        <w:r w:rsidR="00B66212" w:rsidRPr="0063399B">
          <w:rPr>
            <w:rStyle w:val="Hyperlink"/>
            <w:noProof/>
          </w:rPr>
          <w:t>EE Programs</w:t>
        </w:r>
        <w:r w:rsidR="00B66212">
          <w:rPr>
            <w:noProof/>
            <w:webHidden/>
          </w:rPr>
          <w:tab/>
        </w:r>
        <w:r w:rsidR="00B66212">
          <w:rPr>
            <w:noProof/>
            <w:webHidden/>
          </w:rPr>
          <w:fldChar w:fldCharType="begin"/>
        </w:r>
        <w:r w:rsidR="00B66212">
          <w:rPr>
            <w:noProof/>
            <w:webHidden/>
          </w:rPr>
          <w:instrText xml:space="preserve"> PAGEREF _Toc424721535 \h </w:instrText>
        </w:r>
        <w:r w:rsidR="00B66212">
          <w:rPr>
            <w:noProof/>
            <w:webHidden/>
          </w:rPr>
        </w:r>
        <w:r w:rsidR="00B66212">
          <w:rPr>
            <w:noProof/>
            <w:webHidden/>
          </w:rPr>
          <w:fldChar w:fldCharType="separate"/>
        </w:r>
        <w:r w:rsidR="00A8218A">
          <w:rPr>
            <w:noProof/>
            <w:webHidden/>
          </w:rPr>
          <w:t>15</w:t>
        </w:r>
        <w:r w:rsidR="00B66212">
          <w:rPr>
            <w:noProof/>
            <w:webHidden/>
          </w:rPr>
          <w:fldChar w:fldCharType="end"/>
        </w:r>
      </w:hyperlink>
    </w:p>
    <w:p w14:paraId="43737570" w14:textId="77777777" w:rsidR="00B66212" w:rsidRDefault="004A61E1">
      <w:pPr>
        <w:pStyle w:val="TOC3"/>
        <w:rPr>
          <w:rFonts w:asciiTheme="minorHAnsi" w:hAnsiTheme="minorHAnsi"/>
          <w:noProof/>
          <w:sz w:val="22"/>
        </w:rPr>
      </w:pPr>
      <w:hyperlink w:anchor="_Toc424721536" w:history="1">
        <w:r w:rsidR="00B66212" w:rsidRPr="0063399B">
          <w:rPr>
            <w:rStyle w:val="Hyperlink"/>
            <w:noProof/>
          </w:rPr>
          <w:t>4.1.1</w:t>
        </w:r>
        <w:r w:rsidR="00B66212">
          <w:rPr>
            <w:rFonts w:asciiTheme="minorHAnsi" w:hAnsiTheme="minorHAnsi"/>
            <w:noProof/>
            <w:sz w:val="22"/>
          </w:rPr>
          <w:tab/>
        </w:r>
        <w:r w:rsidR="00B66212" w:rsidRPr="0063399B">
          <w:rPr>
            <w:rStyle w:val="Hyperlink"/>
            <w:noProof/>
          </w:rPr>
          <w:t>Administrators</w:t>
        </w:r>
        <w:r w:rsidR="00B66212">
          <w:rPr>
            <w:noProof/>
            <w:webHidden/>
          </w:rPr>
          <w:tab/>
        </w:r>
        <w:r w:rsidR="00B66212">
          <w:rPr>
            <w:noProof/>
            <w:webHidden/>
          </w:rPr>
          <w:fldChar w:fldCharType="begin"/>
        </w:r>
        <w:r w:rsidR="00B66212">
          <w:rPr>
            <w:noProof/>
            <w:webHidden/>
          </w:rPr>
          <w:instrText xml:space="preserve"> PAGEREF _Toc424721536 \h </w:instrText>
        </w:r>
        <w:r w:rsidR="00B66212">
          <w:rPr>
            <w:noProof/>
            <w:webHidden/>
          </w:rPr>
        </w:r>
        <w:r w:rsidR="00B66212">
          <w:rPr>
            <w:noProof/>
            <w:webHidden/>
          </w:rPr>
          <w:fldChar w:fldCharType="separate"/>
        </w:r>
        <w:r w:rsidR="00A8218A">
          <w:rPr>
            <w:noProof/>
            <w:webHidden/>
          </w:rPr>
          <w:t>16</w:t>
        </w:r>
        <w:r w:rsidR="00B66212">
          <w:rPr>
            <w:noProof/>
            <w:webHidden/>
          </w:rPr>
          <w:fldChar w:fldCharType="end"/>
        </w:r>
      </w:hyperlink>
    </w:p>
    <w:p w14:paraId="3F6D0F39" w14:textId="77777777" w:rsidR="00B66212" w:rsidRDefault="004A61E1">
      <w:pPr>
        <w:pStyle w:val="TOC3"/>
        <w:rPr>
          <w:rFonts w:asciiTheme="minorHAnsi" w:hAnsiTheme="minorHAnsi"/>
          <w:noProof/>
          <w:sz w:val="22"/>
        </w:rPr>
      </w:pPr>
      <w:hyperlink w:anchor="_Toc424721537" w:history="1">
        <w:r w:rsidR="00B66212" w:rsidRPr="0063399B">
          <w:rPr>
            <w:rStyle w:val="Hyperlink"/>
            <w:noProof/>
          </w:rPr>
          <w:t>4.1.2</w:t>
        </w:r>
        <w:r w:rsidR="00B66212">
          <w:rPr>
            <w:rFonts w:asciiTheme="minorHAnsi" w:hAnsiTheme="minorHAnsi"/>
            <w:noProof/>
            <w:sz w:val="22"/>
          </w:rPr>
          <w:tab/>
        </w:r>
        <w:r w:rsidR="00B66212" w:rsidRPr="0063399B">
          <w:rPr>
            <w:rStyle w:val="Hyperlink"/>
            <w:noProof/>
          </w:rPr>
          <w:t>Policy Drivers</w:t>
        </w:r>
        <w:r w:rsidR="00B66212">
          <w:rPr>
            <w:noProof/>
            <w:webHidden/>
          </w:rPr>
          <w:tab/>
        </w:r>
        <w:r w:rsidR="00B66212">
          <w:rPr>
            <w:noProof/>
            <w:webHidden/>
          </w:rPr>
          <w:fldChar w:fldCharType="begin"/>
        </w:r>
        <w:r w:rsidR="00B66212">
          <w:rPr>
            <w:noProof/>
            <w:webHidden/>
          </w:rPr>
          <w:instrText xml:space="preserve"> PAGEREF _Toc424721537 \h </w:instrText>
        </w:r>
        <w:r w:rsidR="00B66212">
          <w:rPr>
            <w:noProof/>
            <w:webHidden/>
          </w:rPr>
        </w:r>
        <w:r w:rsidR="00B66212">
          <w:rPr>
            <w:noProof/>
            <w:webHidden/>
          </w:rPr>
          <w:fldChar w:fldCharType="separate"/>
        </w:r>
        <w:r w:rsidR="00A8218A">
          <w:rPr>
            <w:noProof/>
            <w:webHidden/>
          </w:rPr>
          <w:t>16</w:t>
        </w:r>
        <w:r w:rsidR="00B66212">
          <w:rPr>
            <w:noProof/>
            <w:webHidden/>
          </w:rPr>
          <w:fldChar w:fldCharType="end"/>
        </w:r>
      </w:hyperlink>
    </w:p>
    <w:p w14:paraId="55EDC6C3" w14:textId="77777777" w:rsidR="00B66212" w:rsidRDefault="004A61E1">
      <w:pPr>
        <w:pStyle w:val="TOC3"/>
        <w:rPr>
          <w:rFonts w:asciiTheme="minorHAnsi" w:hAnsiTheme="minorHAnsi"/>
          <w:noProof/>
          <w:sz w:val="22"/>
        </w:rPr>
      </w:pPr>
      <w:hyperlink w:anchor="_Toc424721538" w:history="1">
        <w:r w:rsidR="00B66212" w:rsidRPr="0063399B">
          <w:rPr>
            <w:rStyle w:val="Hyperlink"/>
            <w:noProof/>
          </w:rPr>
          <w:t>4.1.3</w:t>
        </w:r>
        <w:r w:rsidR="00B66212">
          <w:rPr>
            <w:rFonts w:asciiTheme="minorHAnsi" w:hAnsiTheme="minorHAnsi"/>
            <w:noProof/>
            <w:sz w:val="22"/>
          </w:rPr>
          <w:tab/>
        </w:r>
        <w:r w:rsidR="00B66212" w:rsidRPr="0063399B">
          <w:rPr>
            <w:rStyle w:val="Hyperlink"/>
            <w:noProof/>
          </w:rPr>
          <w:t>Funding Sources</w:t>
        </w:r>
        <w:r w:rsidR="00B66212">
          <w:rPr>
            <w:noProof/>
            <w:webHidden/>
          </w:rPr>
          <w:tab/>
        </w:r>
        <w:r w:rsidR="00B66212">
          <w:rPr>
            <w:noProof/>
            <w:webHidden/>
          </w:rPr>
          <w:fldChar w:fldCharType="begin"/>
        </w:r>
        <w:r w:rsidR="00B66212">
          <w:rPr>
            <w:noProof/>
            <w:webHidden/>
          </w:rPr>
          <w:instrText xml:space="preserve"> PAGEREF _Toc424721538 \h </w:instrText>
        </w:r>
        <w:r w:rsidR="00B66212">
          <w:rPr>
            <w:noProof/>
            <w:webHidden/>
          </w:rPr>
        </w:r>
        <w:r w:rsidR="00B66212">
          <w:rPr>
            <w:noProof/>
            <w:webHidden/>
          </w:rPr>
          <w:fldChar w:fldCharType="separate"/>
        </w:r>
        <w:r w:rsidR="00A8218A">
          <w:rPr>
            <w:noProof/>
            <w:webHidden/>
          </w:rPr>
          <w:t>17</w:t>
        </w:r>
        <w:r w:rsidR="00B66212">
          <w:rPr>
            <w:noProof/>
            <w:webHidden/>
          </w:rPr>
          <w:fldChar w:fldCharType="end"/>
        </w:r>
      </w:hyperlink>
    </w:p>
    <w:p w14:paraId="1DEF0481" w14:textId="77777777" w:rsidR="00B66212" w:rsidRDefault="004A61E1">
      <w:pPr>
        <w:pStyle w:val="TOC2"/>
        <w:rPr>
          <w:rFonts w:asciiTheme="minorHAnsi" w:hAnsiTheme="minorHAnsi"/>
          <w:noProof/>
          <w:sz w:val="22"/>
        </w:rPr>
      </w:pPr>
      <w:hyperlink w:anchor="_Toc424721539" w:history="1">
        <w:r w:rsidR="00B66212" w:rsidRPr="0063399B">
          <w:rPr>
            <w:rStyle w:val="Hyperlink"/>
            <w:noProof/>
          </w:rPr>
          <w:t>4.2</w:t>
        </w:r>
        <w:r w:rsidR="00B66212">
          <w:rPr>
            <w:rFonts w:asciiTheme="minorHAnsi" w:hAnsiTheme="minorHAnsi"/>
            <w:noProof/>
            <w:sz w:val="22"/>
          </w:rPr>
          <w:tab/>
        </w:r>
        <w:r w:rsidR="00B66212" w:rsidRPr="0063399B">
          <w:rPr>
            <w:rStyle w:val="Hyperlink"/>
            <w:noProof/>
          </w:rPr>
          <w:t>The Demand-Side EE Opportunity</w:t>
        </w:r>
        <w:r w:rsidR="00B66212">
          <w:rPr>
            <w:noProof/>
            <w:webHidden/>
          </w:rPr>
          <w:tab/>
        </w:r>
        <w:r w:rsidR="00B66212">
          <w:rPr>
            <w:noProof/>
            <w:webHidden/>
          </w:rPr>
          <w:fldChar w:fldCharType="begin"/>
        </w:r>
        <w:r w:rsidR="00B66212">
          <w:rPr>
            <w:noProof/>
            <w:webHidden/>
          </w:rPr>
          <w:instrText xml:space="preserve"> PAGEREF _Toc424721539 \h </w:instrText>
        </w:r>
        <w:r w:rsidR="00B66212">
          <w:rPr>
            <w:noProof/>
            <w:webHidden/>
          </w:rPr>
        </w:r>
        <w:r w:rsidR="00B66212">
          <w:rPr>
            <w:noProof/>
            <w:webHidden/>
          </w:rPr>
          <w:fldChar w:fldCharType="separate"/>
        </w:r>
        <w:r w:rsidR="00A8218A">
          <w:rPr>
            <w:noProof/>
            <w:webHidden/>
          </w:rPr>
          <w:t>17</w:t>
        </w:r>
        <w:r w:rsidR="00B66212">
          <w:rPr>
            <w:noProof/>
            <w:webHidden/>
          </w:rPr>
          <w:fldChar w:fldCharType="end"/>
        </w:r>
      </w:hyperlink>
    </w:p>
    <w:p w14:paraId="758C7E49" w14:textId="77777777" w:rsidR="00B66212" w:rsidRDefault="004A61E1">
      <w:pPr>
        <w:pStyle w:val="TOC3"/>
        <w:rPr>
          <w:rFonts w:asciiTheme="minorHAnsi" w:hAnsiTheme="minorHAnsi"/>
          <w:noProof/>
          <w:sz w:val="22"/>
        </w:rPr>
      </w:pPr>
      <w:hyperlink w:anchor="_Toc424721540" w:history="1">
        <w:r w:rsidR="00B66212" w:rsidRPr="0063399B">
          <w:rPr>
            <w:rStyle w:val="Hyperlink"/>
            <w:noProof/>
          </w:rPr>
          <w:t>4.2.1</w:t>
        </w:r>
        <w:r w:rsidR="00B66212">
          <w:rPr>
            <w:rFonts w:asciiTheme="minorHAnsi" w:hAnsiTheme="minorHAnsi"/>
            <w:noProof/>
            <w:sz w:val="22"/>
          </w:rPr>
          <w:tab/>
        </w:r>
        <w:r w:rsidR="00B66212" w:rsidRPr="0063399B">
          <w:rPr>
            <w:rStyle w:val="Hyperlink"/>
            <w:noProof/>
          </w:rPr>
          <w:t>Rapid Growth in Demand-Side EE</w:t>
        </w:r>
        <w:r w:rsidR="00B66212">
          <w:rPr>
            <w:noProof/>
            <w:webHidden/>
          </w:rPr>
          <w:tab/>
        </w:r>
        <w:r w:rsidR="00B66212">
          <w:rPr>
            <w:noProof/>
            <w:webHidden/>
          </w:rPr>
          <w:fldChar w:fldCharType="begin"/>
        </w:r>
        <w:r w:rsidR="00B66212">
          <w:rPr>
            <w:noProof/>
            <w:webHidden/>
          </w:rPr>
          <w:instrText xml:space="preserve"> PAGEREF _Toc424721540 \h </w:instrText>
        </w:r>
        <w:r w:rsidR="00B66212">
          <w:rPr>
            <w:noProof/>
            <w:webHidden/>
          </w:rPr>
        </w:r>
        <w:r w:rsidR="00B66212">
          <w:rPr>
            <w:noProof/>
            <w:webHidden/>
          </w:rPr>
          <w:fldChar w:fldCharType="separate"/>
        </w:r>
        <w:r w:rsidR="00A8218A">
          <w:rPr>
            <w:noProof/>
            <w:webHidden/>
          </w:rPr>
          <w:t>17</w:t>
        </w:r>
        <w:r w:rsidR="00B66212">
          <w:rPr>
            <w:noProof/>
            <w:webHidden/>
          </w:rPr>
          <w:fldChar w:fldCharType="end"/>
        </w:r>
      </w:hyperlink>
    </w:p>
    <w:p w14:paraId="29D5A3EB" w14:textId="77777777" w:rsidR="00B66212" w:rsidRDefault="004A61E1">
      <w:pPr>
        <w:pStyle w:val="TOC3"/>
        <w:rPr>
          <w:rFonts w:asciiTheme="minorHAnsi" w:hAnsiTheme="minorHAnsi"/>
          <w:noProof/>
          <w:sz w:val="22"/>
        </w:rPr>
      </w:pPr>
      <w:hyperlink w:anchor="_Toc424721541" w:history="1">
        <w:r w:rsidR="00B66212" w:rsidRPr="0063399B">
          <w:rPr>
            <w:rStyle w:val="Hyperlink"/>
            <w:noProof/>
          </w:rPr>
          <w:t>4.2.2</w:t>
        </w:r>
        <w:r w:rsidR="00B66212">
          <w:rPr>
            <w:rFonts w:asciiTheme="minorHAnsi" w:hAnsiTheme="minorHAnsi"/>
            <w:noProof/>
            <w:sz w:val="22"/>
          </w:rPr>
          <w:tab/>
        </w:r>
        <w:r w:rsidR="00B66212" w:rsidRPr="0063399B">
          <w:rPr>
            <w:rStyle w:val="Hyperlink"/>
            <w:noProof/>
          </w:rPr>
          <w:t>EE Program Impacts</w:t>
        </w:r>
        <w:r w:rsidR="00B66212">
          <w:rPr>
            <w:noProof/>
            <w:webHidden/>
          </w:rPr>
          <w:tab/>
        </w:r>
        <w:r w:rsidR="00B66212">
          <w:rPr>
            <w:noProof/>
            <w:webHidden/>
          </w:rPr>
          <w:fldChar w:fldCharType="begin"/>
        </w:r>
        <w:r w:rsidR="00B66212">
          <w:rPr>
            <w:noProof/>
            <w:webHidden/>
          </w:rPr>
          <w:instrText xml:space="preserve"> PAGEREF _Toc424721541 \h </w:instrText>
        </w:r>
        <w:r w:rsidR="00B66212">
          <w:rPr>
            <w:noProof/>
            <w:webHidden/>
          </w:rPr>
        </w:r>
        <w:r w:rsidR="00B66212">
          <w:rPr>
            <w:noProof/>
            <w:webHidden/>
          </w:rPr>
          <w:fldChar w:fldCharType="separate"/>
        </w:r>
        <w:r w:rsidR="00A8218A">
          <w:rPr>
            <w:noProof/>
            <w:webHidden/>
          </w:rPr>
          <w:t>18</w:t>
        </w:r>
        <w:r w:rsidR="00B66212">
          <w:rPr>
            <w:noProof/>
            <w:webHidden/>
          </w:rPr>
          <w:fldChar w:fldCharType="end"/>
        </w:r>
      </w:hyperlink>
    </w:p>
    <w:p w14:paraId="03FE2958" w14:textId="77777777" w:rsidR="00B66212" w:rsidRDefault="004A61E1">
      <w:pPr>
        <w:pStyle w:val="TOC4"/>
        <w:tabs>
          <w:tab w:val="left" w:pos="3096"/>
        </w:tabs>
        <w:rPr>
          <w:rFonts w:asciiTheme="minorHAnsi" w:eastAsiaTheme="minorEastAsia" w:hAnsiTheme="minorHAnsi"/>
          <w:noProof/>
        </w:rPr>
      </w:pPr>
      <w:hyperlink w:anchor="_Toc424721542" w:history="1">
        <w:r w:rsidR="00B66212" w:rsidRPr="0063399B">
          <w:rPr>
            <w:rStyle w:val="Hyperlink"/>
            <w:noProof/>
          </w:rPr>
          <w:t>4.2.2.1</w:t>
        </w:r>
        <w:r w:rsidR="00B66212">
          <w:rPr>
            <w:rFonts w:asciiTheme="minorHAnsi" w:eastAsiaTheme="minorEastAsia" w:hAnsiTheme="minorHAnsi"/>
            <w:noProof/>
          </w:rPr>
          <w:tab/>
        </w:r>
        <w:r w:rsidR="00B66212" w:rsidRPr="0063399B">
          <w:rPr>
            <w:rStyle w:val="Hyperlink"/>
            <w:noProof/>
          </w:rPr>
          <w:t>Impacts to-date</w:t>
        </w:r>
        <w:r w:rsidR="00B66212">
          <w:rPr>
            <w:noProof/>
            <w:webHidden/>
          </w:rPr>
          <w:tab/>
        </w:r>
        <w:r w:rsidR="00B66212">
          <w:rPr>
            <w:noProof/>
            <w:webHidden/>
          </w:rPr>
          <w:fldChar w:fldCharType="begin"/>
        </w:r>
        <w:r w:rsidR="00B66212">
          <w:rPr>
            <w:noProof/>
            <w:webHidden/>
          </w:rPr>
          <w:instrText xml:space="preserve"> PAGEREF _Toc424721542 \h </w:instrText>
        </w:r>
        <w:r w:rsidR="00B66212">
          <w:rPr>
            <w:noProof/>
            <w:webHidden/>
          </w:rPr>
        </w:r>
        <w:r w:rsidR="00B66212">
          <w:rPr>
            <w:noProof/>
            <w:webHidden/>
          </w:rPr>
          <w:fldChar w:fldCharType="separate"/>
        </w:r>
        <w:r w:rsidR="00A8218A">
          <w:rPr>
            <w:noProof/>
            <w:webHidden/>
          </w:rPr>
          <w:t>18</w:t>
        </w:r>
        <w:r w:rsidR="00B66212">
          <w:rPr>
            <w:noProof/>
            <w:webHidden/>
          </w:rPr>
          <w:fldChar w:fldCharType="end"/>
        </w:r>
      </w:hyperlink>
    </w:p>
    <w:p w14:paraId="4884C692" w14:textId="77777777" w:rsidR="00B66212" w:rsidRDefault="004A61E1">
      <w:pPr>
        <w:pStyle w:val="TOC4"/>
        <w:tabs>
          <w:tab w:val="left" w:pos="3096"/>
        </w:tabs>
        <w:rPr>
          <w:rFonts w:asciiTheme="minorHAnsi" w:eastAsiaTheme="minorEastAsia" w:hAnsiTheme="minorHAnsi"/>
          <w:noProof/>
        </w:rPr>
      </w:pPr>
      <w:hyperlink w:anchor="_Toc424721543" w:history="1">
        <w:r w:rsidR="00B66212" w:rsidRPr="0063399B">
          <w:rPr>
            <w:rStyle w:val="Hyperlink"/>
            <w:noProof/>
          </w:rPr>
          <w:t>4.2.2.2</w:t>
        </w:r>
        <w:r w:rsidR="00B66212">
          <w:rPr>
            <w:rFonts w:asciiTheme="minorHAnsi" w:eastAsiaTheme="minorEastAsia" w:hAnsiTheme="minorHAnsi"/>
            <w:noProof/>
          </w:rPr>
          <w:tab/>
        </w:r>
        <w:r w:rsidR="00B66212" w:rsidRPr="0063399B">
          <w:rPr>
            <w:rStyle w:val="Hyperlink"/>
            <w:noProof/>
          </w:rPr>
          <w:t>Projected Impacts</w:t>
        </w:r>
        <w:r w:rsidR="00B66212">
          <w:rPr>
            <w:noProof/>
            <w:webHidden/>
          </w:rPr>
          <w:tab/>
        </w:r>
        <w:r w:rsidR="00B66212">
          <w:rPr>
            <w:noProof/>
            <w:webHidden/>
          </w:rPr>
          <w:fldChar w:fldCharType="begin"/>
        </w:r>
        <w:r w:rsidR="00B66212">
          <w:rPr>
            <w:noProof/>
            <w:webHidden/>
          </w:rPr>
          <w:instrText xml:space="preserve"> PAGEREF _Toc424721543 \h </w:instrText>
        </w:r>
        <w:r w:rsidR="00B66212">
          <w:rPr>
            <w:noProof/>
            <w:webHidden/>
          </w:rPr>
        </w:r>
        <w:r w:rsidR="00B66212">
          <w:rPr>
            <w:noProof/>
            <w:webHidden/>
          </w:rPr>
          <w:fldChar w:fldCharType="separate"/>
        </w:r>
        <w:r w:rsidR="00A8218A">
          <w:rPr>
            <w:noProof/>
            <w:webHidden/>
          </w:rPr>
          <w:t>22</w:t>
        </w:r>
        <w:r w:rsidR="00B66212">
          <w:rPr>
            <w:noProof/>
            <w:webHidden/>
          </w:rPr>
          <w:fldChar w:fldCharType="end"/>
        </w:r>
      </w:hyperlink>
    </w:p>
    <w:p w14:paraId="28C2B252" w14:textId="77777777" w:rsidR="00B66212" w:rsidRDefault="004A61E1">
      <w:pPr>
        <w:pStyle w:val="TOC3"/>
        <w:rPr>
          <w:rFonts w:asciiTheme="minorHAnsi" w:hAnsiTheme="minorHAnsi"/>
          <w:noProof/>
          <w:sz w:val="22"/>
        </w:rPr>
      </w:pPr>
      <w:hyperlink w:anchor="_Toc424721544" w:history="1">
        <w:r w:rsidR="00B66212" w:rsidRPr="0063399B">
          <w:rPr>
            <w:rStyle w:val="Hyperlink"/>
            <w:noProof/>
          </w:rPr>
          <w:t>4.2.3</w:t>
        </w:r>
        <w:r w:rsidR="00B66212">
          <w:rPr>
            <w:rFonts w:asciiTheme="minorHAnsi" w:hAnsiTheme="minorHAnsi"/>
            <w:noProof/>
            <w:sz w:val="22"/>
          </w:rPr>
          <w:tab/>
        </w:r>
        <w:r w:rsidR="00B66212" w:rsidRPr="0063399B">
          <w:rPr>
            <w:rStyle w:val="Hyperlink"/>
            <w:noProof/>
          </w:rPr>
          <w:t>EE Potential</w:t>
        </w:r>
        <w:r w:rsidR="00B66212">
          <w:rPr>
            <w:noProof/>
            <w:webHidden/>
          </w:rPr>
          <w:tab/>
        </w:r>
        <w:r w:rsidR="00B66212">
          <w:rPr>
            <w:noProof/>
            <w:webHidden/>
          </w:rPr>
          <w:fldChar w:fldCharType="begin"/>
        </w:r>
        <w:r w:rsidR="00B66212">
          <w:rPr>
            <w:noProof/>
            <w:webHidden/>
          </w:rPr>
          <w:instrText xml:space="preserve"> PAGEREF _Toc424721544 \h </w:instrText>
        </w:r>
        <w:r w:rsidR="00B66212">
          <w:rPr>
            <w:noProof/>
            <w:webHidden/>
          </w:rPr>
        </w:r>
        <w:r w:rsidR="00B66212">
          <w:rPr>
            <w:noProof/>
            <w:webHidden/>
          </w:rPr>
          <w:fldChar w:fldCharType="separate"/>
        </w:r>
        <w:r w:rsidR="00A8218A">
          <w:rPr>
            <w:noProof/>
            <w:webHidden/>
          </w:rPr>
          <w:t>23</w:t>
        </w:r>
        <w:r w:rsidR="00B66212">
          <w:rPr>
            <w:noProof/>
            <w:webHidden/>
          </w:rPr>
          <w:fldChar w:fldCharType="end"/>
        </w:r>
      </w:hyperlink>
    </w:p>
    <w:p w14:paraId="503FC11D" w14:textId="77777777" w:rsidR="00B66212" w:rsidRDefault="004A61E1">
      <w:pPr>
        <w:pStyle w:val="TOC4"/>
        <w:tabs>
          <w:tab w:val="left" w:pos="3096"/>
        </w:tabs>
        <w:rPr>
          <w:rFonts w:asciiTheme="minorHAnsi" w:eastAsiaTheme="minorEastAsia" w:hAnsiTheme="minorHAnsi"/>
          <w:noProof/>
        </w:rPr>
      </w:pPr>
      <w:hyperlink w:anchor="_Toc424721545" w:history="1">
        <w:r w:rsidR="00B66212" w:rsidRPr="0063399B">
          <w:rPr>
            <w:rStyle w:val="Hyperlink"/>
            <w:noProof/>
          </w:rPr>
          <w:t>4.2.3.1</w:t>
        </w:r>
        <w:r w:rsidR="00B66212">
          <w:rPr>
            <w:rFonts w:asciiTheme="minorHAnsi" w:eastAsiaTheme="minorEastAsia" w:hAnsiTheme="minorHAnsi"/>
            <w:noProof/>
          </w:rPr>
          <w:tab/>
        </w:r>
        <w:r w:rsidR="00B66212" w:rsidRPr="0063399B">
          <w:rPr>
            <w:rStyle w:val="Hyperlink"/>
            <w:noProof/>
          </w:rPr>
          <w:t>Evaluations of EE Potential</w:t>
        </w:r>
        <w:r w:rsidR="00B66212">
          <w:rPr>
            <w:noProof/>
            <w:webHidden/>
          </w:rPr>
          <w:tab/>
        </w:r>
        <w:r w:rsidR="00B66212">
          <w:rPr>
            <w:noProof/>
            <w:webHidden/>
          </w:rPr>
          <w:fldChar w:fldCharType="begin"/>
        </w:r>
        <w:r w:rsidR="00B66212">
          <w:rPr>
            <w:noProof/>
            <w:webHidden/>
          </w:rPr>
          <w:instrText xml:space="preserve"> PAGEREF _Toc424721545 \h </w:instrText>
        </w:r>
        <w:r w:rsidR="00B66212">
          <w:rPr>
            <w:noProof/>
            <w:webHidden/>
          </w:rPr>
        </w:r>
        <w:r w:rsidR="00B66212">
          <w:rPr>
            <w:noProof/>
            <w:webHidden/>
          </w:rPr>
          <w:fldChar w:fldCharType="separate"/>
        </w:r>
        <w:r w:rsidR="00A8218A">
          <w:rPr>
            <w:noProof/>
            <w:webHidden/>
          </w:rPr>
          <w:t>23</w:t>
        </w:r>
        <w:r w:rsidR="00B66212">
          <w:rPr>
            <w:noProof/>
            <w:webHidden/>
          </w:rPr>
          <w:fldChar w:fldCharType="end"/>
        </w:r>
      </w:hyperlink>
    </w:p>
    <w:p w14:paraId="38E060C2" w14:textId="77777777" w:rsidR="00B66212" w:rsidRDefault="004A61E1">
      <w:pPr>
        <w:pStyle w:val="TOC4"/>
        <w:tabs>
          <w:tab w:val="left" w:pos="3096"/>
        </w:tabs>
        <w:rPr>
          <w:rFonts w:asciiTheme="minorHAnsi" w:eastAsiaTheme="minorEastAsia" w:hAnsiTheme="minorHAnsi"/>
          <w:noProof/>
        </w:rPr>
      </w:pPr>
      <w:hyperlink w:anchor="_Toc424721546" w:history="1">
        <w:r w:rsidR="00B66212" w:rsidRPr="0063399B">
          <w:rPr>
            <w:rStyle w:val="Hyperlink"/>
            <w:noProof/>
          </w:rPr>
          <w:t>4.2.3.2</w:t>
        </w:r>
        <w:r w:rsidR="00B66212">
          <w:rPr>
            <w:rFonts w:asciiTheme="minorHAnsi" w:eastAsiaTheme="minorEastAsia" w:hAnsiTheme="minorHAnsi"/>
            <w:noProof/>
          </w:rPr>
          <w:tab/>
        </w:r>
        <w:r w:rsidR="00B66212" w:rsidRPr="0063399B">
          <w:rPr>
            <w:rStyle w:val="Hyperlink"/>
            <w:noProof/>
          </w:rPr>
          <w:t>Overview of Results</w:t>
        </w:r>
        <w:r w:rsidR="00B66212">
          <w:rPr>
            <w:noProof/>
            <w:webHidden/>
          </w:rPr>
          <w:tab/>
        </w:r>
        <w:r w:rsidR="00B66212">
          <w:rPr>
            <w:noProof/>
            <w:webHidden/>
          </w:rPr>
          <w:fldChar w:fldCharType="begin"/>
        </w:r>
        <w:r w:rsidR="00B66212">
          <w:rPr>
            <w:noProof/>
            <w:webHidden/>
          </w:rPr>
          <w:instrText xml:space="preserve"> PAGEREF _Toc424721546 \h </w:instrText>
        </w:r>
        <w:r w:rsidR="00B66212">
          <w:rPr>
            <w:noProof/>
            <w:webHidden/>
          </w:rPr>
        </w:r>
        <w:r w:rsidR="00B66212">
          <w:rPr>
            <w:noProof/>
            <w:webHidden/>
          </w:rPr>
          <w:fldChar w:fldCharType="separate"/>
        </w:r>
        <w:r w:rsidR="00A8218A">
          <w:rPr>
            <w:noProof/>
            <w:webHidden/>
          </w:rPr>
          <w:t>25</w:t>
        </w:r>
        <w:r w:rsidR="00B66212">
          <w:rPr>
            <w:noProof/>
            <w:webHidden/>
          </w:rPr>
          <w:fldChar w:fldCharType="end"/>
        </w:r>
      </w:hyperlink>
    </w:p>
    <w:p w14:paraId="12ECC98C" w14:textId="77777777" w:rsidR="00B66212" w:rsidRDefault="004A61E1">
      <w:pPr>
        <w:pStyle w:val="TOC2"/>
        <w:rPr>
          <w:rFonts w:asciiTheme="minorHAnsi" w:hAnsiTheme="minorHAnsi"/>
          <w:noProof/>
          <w:sz w:val="22"/>
        </w:rPr>
      </w:pPr>
      <w:hyperlink w:anchor="_Toc424721547" w:history="1">
        <w:r w:rsidR="00B66212" w:rsidRPr="0063399B">
          <w:rPr>
            <w:rStyle w:val="Hyperlink"/>
            <w:noProof/>
          </w:rPr>
          <w:t>4.3</w:t>
        </w:r>
        <w:r w:rsidR="00B66212">
          <w:rPr>
            <w:rFonts w:asciiTheme="minorHAnsi" w:hAnsiTheme="minorHAnsi"/>
            <w:noProof/>
            <w:sz w:val="22"/>
          </w:rPr>
          <w:tab/>
        </w:r>
        <w:r w:rsidR="00B66212" w:rsidRPr="0063399B">
          <w:rPr>
            <w:rStyle w:val="Hyperlink"/>
            <w:noProof/>
          </w:rPr>
          <w:t>Costs and Cost-Effectiveness of State EE Policies</w:t>
        </w:r>
        <w:r w:rsidR="00B66212">
          <w:rPr>
            <w:noProof/>
            <w:webHidden/>
          </w:rPr>
          <w:tab/>
        </w:r>
        <w:r w:rsidR="00B66212">
          <w:rPr>
            <w:noProof/>
            <w:webHidden/>
          </w:rPr>
          <w:fldChar w:fldCharType="begin"/>
        </w:r>
        <w:r w:rsidR="00B66212">
          <w:rPr>
            <w:noProof/>
            <w:webHidden/>
          </w:rPr>
          <w:instrText xml:space="preserve"> PAGEREF _Toc424721547 \h </w:instrText>
        </w:r>
        <w:r w:rsidR="00B66212">
          <w:rPr>
            <w:noProof/>
            <w:webHidden/>
          </w:rPr>
        </w:r>
        <w:r w:rsidR="00B66212">
          <w:rPr>
            <w:noProof/>
            <w:webHidden/>
          </w:rPr>
          <w:fldChar w:fldCharType="separate"/>
        </w:r>
        <w:r w:rsidR="00A8218A">
          <w:rPr>
            <w:noProof/>
            <w:webHidden/>
          </w:rPr>
          <w:t>26</w:t>
        </w:r>
        <w:r w:rsidR="00B66212">
          <w:rPr>
            <w:noProof/>
            <w:webHidden/>
          </w:rPr>
          <w:fldChar w:fldCharType="end"/>
        </w:r>
      </w:hyperlink>
    </w:p>
    <w:p w14:paraId="20FCB5E3" w14:textId="77777777" w:rsidR="00B66212" w:rsidRDefault="004A61E1">
      <w:pPr>
        <w:pStyle w:val="TOC3"/>
        <w:rPr>
          <w:rFonts w:asciiTheme="minorHAnsi" w:hAnsiTheme="minorHAnsi"/>
          <w:noProof/>
          <w:sz w:val="22"/>
        </w:rPr>
      </w:pPr>
      <w:hyperlink w:anchor="_Toc424721548" w:history="1">
        <w:r w:rsidR="00B66212" w:rsidRPr="0063399B">
          <w:rPr>
            <w:rStyle w:val="Hyperlink"/>
            <w:noProof/>
          </w:rPr>
          <w:t>4.3.1</w:t>
        </w:r>
        <w:r w:rsidR="00B66212">
          <w:rPr>
            <w:rFonts w:asciiTheme="minorHAnsi" w:hAnsiTheme="minorHAnsi"/>
            <w:noProof/>
            <w:sz w:val="22"/>
          </w:rPr>
          <w:tab/>
        </w:r>
        <w:r w:rsidR="00B66212" w:rsidRPr="0063399B">
          <w:rPr>
            <w:rStyle w:val="Hyperlink"/>
            <w:noProof/>
          </w:rPr>
          <w:t>EE Cost-Effectiveness</w:t>
        </w:r>
        <w:r w:rsidR="00B66212">
          <w:rPr>
            <w:noProof/>
            <w:webHidden/>
          </w:rPr>
          <w:tab/>
        </w:r>
        <w:r w:rsidR="00B66212">
          <w:rPr>
            <w:noProof/>
            <w:webHidden/>
          </w:rPr>
          <w:fldChar w:fldCharType="begin"/>
        </w:r>
        <w:r w:rsidR="00B66212">
          <w:rPr>
            <w:noProof/>
            <w:webHidden/>
          </w:rPr>
          <w:instrText xml:space="preserve"> PAGEREF _Toc424721548 \h </w:instrText>
        </w:r>
        <w:r w:rsidR="00B66212">
          <w:rPr>
            <w:noProof/>
            <w:webHidden/>
          </w:rPr>
        </w:r>
        <w:r w:rsidR="00B66212">
          <w:rPr>
            <w:noProof/>
            <w:webHidden/>
          </w:rPr>
          <w:fldChar w:fldCharType="separate"/>
        </w:r>
        <w:r w:rsidR="00A8218A">
          <w:rPr>
            <w:noProof/>
            <w:webHidden/>
          </w:rPr>
          <w:t>26</w:t>
        </w:r>
        <w:r w:rsidR="00B66212">
          <w:rPr>
            <w:noProof/>
            <w:webHidden/>
          </w:rPr>
          <w:fldChar w:fldCharType="end"/>
        </w:r>
      </w:hyperlink>
    </w:p>
    <w:p w14:paraId="19DA7785" w14:textId="77777777" w:rsidR="00B66212" w:rsidRDefault="004A61E1">
      <w:pPr>
        <w:pStyle w:val="TOC3"/>
        <w:rPr>
          <w:rFonts w:asciiTheme="minorHAnsi" w:hAnsiTheme="minorHAnsi"/>
          <w:noProof/>
          <w:sz w:val="22"/>
        </w:rPr>
      </w:pPr>
      <w:hyperlink w:anchor="_Toc424721549" w:history="1">
        <w:r w:rsidR="00B66212" w:rsidRPr="0063399B">
          <w:rPr>
            <w:rStyle w:val="Hyperlink"/>
            <w:noProof/>
          </w:rPr>
          <w:t>4.3.2</w:t>
        </w:r>
        <w:r w:rsidR="00B66212">
          <w:rPr>
            <w:rFonts w:asciiTheme="minorHAnsi" w:hAnsiTheme="minorHAnsi"/>
            <w:noProof/>
            <w:sz w:val="22"/>
          </w:rPr>
          <w:tab/>
        </w:r>
        <w:r w:rsidR="00B66212" w:rsidRPr="0063399B">
          <w:rPr>
            <w:rStyle w:val="Hyperlink"/>
            <w:noProof/>
          </w:rPr>
          <w:t>Costs of Saved Energy</w:t>
        </w:r>
        <w:r w:rsidR="00B66212">
          <w:rPr>
            <w:noProof/>
            <w:webHidden/>
          </w:rPr>
          <w:tab/>
        </w:r>
        <w:r w:rsidR="00B66212">
          <w:rPr>
            <w:noProof/>
            <w:webHidden/>
          </w:rPr>
          <w:fldChar w:fldCharType="begin"/>
        </w:r>
        <w:r w:rsidR="00B66212">
          <w:rPr>
            <w:noProof/>
            <w:webHidden/>
          </w:rPr>
          <w:instrText xml:space="preserve"> PAGEREF _Toc424721549 \h </w:instrText>
        </w:r>
        <w:r w:rsidR="00B66212">
          <w:rPr>
            <w:noProof/>
            <w:webHidden/>
          </w:rPr>
        </w:r>
        <w:r w:rsidR="00B66212">
          <w:rPr>
            <w:noProof/>
            <w:webHidden/>
          </w:rPr>
          <w:fldChar w:fldCharType="separate"/>
        </w:r>
        <w:r w:rsidR="00A8218A">
          <w:rPr>
            <w:noProof/>
            <w:webHidden/>
          </w:rPr>
          <w:t>28</w:t>
        </w:r>
        <w:r w:rsidR="00B66212">
          <w:rPr>
            <w:noProof/>
            <w:webHidden/>
          </w:rPr>
          <w:fldChar w:fldCharType="end"/>
        </w:r>
      </w:hyperlink>
    </w:p>
    <w:p w14:paraId="6D27E9AD" w14:textId="77777777" w:rsidR="00B66212" w:rsidRDefault="004A61E1">
      <w:pPr>
        <w:pStyle w:val="TOC1"/>
        <w:rPr>
          <w:rFonts w:asciiTheme="minorHAnsi" w:eastAsiaTheme="minorEastAsia" w:hAnsiTheme="minorHAnsi"/>
          <w:b w:val="0"/>
          <w:noProof/>
          <w:sz w:val="22"/>
        </w:rPr>
      </w:pPr>
      <w:hyperlink w:anchor="_Toc424721550" w:history="1">
        <w:r w:rsidR="00B66212" w:rsidRPr="0063399B">
          <w:rPr>
            <w:rStyle w:val="Hyperlink"/>
            <w:noProof/>
          </w:rPr>
          <w:t>5.</w:t>
        </w:r>
        <w:r w:rsidR="00B66212">
          <w:rPr>
            <w:rFonts w:asciiTheme="minorHAnsi" w:eastAsiaTheme="minorEastAsia" w:hAnsiTheme="minorHAnsi"/>
            <w:b w:val="0"/>
            <w:noProof/>
            <w:sz w:val="22"/>
          </w:rPr>
          <w:tab/>
        </w:r>
        <w:r w:rsidR="00B66212" w:rsidRPr="0063399B">
          <w:rPr>
            <w:rStyle w:val="Hyperlink"/>
            <w:noProof/>
          </w:rPr>
          <w:t>Other EE Strategies</w:t>
        </w:r>
        <w:r w:rsidR="00B66212">
          <w:rPr>
            <w:noProof/>
            <w:webHidden/>
          </w:rPr>
          <w:tab/>
        </w:r>
        <w:r w:rsidR="00B66212">
          <w:rPr>
            <w:noProof/>
            <w:webHidden/>
          </w:rPr>
          <w:fldChar w:fldCharType="begin"/>
        </w:r>
        <w:r w:rsidR="00B66212">
          <w:rPr>
            <w:noProof/>
            <w:webHidden/>
          </w:rPr>
          <w:instrText xml:space="preserve"> PAGEREF _Toc424721550 \h </w:instrText>
        </w:r>
        <w:r w:rsidR="00B66212">
          <w:rPr>
            <w:noProof/>
            <w:webHidden/>
          </w:rPr>
        </w:r>
        <w:r w:rsidR="00B66212">
          <w:rPr>
            <w:noProof/>
            <w:webHidden/>
          </w:rPr>
          <w:fldChar w:fldCharType="separate"/>
        </w:r>
        <w:r w:rsidR="00A8218A">
          <w:rPr>
            <w:noProof/>
            <w:webHidden/>
          </w:rPr>
          <w:t>30</w:t>
        </w:r>
        <w:r w:rsidR="00B66212">
          <w:rPr>
            <w:noProof/>
            <w:webHidden/>
          </w:rPr>
          <w:fldChar w:fldCharType="end"/>
        </w:r>
      </w:hyperlink>
    </w:p>
    <w:p w14:paraId="2F3C932D" w14:textId="77777777" w:rsidR="00B66212" w:rsidRDefault="004A61E1">
      <w:pPr>
        <w:pStyle w:val="TOC2"/>
        <w:rPr>
          <w:rFonts w:asciiTheme="minorHAnsi" w:hAnsiTheme="minorHAnsi"/>
          <w:noProof/>
          <w:sz w:val="22"/>
        </w:rPr>
      </w:pPr>
      <w:hyperlink w:anchor="_Toc424721551" w:history="1">
        <w:r w:rsidR="00B66212" w:rsidRPr="0063399B">
          <w:rPr>
            <w:rStyle w:val="Hyperlink"/>
            <w:noProof/>
          </w:rPr>
          <w:t>5.1</w:t>
        </w:r>
        <w:r w:rsidR="00B66212">
          <w:rPr>
            <w:rFonts w:asciiTheme="minorHAnsi" w:hAnsiTheme="minorHAnsi"/>
            <w:noProof/>
            <w:sz w:val="22"/>
          </w:rPr>
          <w:tab/>
        </w:r>
        <w:r w:rsidR="00B66212" w:rsidRPr="0063399B">
          <w:rPr>
            <w:rStyle w:val="Hyperlink"/>
            <w:noProof/>
          </w:rPr>
          <w:t>Building Energy Codes</w:t>
        </w:r>
        <w:r w:rsidR="00B66212">
          <w:rPr>
            <w:noProof/>
            <w:webHidden/>
          </w:rPr>
          <w:tab/>
        </w:r>
        <w:r w:rsidR="00B66212">
          <w:rPr>
            <w:noProof/>
            <w:webHidden/>
          </w:rPr>
          <w:fldChar w:fldCharType="begin"/>
        </w:r>
        <w:r w:rsidR="00B66212">
          <w:rPr>
            <w:noProof/>
            <w:webHidden/>
          </w:rPr>
          <w:instrText xml:space="preserve"> PAGEREF _Toc424721551 \h </w:instrText>
        </w:r>
        <w:r w:rsidR="00B66212">
          <w:rPr>
            <w:noProof/>
            <w:webHidden/>
          </w:rPr>
        </w:r>
        <w:r w:rsidR="00B66212">
          <w:rPr>
            <w:noProof/>
            <w:webHidden/>
          </w:rPr>
          <w:fldChar w:fldCharType="separate"/>
        </w:r>
        <w:r w:rsidR="00A8218A">
          <w:rPr>
            <w:noProof/>
            <w:webHidden/>
          </w:rPr>
          <w:t>30</w:t>
        </w:r>
        <w:r w:rsidR="00B66212">
          <w:rPr>
            <w:noProof/>
            <w:webHidden/>
          </w:rPr>
          <w:fldChar w:fldCharType="end"/>
        </w:r>
      </w:hyperlink>
    </w:p>
    <w:p w14:paraId="41E6EC9B" w14:textId="77777777" w:rsidR="00B66212" w:rsidRDefault="004A61E1">
      <w:pPr>
        <w:pStyle w:val="TOC3"/>
        <w:rPr>
          <w:rFonts w:asciiTheme="minorHAnsi" w:hAnsiTheme="minorHAnsi"/>
          <w:noProof/>
          <w:sz w:val="22"/>
        </w:rPr>
      </w:pPr>
      <w:hyperlink w:anchor="_Toc424721552" w:history="1">
        <w:r w:rsidR="00B66212" w:rsidRPr="0063399B">
          <w:rPr>
            <w:rStyle w:val="Hyperlink"/>
            <w:noProof/>
          </w:rPr>
          <w:t>5.1.1</w:t>
        </w:r>
        <w:r w:rsidR="00B66212">
          <w:rPr>
            <w:rFonts w:asciiTheme="minorHAnsi" w:hAnsiTheme="minorHAnsi"/>
            <w:noProof/>
            <w:sz w:val="22"/>
          </w:rPr>
          <w:tab/>
        </w:r>
        <w:r w:rsidR="00B66212" w:rsidRPr="0063399B">
          <w:rPr>
            <w:rStyle w:val="Hyperlink"/>
            <w:noProof/>
          </w:rPr>
          <w:t>Overview</w:t>
        </w:r>
        <w:r w:rsidR="00B66212">
          <w:rPr>
            <w:noProof/>
            <w:webHidden/>
          </w:rPr>
          <w:tab/>
        </w:r>
        <w:r w:rsidR="00B66212">
          <w:rPr>
            <w:noProof/>
            <w:webHidden/>
          </w:rPr>
          <w:fldChar w:fldCharType="begin"/>
        </w:r>
        <w:r w:rsidR="00B66212">
          <w:rPr>
            <w:noProof/>
            <w:webHidden/>
          </w:rPr>
          <w:instrText xml:space="preserve"> PAGEREF _Toc424721552 \h </w:instrText>
        </w:r>
        <w:r w:rsidR="00B66212">
          <w:rPr>
            <w:noProof/>
            <w:webHidden/>
          </w:rPr>
        </w:r>
        <w:r w:rsidR="00B66212">
          <w:rPr>
            <w:noProof/>
            <w:webHidden/>
          </w:rPr>
          <w:fldChar w:fldCharType="separate"/>
        </w:r>
        <w:r w:rsidR="00A8218A">
          <w:rPr>
            <w:noProof/>
            <w:webHidden/>
          </w:rPr>
          <w:t>30</w:t>
        </w:r>
        <w:r w:rsidR="00B66212">
          <w:rPr>
            <w:noProof/>
            <w:webHidden/>
          </w:rPr>
          <w:fldChar w:fldCharType="end"/>
        </w:r>
      </w:hyperlink>
    </w:p>
    <w:p w14:paraId="530FC62E" w14:textId="77777777" w:rsidR="00B66212" w:rsidRDefault="004A61E1">
      <w:pPr>
        <w:pStyle w:val="TOC3"/>
        <w:rPr>
          <w:rFonts w:asciiTheme="minorHAnsi" w:hAnsiTheme="minorHAnsi"/>
          <w:noProof/>
          <w:sz w:val="22"/>
        </w:rPr>
      </w:pPr>
      <w:hyperlink w:anchor="_Toc424721553" w:history="1">
        <w:r w:rsidR="00B66212" w:rsidRPr="0063399B">
          <w:rPr>
            <w:rStyle w:val="Hyperlink"/>
            <w:noProof/>
          </w:rPr>
          <w:t>5.1.2</w:t>
        </w:r>
        <w:r w:rsidR="00B66212">
          <w:rPr>
            <w:rFonts w:asciiTheme="minorHAnsi" w:hAnsiTheme="minorHAnsi"/>
            <w:noProof/>
            <w:sz w:val="22"/>
          </w:rPr>
          <w:tab/>
        </w:r>
        <w:r w:rsidR="00B66212" w:rsidRPr="0063399B">
          <w:rPr>
            <w:rStyle w:val="Hyperlink"/>
            <w:noProof/>
          </w:rPr>
          <w:t>Authority / Obligated Parties</w:t>
        </w:r>
        <w:r w:rsidR="00B66212">
          <w:rPr>
            <w:noProof/>
            <w:webHidden/>
          </w:rPr>
          <w:tab/>
        </w:r>
        <w:r w:rsidR="00B66212">
          <w:rPr>
            <w:noProof/>
            <w:webHidden/>
          </w:rPr>
          <w:fldChar w:fldCharType="begin"/>
        </w:r>
        <w:r w:rsidR="00B66212">
          <w:rPr>
            <w:noProof/>
            <w:webHidden/>
          </w:rPr>
          <w:instrText xml:space="preserve"> PAGEREF _Toc424721553 \h </w:instrText>
        </w:r>
        <w:r w:rsidR="00B66212">
          <w:rPr>
            <w:noProof/>
            <w:webHidden/>
          </w:rPr>
        </w:r>
        <w:r w:rsidR="00B66212">
          <w:rPr>
            <w:noProof/>
            <w:webHidden/>
          </w:rPr>
          <w:fldChar w:fldCharType="separate"/>
        </w:r>
        <w:r w:rsidR="00A8218A">
          <w:rPr>
            <w:noProof/>
            <w:webHidden/>
          </w:rPr>
          <w:t>31</w:t>
        </w:r>
        <w:r w:rsidR="00B66212">
          <w:rPr>
            <w:noProof/>
            <w:webHidden/>
          </w:rPr>
          <w:fldChar w:fldCharType="end"/>
        </w:r>
      </w:hyperlink>
    </w:p>
    <w:p w14:paraId="1F32C4AE" w14:textId="77777777" w:rsidR="00B66212" w:rsidRDefault="004A61E1">
      <w:pPr>
        <w:pStyle w:val="TOC3"/>
        <w:rPr>
          <w:rFonts w:asciiTheme="minorHAnsi" w:hAnsiTheme="minorHAnsi"/>
          <w:noProof/>
          <w:sz w:val="22"/>
        </w:rPr>
      </w:pPr>
      <w:hyperlink w:anchor="_Toc424721554" w:history="1">
        <w:r w:rsidR="00B66212" w:rsidRPr="0063399B">
          <w:rPr>
            <w:rStyle w:val="Hyperlink"/>
            <w:noProof/>
          </w:rPr>
          <w:t>5.1.3</w:t>
        </w:r>
        <w:r w:rsidR="00B66212">
          <w:rPr>
            <w:rFonts w:asciiTheme="minorHAnsi" w:hAnsiTheme="minorHAnsi"/>
            <w:noProof/>
            <w:sz w:val="22"/>
          </w:rPr>
          <w:tab/>
        </w:r>
        <w:r w:rsidR="00B66212" w:rsidRPr="0063399B">
          <w:rPr>
            <w:rStyle w:val="Hyperlink"/>
            <w:noProof/>
          </w:rPr>
          <w:t>Building Code Regulations Over Time</w:t>
        </w:r>
        <w:r w:rsidR="00B66212">
          <w:rPr>
            <w:noProof/>
            <w:webHidden/>
          </w:rPr>
          <w:tab/>
        </w:r>
        <w:r w:rsidR="00B66212">
          <w:rPr>
            <w:noProof/>
            <w:webHidden/>
          </w:rPr>
          <w:fldChar w:fldCharType="begin"/>
        </w:r>
        <w:r w:rsidR="00B66212">
          <w:rPr>
            <w:noProof/>
            <w:webHidden/>
          </w:rPr>
          <w:instrText xml:space="preserve"> PAGEREF _Toc424721554 \h </w:instrText>
        </w:r>
        <w:r w:rsidR="00B66212">
          <w:rPr>
            <w:noProof/>
            <w:webHidden/>
          </w:rPr>
        </w:r>
        <w:r w:rsidR="00B66212">
          <w:rPr>
            <w:noProof/>
            <w:webHidden/>
          </w:rPr>
          <w:fldChar w:fldCharType="separate"/>
        </w:r>
        <w:r w:rsidR="00A8218A">
          <w:rPr>
            <w:noProof/>
            <w:webHidden/>
          </w:rPr>
          <w:t>31</w:t>
        </w:r>
        <w:r w:rsidR="00B66212">
          <w:rPr>
            <w:noProof/>
            <w:webHidden/>
          </w:rPr>
          <w:fldChar w:fldCharType="end"/>
        </w:r>
      </w:hyperlink>
    </w:p>
    <w:p w14:paraId="79B00540" w14:textId="77777777" w:rsidR="00B66212" w:rsidRDefault="004A61E1">
      <w:pPr>
        <w:pStyle w:val="TOC3"/>
        <w:rPr>
          <w:rFonts w:asciiTheme="minorHAnsi" w:hAnsiTheme="minorHAnsi"/>
          <w:noProof/>
          <w:sz w:val="22"/>
        </w:rPr>
      </w:pPr>
      <w:hyperlink w:anchor="_Toc424721555" w:history="1">
        <w:r w:rsidR="00B66212" w:rsidRPr="0063399B">
          <w:rPr>
            <w:rStyle w:val="Hyperlink"/>
            <w:noProof/>
          </w:rPr>
          <w:t>5.1.4</w:t>
        </w:r>
        <w:r w:rsidR="00B66212">
          <w:rPr>
            <w:rFonts w:asciiTheme="minorHAnsi" w:hAnsiTheme="minorHAnsi"/>
            <w:noProof/>
            <w:sz w:val="22"/>
          </w:rPr>
          <w:tab/>
        </w:r>
        <w:r w:rsidR="00B66212" w:rsidRPr="0063399B">
          <w:rPr>
            <w:rStyle w:val="Hyperlink"/>
            <w:noProof/>
          </w:rPr>
          <w:t>Remaining Market Potential</w:t>
        </w:r>
        <w:r w:rsidR="00B66212">
          <w:rPr>
            <w:noProof/>
            <w:webHidden/>
          </w:rPr>
          <w:tab/>
        </w:r>
        <w:r w:rsidR="00B66212">
          <w:rPr>
            <w:noProof/>
            <w:webHidden/>
          </w:rPr>
          <w:fldChar w:fldCharType="begin"/>
        </w:r>
        <w:r w:rsidR="00B66212">
          <w:rPr>
            <w:noProof/>
            <w:webHidden/>
          </w:rPr>
          <w:instrText xml:space="preserve"> PAGEREF _Toc424721555 \h </w:instrText>
        </w:r>
        <w:r w:rsidR="00B66212">
          <w:rPr>
            <w:noProof/>
            <w:webHidden/>
          </w:rPr>
        </w:r>
        <w:r w:rsidR="00B66212">
          <w:rPr>
            <w:noProof/>
            <w:webHidden/>
          </w:rPr>
          <w:fldChar w:fldCharType="separate"/>
        </w:r>
        <w:r w:rsidR="00A8218A">
          <w:rPr>
            <w:noProof/>
            <w:webHidden/>
          </w:rPr>
          <w:t>33</w:t>
        </w:r>
        <w:r w:rsidR="00B66212">
          <w:rPr>
            <w:noProof/>
            <w:webHidden/>
          </w:rPr>
          <w:fldChar w:fldCharType="end"/>
        </w:r>
      </w:hyperlink>
    </w:p>
    <w:p w14:paraId="70C6515F" w14:textId="7791FD4C" w:rsidR="00B66212" w:rsidRDefault="004A61E1">
      <w:pPr>
        <w:pStyle w:val="TOC2"/>
        <w:rPr>
          <w:rFonts w:asciiTheme="minorHAnsi" w:hAnsiTheme="minorHAnsi"/>
          <w:noProof/>
          <w:sz w:val="22"/>
        </w:rPr>
      </w:pPr>
      <w:hyperlink w:anchor="_Toc424721556" w:history="1">
        <w:r w:rsidR="00B66212" w:rsidRPr="0063399B">
          <w:rPr>
            <w:rStyle w:val="Hyperlink"/>
            <w:noProof/>
          </w:rPr>
          <w:t>5.2</w:t>
        </w:r>
        <w:r w:rsidR="00B66212">
          <w:rPr>
            <w:rFonts w:asciiTheme="minorHAnsi" w:hAnsiTheme="minorHAnsi"/>
            <w:noProof/>
            <w:sz w:val="22"/>
          </w:rPr>
          <w:tab/>
        </w:r>
        <w:r w:rsidR="00B66212" w:rsidRPr="0063399B">
          <w:rPr>
            <w:rStyle w:val="Hyperlink"/>
            <w:noProof/>
          </w:rPr>
          <w:t>State Appliance Standards</w:t>
        </w:r>
        <w:r w:rsidR="00B66212">
          <w:rPr>
            <w:noProof/>
            <w:webHidden/>
          </w:rPr>
          <w:tab/>
        </w:r>
        <w:r w:rsidR="00B66212">
          <w:rPr>
            <w:noProof/>
            <w:webHidden/>
          </w:rPr>
          <w:fldChar w:fldCharType="begin"/>
        </w:r>
        <w:r w:rsidR="00B66212">
          <w:rPr>
            <w:noProof/>
            <w:webHidden/>
          </w:rPr>
          <w:instrText xml:space="preserve"> PAGEREF _Toc424721556 \h </w:instrText>
        </w:r>
        <w:r w:rsidR="00B66212">
          <w:rPr>
            <w:noProof/>
            <w:webHidden/>
          </w:rPr>
        </w:r>
        <w:r w:rsidR="00B66212">
          <w:rPr>
            <w:noProof/>
            <w:webHidden/>
          </w:rPr>
          <w:fldChar w:fldCharType="separate"/>
        </w:r>
        <w:r w:rsidR="00A8218A">
          <w:rPr>
            <w:noProof/>
            <w:webHidden/>
          </w:rPr>
          <w:t>34</w:t>
        </w:r>
        <w:r w:rsidR="00B66212">
          <w:rPr>
            <w:noProof/>
            <w:webHidden/>
          </w:rPr>
          <w:fldChar w:fldCharType="end"/>
        </w:r>
      </w:hyperlink>
    </w:p>
    <w:p w14:paraId="032CA3B9" w14:textId="36AF48EB" w:rsidR="00B66212" w:rsidRDefault="004A61E1">
      <w:pPr>
        <w:pStyle w:val="TOC3"/>
        <w:rPr>
          <w:rFonts w:asciiTheme="minorHAnsi" w:hAnsiTheme="minorHAnsi"/>
          <w:noProof/>
          <w:sz w:val="22"/>
        </w:rPr>
      </w:pPr>
      <w:hyperlink w:anchor="_Toc424721557" w:history="1">
        <w:r w:rsidR="00B66212" w:rsidRPr="0063399B">
          <w:rPr>
            <w:rStyle w:val="Hyperlink"/>
            <w:noProof/>
          </w:rPr>
          <w:t>5.2.1</w:t>
        </w:r>
        <w:r w:rsidR="00B66212">
          <w:rPr>
            <w:rFonts w:asciiTheme="minorHAnsi" w:hAnsiTheme="minorHAnsi"/>
            <w:noProof/>
            <w:sz w:val="22"/>
          </w:rPr>
          <w:tab/>
        </w:r>
        <w:r w:rsidR="00B66212" w:rsidRPr="0063399B">
          <w:rPr>
            <w:rStyle w:val="Hyperlink"/>
            <w:noProof/>
          </w:rPr>
          <w:t>Overview</w:t>
        </w:r>
        <w:r w:rsidR="00B66212">
          <w:rPr>
            <w:noProof/>
            <w:webHidden/>
          </w:rPr>
          <w:tab/>
        </w:r>
        <w:r w:rsidR="00B66212">
          <w:rPr>
            <w:noProof/>
            <w:webHidden/>
          </w:rPr>
          <w:fldChar w:fldCharType="begin"/>
        </w:r>
        <w:r w:rsidR="00B66212">
          <w:rPr>
            <w:noProof/>
            <w:webHidden/>
          </w:rPr>
          <w:instrText xml:space="preserve"> PAGEREF _Toc424721557 \h </w:instrText>
        </w:r>
        <w:r w:rsidR="00B66212">
          <w:rPr>
            <w:noProof/>
            <w:webHidden/>
          </w:rPr>
        </w:r>
        <w:r w:rsidR="00B66212">
          <w:rPr>
            <w:noProof/>
            <w:webHidden/>
          </w:rPr>
          <w:fldChar w:fldCharType="separate"/>
        </w:r>
        <w:r w:rsidR="00A8218A">
          <w:rPr>
            <w:noProof/>
            <w:webHidden/>
          </w:rPr>
          <w:t>34</w:t>
        </w:r>
        <w:r w:rsidR="00B66212">
          <w:rPr>
            <w:noProof/>
            <w:webHidden/>
          </w:rPr>
          <w:fldChar w:fldCharType="end"/>
        </w:r>
      </w:hyperlink>
    </w:p>
    <w:p w14:paraId="6291AD92" w14:textId="77777777" w:rsidR="00B66212" w:rsidRDefault="004A61E1">
      <w:pPr>
        <w:pStyle w:val="TOC3"/>
        <w:rPr>
          <w:rFonts w:asciiTheme="minorHAnsi" w:hAnsiTheme="minorHAnsi"/>
          <w:noProof/>
          <w:sz w:val="22"/>
        </w:rPr>
      </w:pPr>
      <w:hyperlink w:anchor="_Toc424721558" w:history="1">
        <w:r w:rsidR="00B66212" w:rsidRPr="0063399B">
          <w:rPr>
            <w:rStyle w:val="Hyperlink"/>
            <w:noProof/>
          </w:rPr>
          <w:t>5.2.2</w:t>
        </w:r>
        <w:r w:rsidR="00B66212">
          <w:rPr>
            <w:rFonts w:asciiTheme="minorHAnsi" w:hAnsiTheme="minorHAnsi"/>
            <w:noProof/>
            <w:sz w:val="22"/>
          </w:rPr>
          <w:tab/>
        </w:r>
        <w:r w:rsidR="00B66212" w:rsidRPr="0063399B">
          <w:rPr>
            <w:rStyle w:val="Hyperlink"/>
            <w:noProof/>
          </w:rPr>
          <w:t>Authority / Obligated Parties</w:t>
        </w:r>
        <w:r w:rsidR="00B66212">
          <w:rPr>
            <w:noProof/>
            <w:webHidden/>
          </w:rPr>
          <w:tab/>
        </w:r>
        <w:r w:rsidR="00B66212">
          <w:rPr>
            <w:noProof/>
            <w:webHidden/>
          </w:rPr>
          <w:fldChar w:fldCharType="begin"/>
        </w:r>
        <w:r w:rsidR="00B66212">
          <w:rPr>
            <w:noProof/>
            <w:webHidden/>
          </w:rPr>
          <w:instrText xml:space="preserve"> PAGEREF _Toc424721558 \h </w:instrText>
        </w:r>
        <w:r w:rsidR="00B66212">
          <w:rPr>
            <w:noProof/>
            <w:webHidden/>
          </w:rPr>
        </w:r>
        <w:r w:rsidR="00B66212">
          <w:rPr>
            <w:noProof/>
            <w:webHidden/>
          </w:rPr>
          <w:fldChar w:fldCharType="separate"/>
        </w:r>
        <w:r w:rsidR="00A8218A">
          <w:rPr>
            <w:noProof/>
            <w:webHidden/>
          </w:rPr>
          <w:t>34</w:t>
        </w:r>
        <w:r w:rsidR="00B66212">
          <w:rPr>
            <w:noProof/>
            <w:webHidden/>
          </w:rPr>
          <w:fldChar w:fldCharType="end"/>
        </w:r>
      </w:hyperlink>
    </w:p>
    <w:p w14:paraId="09BCB12E" w14:textId="7D8D2008" w:rsidR="00B66212" w:rsidRDefault="004A61E1">
      <w:pPr>
        <w:pStyle w:val="TOC3"/>
        <w:rPr>
          <w:rFonts w:asciiTheme="minorHAnsi" w:hAnsiTheme="minorHAnsi"/>
          <w:noProof/>
          <w:sz w:val="22"/>
        </w:rPr>
      </w:pPr>
      <w:hyperlink w:anchor="_Toc424721559" w:history="1">
        <w:r w:rsidR="00B66212" w:rsidRPr="0063399B">
          <w:rPr>
            <w:rStyle w:val="Hyperlink"/>
            <w:noProof/>
          </w:rPr>
          <w:t>5.2.3</w:t>
        </w:r>
        <w:r w:rsidR="00B66212">
          <w:rPr>
            <w:rFonts w:asciiTheme="minorHAnsi" w:hAnsiTheme="minorHAnsi"/>
            <w:noProof/>
            <w:sz w:val="22"/>
          </w:rPr>
          <w:tab/>
        </w:r>
        <w:r w:rsidR="00B66212" w:rsidRPr="0063399B">
          <w:rPr>
            <w:rStyle w:val="Hyperlink"/>
            <w:noProof/>
          </w:rPr>
          <w:t>Appliance Standards over Time</w:t>
        </w:r>
        <w:r w:rsidR="00B66212">
          <w:rPr>
            <w:noProof/>
            <w:webHidden/>
          </w:rPr>
          <w:tab/>
        </w:r>
        <w:r w:rsidR="00B66212">
          <w:rPr>
            <w:noProof/>
            <w:webHidden/>
          </w:rPr>
          <w:fldChar w:fldCharType="begin"/>
        </w:r>
        <w:r w:rsidR="00B66212">
          <w:rPr>
            <w:noProof/>
            <w:webHidden/>
          </w:rPr>
          <w:instrText xml:space="preserve"> PAGEREF _Toc424721559 \h </w:instrText>
        </w:r>
        <w:r w:rsidR="00B66212">
          <w:rPr>
            <w:noProof/>
            <w:webHidden/>
          </w:rPr>
        </w:r>
        <w:r w:rsidR="00B66212">
          <w:rPr>
            <w:noProof/>
            <w:webHidden/>
          </w:rPr>
          <w:fldChar w:fldCharType="separate"/>
        </w:r>
        <w:r w:rsidR="00A8218A">
          <w:rPr>
            <w:noProof/>
            <w:webHidden/>
          </w:rPr>
          <w:t>35</w:t>
        </w:r>
        <w:r w:rsidR="00B66212">
          <w:rPr>
            <w:noProof/>
            <w:webHidden/>
          </w:rPr>
          <w:fldChar w:fldCharType="end"/>
        </w:r>
      </w:hyperlink>
    </w:p>
    <w:p w14:paraId="26E5F4D9" w14:textId="2A12C9BF" w:rsidR="00B66212" w:rsidRDefault="004A61E1">
      <w:pPr>
        <w:pStyle w:val="TOC3"/>
        <w:rPr>
          <w:rFonts w:asciiTheme="minorHAnsi" w:hAnsiTheme="minorHAnsi"/>
          <w:noProof/>
          <w:sz w:val="22"/>
        </w:rPr>
      </w:pPr>
      <w:hyperlink w:anchor="_Toc424721560" w:history="1">
        <w:r w:rsidR="00B66212" w:rsidRPr="0063399B">
          <w:rPr>
            <w:rStyle w:val="Hyperlink"/>
            <w:noProof/>
          </w:rPr>
          <w:t>5.2.4</w:t>
        </w:r>
        <w:r w:rsidR="00B66212">
          <w:rPr>
            <w:rFonts w:asciiTheme="minorHAnsi" w:hAnsiTheme="minorHAnsi"/>
            <w:noProof/>
            <w:sz w:val="22"/>
          </w:rPr>
          <w:tab/>
        </w:r>
        <w:r w:rsidR="00B66212" w:rsidRPr="0063399B">
          <w:rPr>
            <w:rStyle w:val="Hyperlink"/>
            <w:noProof/>
          </w:rPr>
          <w:t>Remaining Market Potential</w:t>
        </w:r>
        <w:r w:rsidR="00B66212">
          <w:rPr>
            <w:noProof/>
            <w:webHidden/>
          </w:rPr>
          <w:tab/>
        </w:r>
        <w:r w:rsidR="00B66212">
          <w:rPr>
            <w:noProof/>
            <w:webHidden/>
          </w:rPr>
          <w:fldChar w:fldCharType="begin"/>
        </w:r>
        <w:r w:rsidR="00B66212">
          <w:rPr>
            <w:noProof/>
            <w:webHidden/>
          </w:rPr>
          <w:instrText xml:space="preserve"> PAGEREF _Toc424721560 \h </w:instrText>
        </w:r>
        <w:r w:rsidR="00B66212">
          <w:rPr>
            <w:noProof/>
            <w:webHidden/>
          </w:rPr>
        </w:r>
        <w:r w:rsidR="00B66212">
          <w:rPr>
            <w:noProof/>
            <w:webHidden/>
          </w:rPr>
          <w:fldChar w:fldCharType="separate"/>
        </w:r>
        <w:r w:rsidR="00A8218A">
          <w:rPr>
            <w:noProof/>
            <w:webHidden/>
          </w:rPr>
          <w:t>36</w:t>
        </w:r>
        <w:r w:rsidR="00B66212">
          <w:rPr>
            <w:noProof/>
            <w:webHidden/>
          </w:rPr>
          <w:fldChar w:fldCharType="end"/>
        </w:r>
      </w:hyperlink>
    </w:p>
    <w:p w14:paraId="5EEEF914" w14:textId="2DD25B29" w:rsidR="00B66212" w:rsidRDefault="004A61E1">
      <w:pPr>
        <w:pStyle w:val="TOC2"/>
        <w:rPr>
          <w:rFonts w:asciiTheme="minorHAnsi" w:hAnsiTheme="minorHAnsi"/>
          <w:noProof/>
          <w:sz w:val="22"/>
        </w:rPr>
      </w:pPr>
      <w:hyperlink w:anchor="_Toc424721561" w:history="1">
        <w:r w:rsidR="00B66212" w:rsidRPr="0063399B">
          <w:rPr>
            <w:rStyle w:val="Hyperlink"/>
            <w:noProof/>
          </w:rPr>
          <w:t>5.3</w:t>
        </w:r>
        <w:r w:rsidR="00B66212">
          <w:rPr>
            <w:rFonts w:asciiTheme="minorHAnsi" w:hAnsiTheme="minorHAnsi"/>
            <w:noProof/>
            <w:sz w:val="22"/>
          </w:rPr>
          <w:tab/>
        </w:r>
        <w:r w:rsidR="00B66212" w:rsidRPr="0063399B">
          <w:rPr>
            <w:rStyle w:val="Hyperlink"/>
            <w:noProof/>
          </w:rPr>
          <w:t>Energy Service Performance Contracting</w:t>
        </w:r>
        <w:r w:rsidR="00B66212">
          <w:rPr>
            <w:noProof/>
            <w:webHidden/>
          </w:rPr>
          <w:tab/>
        </w:r>
        <w:r w:rsidR="00B66212">
          <w:rPr>
            <w:noProof/>
            <w:webHidden/>
          </w:rPr>
          <w:fldChar w:fldCharType="begin"/>
        </w:r>
        <w:r w:rsidR="00B66212">
          <w:rPr>
            <w:noProof/>
            <w:webHidden/>
          </w:rPr>
          <w:instrText xml:space="preserve"> PAGEREF _Toc424721561 \h </w:instrText>
        </w:r>
        <w:r w:rsidR="00B66212">
          <w:rPr>
            <w:noProof/>
            <w:webHidden/>
          </w:rPr>
        </w:r>
        <w:r w:rsidR="00B66212">
          <w:rPr>
            <w:noProof/>
            <w:webHidden/>
          </w:rPr>
          <w:fldChar w:fldCharType="separate"/>
        </w:r>
        <w:r w:rsidR="00A8218A">
          <w:rPr>
            <w:noProof/>
            <w:webHidden/>
          </w:rPr>
          <w:t>37</w:t>
        </w:r>
        <w:r w:rsidR="00B66212">
          <w:rPr>
            <w:noProof/>
            <w:webHidden/>
          </w:rPr>
          <w:fldChar w:fldCharType="end"/>
        </w:r>
      </w:hyperlink>
    </w:p>
    <w:p w14:paraId="10D662B7" w14:textId="7A000543" w:rsidR="00B66212" w:rsidRDefault="004A61E1">
      <w:pPr>
        <w:pStyle w:val="TOC3"/>
        <w:rPr>
          <w:rFonts w:asciiTheme="minorHAnsi" w:hAnsiTheme="minorHAnsi"/>
          <w:noProof/>
          <w:sz w:val="22"/>
        </w:rPr>
      </w:pPr>
      <w:hyperlink w:anchor="_Toc424721562" w:history="1">
        <w:r w:rsidR="00B66212" w:rsidRPr="0063399B">
          <w:rPr>
            <w:rStyle w:val="Hyperlink"/>
            <w:noProof/>
          </w:rPr>
          <w:t>5.3.1</w:t>
        </w:r>
        <w:r w:rsidR="00B66212">
          <w:rPr>
            <w:rFonts w:asciiTheme="minorHAnsi" w:hAnsiTheme="minorHAnsi"/>
            <w:noProof/>
            <w:sz w:val="22"/>
          </w:rPr>
          <w:tab/>
        </w:r>
        <w:r w:rsidR="00B66212" w:rsidRPr="0063399B">
          <w:rPr>
            <w:rStyle w:val="Hyperlink"/>
            <w:noProof/>
          </w:rPr>
          <w:t>Overview</w:t>
        </w:r>
        <w:r w:rsidR="00B66212">
          <w:rPr>
            <w:noProof/>
            <w:webHidden/>
          </w:rPr>
          <w:tab/>
        </w:r>
        <w:r w:rsidR="00B66212">
          <w:rPr>
            <w:noProof/>
            <w:webHidden/>
          </w:rPr>
          <w:fldChar w:fldCharType="begin"/>
        </w:r>
        <w:r w:rsidR="00B66212">
          <w:rPr>
            <w:noProof/>
            <w:webHidden/>
          </w:rPr>
          <w:instrText xml:space="preserve"> PAGEREF _Toc424721562 \h </w:instrText>
        </w:r>
        <w:r w:rsidR="00B66212">
          <w:rPr>
            <w:noProof/>
            <w:webHidden/>
          </w:rPr>
        </w:r>
        <w:r w:rsidR="00B66212">
          <w:rPr>
            <w:noProof/>
            <w:webHidden/>
          </w:rPr>
          <w:fldChar w:fldCharType="separate"/>
        </w:r>
        <w:r w:rsidR="00A8218A">
          <w:rPr>
            <w:noProof/>
            <w:webHidden/>
          </w:rPr>
          <w:t>37</w:t>
        </w:r>
        <w:r w:rsidR="00B66212">
          <w:rPr>
            <w:noProof/>
            <w:webHidden/>
          </w:rPr>
          <w:fldChar w:fldCharType="end"/>
        </w:r>
      </w:hyperlink>
    </w:p>
    <w:p w14:paraId="0B95AFEB" w14:textId="6DD6E594" w:rsidR="00B66212" w:rsidRDefault="004A61E1">
      <w:pPr>
        <w:pStyle w:val="TOC3"/>
        <w:rPr>
          <w:rFonts w:asciiTheme="minorHAnsi" w:hAnsiTheme="minorHAnsi"/>
          <w:noProof/>
          <w:sz w:val="22"/>
        </w:rPr>
      </w:pPr>
      <w:hyperlink w:anchor="_Toc424721563" w:history="1">
        <w:r w:rsidR="00B66212" w:rsidRPr="0063399B">
          <w:rPr>
            <w:rStyle w:val="Hyperlink"/>
            <w:noProof/>
          </w:rPr>
          <w:t>5.3.2</w:t>
        </w:r>
        <w:r w:rsidR="00B66212">
          <w:rPr>
            <w:rFonts w:asciiTheme="minorHAnsi" w:hAnsiTheme="minorHAnsi"/>
            <w:noProof/>
            <w:sz w:val="22"/>
          </w:rPr>
          <w:tab/>
        </w:r>
        <w:r w:rsidR="00B66212" w:rsidRPr="0063399B">
          <w:rPr>
            <w:rStyle w:val="Hyperlink"/>
            <w:noProof/>
          </w:rPr>
          <w:t>History of ESPC Programs and the ESCO Business Model</w:t>
        </w:r>
        <w:r w:rsidR="00B66212">
          <w:rPr>
            <w:noProof/>
            <w:webHidden/>
          </w:rPr>
          <w:tab/>
        </w:r>
        <w:r w:rsidR="00B66212">
          <w:rPr>
            <w:noProof/>
            <w:webHidden/>
          </w:rPr>
          <w:fldChar w:fldCharType="begin"/>
        </w:r>
        <w:r w:rsidR="00B66212">
          <w:rPr>
            <w:noProof/>
            <w:webHidden/>
          </w:rPr>
          <w:instrText xml:space="preserve"> PAGEREF _Toc424721563 \h </w:instrText>
        </w:r>
        <w:r w:rsidR="00B66212">
          <w:rPr>
            <w:noProof/>
            <w:webHidden/>
          </w:rPr>
        </w:r>
        <w:r w:rsidR="00B66212">
          <w:rPr>
            <w:noProof/>
            <w:webHidden/>
          </w:rPr>
          <w:fldChar w:fldCharType="separate"/>
        </w:r>
        <w:r w:rsidR="00A8218A">
          <w:rPr>
            <w:noProof/>
            <w:webHidden/>
          </w:rPr>
          <w:t>38</w:t>
        </w:r>
        <w:r w:rsidR="00B66212">
          <w:rPr>
            <w:noProof/>
            <w:webHidden/>
          </w:rPr>
          <w:fldChar w:fldCharType="end"/>
        </w:r>
      </w:hyperlink>
    </w:p>
    <w:p w14:paraId="088A8F02" w14:textId="683263E9" w:rsidR="00B66212" w:rsidRDefault="004A61E1">
      <w:pPr>
        <w:pStyle w:val="TOC3"/>
        <w:rPr>
          <w:rFonts w:asciiTheme="minorHAnsi" w:hAnsiTheme="minorHAnsi"/>
          <w:noProof/>
          <w:sz w:val="22"/>
        </w:rPr>
      </w:pPr>
      <w:hyperlink w:anchor="_Toc424721564" w:history="1">
        <w:r w:rsidR="00B66212" w:rsidRPr="0063399B">
          <w:rPr>
            <w:rStyle w:val="Hyperlink"/>
            <w:noProof/>
          </w:rPr>
          <w:t>5.3.3</w:t>
        </w:r>
        <w:r w:rsidR="00B66212">
          <w:rPr>
            <w:rFonts w:asciiTheme="minorHAnsi" w:hAnsiTheme="minorHAnsi"/>
            <w:noProof/>
            <w:sz w:val="22"/>
          </w:rPr>
          <w:tab/>
        </w:r>
        <w:r w:rsidR="00B66212" w:rsidRPr="0063399B">
          <w:rPr>
            <w:rStyle w:val="Hyperlink"/>
            <w:noProof/>
          </w:rPr>
          <w:t>Remaining Market Potential</w:t>
        </w:r>
        <w:r w:rsidR="00B66212">
          <w:rPr>
            <w:noProof/>
            <w:webHidden/>
          </w:rPr>
          <w:tab/>
        </w:r>
        <w:r w:rsidR="00B66212">
          <w:rPr>
            <w:noProof/>
            <w:webHidden/>
          </w:rPr>
          <w:fldChar w:fldCharType="begin"/>
        </w:r>
        <w:r w:rsidR="00B66212">
          <w:rPr>
            <w:noProof/>
            <w:webHidden/>
          </w:rPr>
          <w:instrText xml:space="preserve"> PAGEREF _Toc424721564 \h </w:instrText>
        </w:r>
        <w:r w:rsidR="00B66212">
          <w:rPr>
            <w:noProof/>
            <w:webHidden/>
          </w:rPr>
        </w:r>
        <w:r w:rsidR="00B66212">
          <w:rPr>
            <w:noProof/>
            <w:webHidden/>
          </w:rPr>
          <w:fldChar w:fldCharType="separate"/>
        </w:r>
        <w:r w:rsidR="00A8218A">
          <w:rPr>
            <w:noProof/>
            <w:webHidden/>
          </w:rPr>
          <w:t>39</w:t>
        </w:r>
        <w:r w:rsidR="00B66212">
          <w:rPr>
            <w:noProof/>
            <w:webHidden/>
          </w:rPr>
          <w:fldChar w:fldCharType="end"/>
        </w:r>
      </w:hyperlink>
    </w:p>
    <w:p w14:paraId="469D01E3" w14:textId="702FD94D" w:rsidR="00B66212" w:rsidRDefault="004A61E1">
      <w:pPr>
        <w:pStyle w:val="TOC2"/>
        <w:rPr>
          <w:rFonts w:asciiTheme="minorHAnsi" w:hAnsiTheme="minorHAnsi"/>
          <w:noProof/>
          <w:sz w:val="22"/>
        </w:rPr>
      </w:pPr>
      <w:hyperlink w:anchor="_Toc424721565" w:history="1">
        <w:r w:rsidR="00B66212" w:rsidRPr="0063399B">
          <w:rPr>
            <w:rStyle w:val="Hyperlink"/>
            <w:noProof/>
          </w:rPr>
          <w:t>5.4</w:t>
        </w:r>
        <w:r w:rsidR="00B66212">
          <w:rPr>
            <w:rFonts w:asciiTheme="minorHAnsi" w:hAnsiTheme="minorHAnsi"/>
            <w:noProof/>
            <w:sz w:val="22"/>
          </w:rPr>
          <w:tab/>
        </w:r>
        <w:r w:rsidR="00B66212" w:rsidRPr="0063399B">
          <w:rPr>
            <w:rStyle w:val="Hyperlink"/>
            <w:noProof/>
          </w:rPr>
          <w:t>Volt/VAR Optimization</w:t>
        </w:r>
        <w:r w:rsidR="00B66212">
          <w:rPr>
            <w:noProof/>
            <w:webHidden/>
          </w:rPr>
          <w:tab/>
        </w:r>
        <w:r w:rsidR="00B66212">
          <w:rPr>
            <w:noProof/>
            <w:webHidden/>
          </w:rPr>
          <w:fldChar w:fldCharType="begin"/>
        </w:r>
        <w:r w:rsidR="00B66212">
          <w:rPr>
            <w:noProof/>
            <w:webHidden/>
          </w:rPr>
          <w:instrText xml:space="preserve"> PAGEREF _Toc424721565 \h </w:instrText>
        </w:r>
        <w:r w:rsidR="00B66212">
          <w:rPr>
            <w:noProof/>
            <w:webHidden/>
          </w:rPr>
        </w:r>
        <w:r w:rsidR="00B66212">
          <w:rPr>
            <w:noProof/>
            <w:webHidden/>
          </w:rPr>
          <w:fldChar w:fldCharType="separate"/>
        </w:r>
        <w:r w:rsidR="00A8218A">
          <w:rPr>
            <w:noProof/>
            <w:webHidden/>
          </w:rPr>
          <w:t>40</w:t>
        </w:r>
        <w:r w:rsidR="00B66212">
          <w:rPr>
            <w:noProof/>
            <w:webHidden/>
          </w:rPr>
          <w:fldChar w:fldCharType="end"/>
        </w:r>
      </w:hyperlink>
    </w:p>
    <w:p w14:paraId="105E4A38" w14:textId="76B0623E" w:rsidR="00B66212" w:rsidRDefault="004A61E1">
      <w:pPr>
        <w:pStyle w:val="TOC3"/>
        <w:rPr>
          <w:rFonts w:asciiTheme="minorHAnsi" w:hAnsiTheme="minorHAnsi"/>
          <w:noProof/>
          <w:sz w:val="22"/>
        </w:rPr>
      </w:pPr>
      <w:hyperlink w:anchor="_Toc424721566" w:history="1">
        <w:r w:rsidR="00B66212" w:rsidRPr="0063399B">
          <w:rPr>
            <w:rStyle w:val="Hyperlink"/>
            <w:noProof/>
          </w:rPr>
          <w:t>5.4.1</w:t>
        </w:r>
        <w:r w:rsidR="00B66212">
          <w:rPr>
            <w:rFonts w:asciiTheme="minorHAnsi" w:hAnsiTheme="minorHAnsi"/>
            <w:noProof/>
            <w:sz w:val="22"/>
          </w:rPr>
          <w:tab/>
        </w:r>
        <w:r w:rsidR="00B66212" w:rsidRPr="0063399B">
          <w:rPr>
            <w:rStyle w:val="Hyperlink"/>
            <w:noProof/>
          </w:rPr>
          <w:t>Overview</w:t>
        </w:r>
        <w:r w:rsidR="00B66212">
          <w:rPr>
            <w:noProof/>
            <w:webHidden/>
          </w:rPr>
          <w:tab/>
        </w:r>
        <w:r w:rsidR="00B66212">
          <w:rPr>
            <w:noProof/>
            <w:webHidden/>
          </w:rPr>
          <w:fldChar w:fldCharType="begin"/>
        </w:r>
        <w:r w:rsidR="00B66212">
          <w:rPr>
            <w:noProof/>
            <w:webHidden/>
          </w:rPr>
          <w:instrText xml:space="preserve"> PAGEREF _Toc424721566 \h </w:instrText>
        </w:r>
        <w:r w:rsidR="00B66212">
          <w:rPr>
            <w:noProof/>
            <w:webHidden/>
          </w:rPr>
        </w:r>
        <w:r w:rsidR="00B66212">
          <w:rPr>
            <w:noProof/>
            <w:webHidden/>
          </w:rPr>
          <w:fldChar w:fldCharType="separate"/>
        </w:r>
        <w:r w:rsidR="00A8218A">
          <w:rPr>
            <w:noProof/>
            <w:webHidden/>
          </w:rPr>
          <w:t>40</w:t>
        </w:r>
        <w:r w:rsidR="00B66212">
          <w:rPr>
            <w:noProof/>
            <w:webHidden/>
          </w:rPr>
          <w:fldChar w:fldCharType="end"/>
        </w:r>
      </w:hyperlink>
    </w:p>
    <w:p w14:paraId="0C51F747" w14:textId="67B5EDB7" w:rsidR="00B66212" w:rsidRDefault="004A61E1">
      <w:pPr>
        <w:pStyle w:val="TOC3"/>
        <w:rPr>
          <w:rFonts w:asciiTheme="minorHAnsi" w:hAnsiTheme="minorHAnsi"/>
          <w:noProof/>
          <w:sz w:val="22"/>
        </w:rPr>
      </w:pPr>
      <w:hyperlink w:anchor="_Toc424721567" w:history="1">
        <w:r w:rsidR="00B66212" w:rsidRPr="0063399B">
          <w:rPr>
            <w:rStyle w:val="Hyperlink"/>
            <w:noProof/>
          </w:rPr>
          <w:t>5.4.2</w:t>
        </w:r>
        <w:r w:rsidR="00B66212">
          <w:rPr>
            <w:rFonts w:asciiTheme="minorHAnsi" w:hAnsiTheme="minorHAnsi"/>
            <w:noProof/>
            <w:sz w:val="22"/>
          </w:rPr>
          <w:tab/>
        </w:r>
        <w:r w:rsidR="00B66212" w:rsidRPr="0063399B">
          <w:rPr>
            <w:rStyle w:val="Hyperlink"/>
            <w:noProof/>
          </w:rPr>
          <w:t>History of VVO Programs</w:t>
        </w:r>
        <w:r w:rsidR="00B66212">
          <w:rPr>
            <w:noProof/>
            <w:webHidden/>
          </w:rPr>
          <w:tab/>
        </w:r>
        <w:r w:rsidR="00B66212">
          <w:rPr>
            <w:noProof/>
            <w:webHidden/>
          </w:rPr>
          <w:fldChar w:fldCharType="begin"/>
        </w:r>
        <w:r w:rsidR="00B66212">
          <w:rPr>
            <w:noProof/>
            <w:webHidden/>
          </w:rPr>
          <w:instrText xml:space="preserve"> PAGEREF _Toc424721567 \h </w:instrText>
        </w:r>
        <w:r w:rsidR="00B66212">
          <w:rPr>
            <w:noProof/>
            <w:webHidden/>
          </w:rPr>
        </w:r>
        <w:r w:rsidR="00B66212">
          <w:rPr>
            <w:noProof/>
            <w:webHidden/>
          </w:rPr>
          <w:fldChar w:fldCharType="separate"/>
        </w:r>
        <w:r w:rsidR="00A8218A">
          <w:rPr>
            <w:noProof/>
            <w:webHidden/>
          </w:rPr>
          <w:t>42</w:t>
        </w:r>
        <w:r w:rsidR="00B66212">
          <w:rPr>
            <w:noProof/>
            <w:webHidden/>
          </w:rPr>
          <w:fldChar w:fldCharType="end"/>
        </w:r>
      </w:hyperlink>
    </w:p>
    <w:p w14:paraId="3F88035C" w14:textId="496D75CC" w:rsidR="00B66212" w:rsidRDefault="004A61E1">
      <w:pPr>
        <w:pStyle w:val="TOC3"/>
        <w:rPr>
          <w:rFonts w:asciiTheme="minorHAnsi" w:hAnsiTheme="minorHAnsi"/>
          <w:noProof/>
          <w:sz w:val="22"/>
        </w:rPr>
      </w:pPr>
      <w:hyperlink w:anchor="_Toc424721568" w:history="1">
        <w:r w:rsidR="00B66212" w:rsidRPr="0063399B">
          <w:rPr>
            <w:rStyle w:val="Hyperlink"/>
            <w:noProof/>
          </w:rPr>
          <w:t>5.4.3</w:t>
        </w:r>
        <w:r w:rsidR="00B66212">
          <w:rPr>
            <w:rFonts w:asciiTheme="minorHAnsi" w:hAnsiTheme="minorHAnsi"/>
            <w:noProof/>
            <w:sz w:val="22"/>
          </w:rPr>
          <w:tab/>
        </w:r>
        <w:r w:rsidR="00B66212" w:rsidRPr="0063399B">
          <w:rPr>
            <w:rStyle w:val="Hyperlink"/>
            <w:noProof/>
          </w:rPr>
          <w:t>VVO Market Potential</w:t>
        </w:r>
        <w:r w:rsidR="00B66212">
          <w:rPr>
            <w:noProof/>
            <w:webHidden/>
          </w:rPr>
          <w:tab/>
        </w:r>
        <w:r w:rsidR="00B66212">
          <w:rPr>
            <w:noProof/>
            <w:webHidden/>
          </w:rPr>
          <w:fldChar w:fldCharType="begin"/>
        </w:r>
        <w:r w:rsidR="00B66212">
          <w:rPr>
            <w:noProof/>
            <w:webHidden/>
          </w:rPr>
          <w:instrText xml:space="preserve"> PAGEREF _Toc424721568 \h </w:instrText>
        </w:r>
        <w:r w:rsidR="00B66212">
          <w:rPr>
            <w:noProof/>
            <w:webHidden/>
          </w:rPr>
        </w:r>
        <w:r w:rsidR="00B66212">
          <w:rPr>
            <w:noProof/>
            <w:webHidden/>
          </w:rPr>
          <w:fldChar w:fldCharType="separate"/>
        </w:r>
        <w:r w:rsidR="00A8218A">
          <w:rPr>
            <w:noProof/>
            <w:webHidden/>
          </w:rPr>
          <w:t>43</w:t>
        </w:r>
        <w:r w:rsidR="00B66212">
          <w:rPr>
            <w:noProof/>
            <w:webHidden/>
          </w:rPr>
          <w:fldChar w:fldCharType="end"/>
        </w:r>
      </w:hyperlink>
    </w:p>
    <w:p w14:paraId="5FF5AC79" w14:textId="074CF7AB" w:rsidR="00B66212" w:rsidRDefault="004A61E1">
      <w:pPr>
        <w:pStyle w:val="TOC1"/>
        <w:rPr>
          <w:rFonts w:asciiTheme="minorHAnsi" w:eastAsiaTheme="minorEastAsia" w:hAnsiTheme="minorHAnsi"/>
          <w:b w:val="0"/>
          <w:noProof/>
          <w:sz w:val="22"/>
        </w:rPr>
      </w:pPr>
      <w:hyperlink w:anchor="_Toc424721569" w:history="1">
        <w:r w:rsidR="00B66212" w:rsidRPr="0063399B">
          <w:rPr>
            <w:rStyle w:val="Hyperlink"/>
            <w:noProof/>
          </w:rPr>
          <w:t>6.</w:t>
        </w:r>
        <w:r w:rsidR="00B66212">
          <w:rPr>
            <w:rFonts w:asciiTheme="minorHAnsi" w:eastAsiaTheme="minorEastAsia" w:hAnsiTheme="minorHAnsi"/>
            <w:b w:val="0"/>
            <w:noProof/>
            <w:sz w:val="22"/>
          </w:rPr>
          <w:tab/>
        </w:r>
        <w:r w:rsidR="00B66212" w:rsidRPr="0063399B">
          <w:rPr>
            <w:rStyle w:val="Hyperlink"/>
            <w:noProof/>
          </w:rPr>
          <w:t>Utility Regulatory Models for Supporting Demand-Side EE</w:t>
        </w:r>
        <w:r w:rsidR="00B66212">
          <w:rPr>
            <w:noProof/>
            <w:webHidden/>
          </w:rPr>
          <w:tab/>
        </w:r>
        <w:r w:rsidR="00B66212">
          <w:rPr>
            <w:noProof/>
            <w:webHidden/>
          </w:rPr>
          <w:fldChar w:fldCharType="begin"/>
        </w:r>
        <w:r w:rsidR="00B66212">
          <w:rPr>
            <w:noProof/>
            <w:webHidden/>
          </w:rPr>
          <w:instrText xml:space="preserve"> PAGEREF _Toc424721569 \h </w:instrText>
        </w:r>
        <w:r w:rsidR="00B66212">
          <w:rPr>
            <w:noProof/>
            <w:webHidden/>
          </w:rPr>
        </w:r>
        <w:r w:rsidR="00B66212">
          <w:rPr>
            <w:noProof/>
            <w:webHidden/>
          </w:rPr>
          <w:fldChar w:fldCharType="separate"/>
        </w:r>
        <w:r w:rsidR="00A8218A">
          <w:rPr>
            <w:noProof/>
            <w:webHidden/>
          </w:rPr>
          <w:t>43</w:t>
        </w:r>
        <w:r w:rsidR="00B66212">
          <w:rPr>
            <w:noProof/>
            <w:webHidden/>
          </w:rPr>
          <w:fldChar w:fldCharType="end"/>
        </w:r>
      </w:hyperlink>
    </w:p>
    <w:p w14:paraId="6EE685CE" w14:textId="2EC60575" w:rsidR="00B66212" w:rsidRDefault="004A61E1">
      <w:pPr>
        <w:pStyle w:val="TOC1"/>
        <w:rPr>
          <w:rFonts w:asciiTheme="minorHAnsi" w:eastAsiaTheme="minorEastAsia" w:hAnsiTheme="minorHAnsi"/>
          <w:b w:val="0"/>
          <w:noProof/>
          <w:sz w:val="22"/>
        </w:rPr>
      </w:pPr>
      <w:hyperlink w:anchor="_Toc424721570" w:history="1">
        <w:r w:rsidR="00B66212" w:rsidRPr="0063399B">
          <w:rPr>
            <w:rStyle w:val="Hyperlink"/>
            <w:noProof/>
          </w:rPr>
          <w:t>7.</w:t>
        </w:r>
        <w:r w:rsidR="00B66212">
          <w:rPr>
            <w:rFonts w:asciiTheme="minorHAnsi" w:eastAsiaTheme="minorEastAsia" w:hAnsiTheme="minorHAnsi"/>
            <w:b w:val="0"/>
            <w:noProof/>
            <w:sz w:val="22"/>
          </w:rPr>
          <w:tab/>
        </w:r>
        <w:r w:rsidR="00B66212" w:rsidRPr="0063399B">
          <w:rPr>
            <w:rStyle w:val="Hyperlink"/>
            <w:noProof/>
          </w:rPr>
          <w:t>Energy Efficiency Certificates</w:t>
        </w:r>
        <w:r w:rsidR="00B66212">
          <w:rPr>
            <w:noProof/>
            <w:webHidden/>
          </w:rPr>
          <w:tab/>
        </w:r>
        <w:r w:rsidR="00B66212">
          <w:rPr>
            <w:noProof/>
            <w:webHidden/>
          </w:rPr>
          <w:fldChar w:fldCharType="begin"/>
        </w:r>
        <w:r w:rsidR="00B66212">
          <w:rPr>
            <w:noProof/>
            <w:webHidden/>
          </w:rPr>
          <w:instrText xml:space="preserve"> PAGEREF _Toc424721570 \h </w:instrText>
        </w:r>
        <w:r w:rsidR="00B66212">
          <w:rPr>
            <w:noProof/>
            <w:webHidden/>
          </w:rPr>
        </w:r>
        <w:r w:rsidR="00B66212">
          <w:rPr>
            <w:noProof/>
            <w:webHidden/>
          </w:rPr>
          <w:fldChar w:fldCharType="separate"/>
        </w:r>
        <w:r w:rsidR="00A8218A">
          <w:rPr>
            <w:noProof/>
            <w:webHidden/>
          </w:rPr>
          <w:t>46</w:t>
        </w:r>
        <w:r w:rsidR="00B66212">
          <w:rPr>
            <w:noProof/>
            <w:webHidden/>
          </w:rPr>
          <w:fldChar w:fldCharType="end"/>
        </w:r>
      </w:hyperlink>
    </w:p>
    <w:p w14:paraId="1CA8269A" w14:textId="7DCC2507" w:rsidR="00B66212" w:rsidRDefault="004A61E1">
      <w:pPr>
        <w:pStyle w:val="TOC1"/>
        <w:rPr>
          <w:rFonts w:asciiTheme="minorHAnsi" w:eastAsiaTheme="minorEastAsia" w:hAnsiTheme="minorHAnsi"/>
          <w:b w:val="0"/>
          <w:noProof/>
          <w:sz w:val="22"/>
        </w:rPr>
      </w:pPr>
      <w:hyperlink w:anchor="_Toc424721571" w:history="1">
        <w:r w:rsidR="00B66212" w:rsidRPr="0063399B">
          <w:rPr>
            <w:rStyle w:val="Hyperlink"/>
            <w:noProof/>
          </w:rPr>
          <w:t>8.</w:t>
        </w:r>
        <w:r w:rsidR="00B66212">
          <w:rPr>
            <w:rFonts w:asciiTheme="minorHAnsi" w:eastAsiaTheme="minorEastAsia" w:hAnsiTheme="minorHAnsi"/>
            <w:b w:val="0"/>
            <w:noProof/>
            <w:sz w:val="22"/>
          </w:rPr>
          <w:tab/>
        </w:r>
        <w:r w:rsidR="00B66212" w:rsidRPr="0063399B">
          <w:rPr>
            <w:rStyle w:val="Hyperlink"/>
            <w:noProof/>
          </w:rPr>
          <w:t>Demand-Side EE Plan Scenario: Magnitude and Timing of Savings</w:t>
        </w:r>
        <w:r w:rsidR="00B66212">
          <w:rPr>
            <w:noProof/>
            <w:webHidden/>
          </w:rPr>
          <w:tab/>
        </w:r>
        <w:r w:rsidR="00B66212">
          <w:rPr>
            <w:noProof/>
            <w:webHidden/>
          </w:rPr>
          <w:fldChar w:fldCharType="begin"/>
        </w:r>
        <w:r w:rsidR="00B66212">
          <w:rPr>
            <w:noProof/>
            <w:webHidden/>
          </w:rPr>
          <w:instrText xml:space="preserve"> PAGEREF _Toc424721571 \h </w:instrText>
        </w:r>
        <w:r w:rsidR="00B66212">
          <w:rPr>
            <w:noProof/>
            <w:webHidden/>
          </w:rPr>
        </w:r>
        <w:r w:rsidR="00B66212">
          <w:rPr>
            <w:noProof/>
            <w:webHidden/>
          </w:rPr>
          <w:fldChar w:fldCharType="separate"/>
        </w:r>
        <w:r w:rsidR="00A8218A">
          <w:rPr>
            <w:noProof/>
            <w:webHidden/>
          </w:rPr>
          <w:t>49</w:t>
        </w:r>
        <w:r w:rsidR="00B66212">
          <w:rPr>
            <w:noProof/>
            <w:webHidden/>
          </w:rPr>
          <w:fldChar w:fldCharType="end"/>
        </w:r>
      </w:hyperlink>
    </w:p>
    <w:p w14:paraId="79DD91AC" w14:textId="1BB58158" w:rsidR="00B66212" w:rsidRDefault="004A61E1">
      <w:pPr>
        <w:pStyle w:val="TOC2"/>
        <w:rPr>
          <w:rFonts w:asciiTheme="minorHAnsi" w:hAnsiTheme="minorHAnsi"/>
          <w:noProof/>
          <w:sz w:val="22"/>
        </w:rPr>
      </w:pPr>
      <w:hyperlink w:anchor="_Toc424721572" w:history="1">
        <w:r w:rsidR="00B66212" w:rsidRPr="0063399B">
          <w:rPr>
            <w:rStyle w:val="Hyperlink"/>
            <w:noProof/>
          </w:rPr>
          <w:t>8.1</w:t>
        </w:r>
        <w:r w:rsidR="00B66212">
          <w:rPr>
            <w:rFonts w:asciiTheme="minorHAnsi" w:hAnsiTheme="minorHAnsi"/>
            <w:noProof/>
            <w:sz w:val="22"/>
          </w:rPr>
          <w:tab/>
        </w:r>
        <w:r w:rsidR="00B66212" w:rsidRPr="0063399B">
          <w:rPr>
            <w:rStyle w:val="Hyperlink"/>
            <w:noProof/>
          </w:rPr>
          <w:t>Approach</w:t>
        </w:r>
        <w:r w:rsidR="00B66212">
          <w:rPr>
            <w:noProof/>
            <w:webHidden/>
          </w:rPr>
          <w:tab/>
        </w:r>
        <w:r w:rsidR="00B66212">
          <w:rPr>
            <w:noProof/>
            <w:webHidden/>
          </w:rPr>
          <w:fldChar w:fldCharType="begin"/>
        </w:r>
        <w:r w:rsidR="00B66212">
          <w:rPr>
            <w:noProof/>
            <w:webHidden/>
          </w:rPr>
          <w:instrText xml:space="preserve"> PAGEREF _Toc424721572 \h </w:instrText>
        </w:r>
        <w:r w:rsidR="00B66212">
          <w:rPr>
            <w:noProof/>
            <w:webHidden/>
          </w:rPr>
        </w:r>
        <w:r w:rsidR="00B66212">
          <w:rPr>
            <w:noProof/>
            <w:webHidden/>
          </w:rPr>
          <w:fldChar w:fldCharType="separate"/>
        </w:r>
        <w:r w:rsidR="00A8218A">
          <w:rPr>
            <w:noProof/>
            <w:webHidden/>
          </w:rPr>
          <w:t>49</w:t>
        </w:r>
        <w:r w:rsidR="00B66212">
          <w:rPr>
            <w:noProof/>
            <w:webHidden/>
          </w:rPr>
          <w:fldChar w:fldCharType="end"/>
        </w:r>
      </w:hyperlink>
    </w:p>
    <w:p w14:paraId="442A685F" w14:textId="1D2FD3EE" w:rsidR="00B66212" w:rsidRDefault="004A61E1">
      <w:pPr>
        <w:pStyle w:val="TOC2"/>
        <w:rPr>
          <w:rFonts w:asciiTheme="minorHAnsi" w:hAnsiTheme="minorHAnsi"/>
          <w:noProof/>
          <w:sz w:val="22"/>
        </w:rPr>
      </w:pPr>
      <w:hyperlink w:anchor="_Toc424721573" w:history="1">
        <w:r w:rsidR="00B66212" w:rsidRPr="0063399B">
          <w:rPr>
            <w:rStyle w:val="Hyperlink"/>
            <w:noProof/>
          </w:rPr>
          <w:t>8.2</w:t>
        </w:r>
        <w:r w:rsidR="00B66212">
          <w:rPr>
            <w:rFonts w:asciiTheme="minorHAnsi" w:hAnsiTheme="minorHAnsi"/>
            <w:noProof/>
            <w:sz w:val="22"/>
          </w:rPr>
          <w:tab/>
        </w:r>
        <w:r w:rsidR="00B66212" w:rsidRPr="0063399B">
          <w:rPr>
            <w:rStyle w:val="Hyperlink"/>
            <w:noProof/>
          </w:rPr>
          <w:t>Inputs</w:t>
        </w:r>
        <w:r w:rsidR="00B66212">
          <w:rPr>
            <w:noProof/>
            <w:webHidden/>
          </w:rPr>
          <w:tab/>
        </w:r>
        <w:r w:rsidR="00B66212">
          <w:rPr>
            <w:noProof/>
            <w:webHidden/>
          </w:rPr>
          <w:fldChar w:fldCharType="begin"/>
        </w:r>
        <w:r w:rsidR="00B66212">
          <w:rPr>
            <w:noProof/>
            <w:webHidden/>
          </w:rPr>
          <w:instrText xml:space="preserve"> PAGEREF _Toc424721573 \h </w:instrText>
        </w:r>
        <w:r w:rsidR="00B66212">
          <w:rPr>
            <w:noProof/>
            <w:webHidden/>
          </w:rPr>
        </w:r>
        <w:r w:rsidR="00B66212">
          <w:rPr>
            <w:noProof/>
            <w:webHidden/>
          </w:rPr>
          <w:fldChar w:fldCharType="separate"/>
        </w:r>
        <w:r w:rsidR="00A8218A">
          <w:rPr>
            <w:noProof/>
            <w:webHidden/>
          </w:rPr>
          <w:t>50</w:t>
        </w:r>
        <w:r w:rsidR="00B66212">
          <w:rPr>
            <w:noProof/>
            <w:webHidden/>
          </w:rPr>
          <w:fldChar w:fldCharType="end"/>
        </w:r>
      </w:hyperlink>
    </w:p>
    <w:p w14:paraId="29F2EC24" w14:textId="4EE20576" w:rsidR="00B66212" w:rsidRDefault="004A61E1">
      <w:pPr>
        <w:pStyle w:val="TOC3"/>
        <w:rPr>
          <w:rFonts w:asciiTheme="minorHAnsi" w:hAnsiTheme="minorHAnsi"/>
          <w:noProof/>
          <w:sz w:val="22"/>
        </w:rPr>
      </w:pPr>
      <w:hyperlink w:anchor="_Toc424721574" w:history="1">
        <w:r w:rsidR="00B66212" w:rsidRPr="0063399B">
          <w:rPr>
            <w:rStyle w:val="Hyperlink"/>
            <w:noProof/>
          </w:rPr>
          <w:t>8.2.1</w:t>
        </w:r>
        <w:r w:rsidR="00B66212">
          <w:rPr>
            <w:rFonts w:asciiTheme="minorHAnsi" w:hAnsiTheme="minorHAnsi"/>
            <w:noProof/>
            <w:sz w:val="22"/>
          </w:rPr>
          <w:tab/>
        </w:r>
        <w:r w:rsidR="00B66212" w:rsidRPr="0063399B">
          <w:rPr>
            <w:rStyle w:val="Hyperlink"/>
            <w:noProof/>
          </w:rPr>
          <w:t>Step 1: Determine Current Level of Demand-Side EE Performance</w:t>
        </w:r>
        <w:r w:rsidR="00B66212">
          <w:rPr>
            <w:noProof/>
            <w:webHidden/>
          </w:rPr>
          <w:tab/>
        </w:r>
        <w:r w:rsidR="00B66212">
          <w:rPr>
            <w:noProof/>
            <w:webHidden/>
          </w:rPr>
          <w:fldChar w:fldCharType="begin"/>
        </w:r>
        <w:r w:rsidR="00B66212">
          <w:rPr>
            <w:noProof/>
            <w:webHidden/>
          </w:rPr>
          <w:instrText xml:space="preserve"> PAGEREF _Toc424721574 \h </w:instrText>
        </w:r>
        <w:r w:rsidR="00B66212">
          <w:rPr>
            <w:noProof/>
            <w:webHidden/>
          </w:rPr>
        </w:r>
        <w:r w:rsidR="00B66212">
          <w:rPr>
            <w:noProof/>
            <w:webHidden/>
          </w:rPr>
          <w:fldChar w:fldCharType="separate"/>
        </w:r>
        <w:r w:rsidR="00A8218A">
          <w:rPr>
            <w:noProof/>
            <w:webHidden/>
          </w:rPr>
          <w:t>50</w:t>
        </w:r>
        <w:r w:rsidR="00B66212">
          <w:rPr>
            <w:noProof/>
            <w:webHidden/>
          </w:rPr>
          <w:fldChar w:fldCharType="end"/>
        </w:r>
      </w:hyperlink>
    </w:p>
    <w:p w14:paraId="6759DC92" w14:textId="4FF85BF4" w:rsidR="00B66212" w:rsidRDefault="004A61E1">
      <w:pPr>
        <w:pStyle w:val="TOC3"/>
        <w:rPr>
          <w:rFonts w:asciiTheme="minorHAnsi" w:hAnsiTheme="minorHAnsi"/>
          <w:noProof/>
          <w:sz w:val="22"/>
        </w:rPr>
      </w:pPr>
      <w:hyperlink w:anchor="_Toc424721575" w:history="1">
        <w:r w:rsidR="00B66212" w:rsidRPr="0063399B">
          <w:rPr>
            <w:rStyle w:val="Hyperlink"/>
            <w:noProof/>
          </w:rPr>
          <w:t>8.2.2</w:t>
        </w:r>
        <w:r w:rsidR="00B66212">
          <w:rPr>
            <w:rFonts w:asciiTheme="minorHAnsi" w:hAnsiTheme="minorHAnsi"/>
            <w:noProof/>
            <w:sz w:val="22"/>
          </w:rPr>
          <w:tab/>
        </w:r>
        <w:r w:rsidR="00B66212" w:rsidRPr="0063399B">
          <w:rPr>
            <w:rStyle w:val="Hyperlink"/>
            <w:noProof/>
          </w:rPr>
          <w:t>Step 2: Determine EE Plan Scenario Level of Performance</w:t>
        </w:r>
        <w:r w:rsidR="00B66212">
          <w:rPr>
            <w:noProof/>
            <w:webHidden/>
          </w:rPr>
          <w:tab/>
        </w:r>
        <w:r w:rsidR="00B66212">
          <w:rPr>
            <w:noProof/>
            <w:webHidden/>
          </w:rPr>
          <w:fldChar w:fldCharType="begin"/>
        </w:r>
        <w:r w:rsidR="00B66212">
          <w:rPr>
            <w:noProof/>
            <w:webHidden/>
          </w:rPr>
          <w:instrText xml:space="preserve"> PAGEREF _Toc424721575 \h </w:instrText>
        </w:r>
        <w:r w:rsidR="00B66212">
          <w:rPr>
            <w:noProof/>
            <w:webHidden/>
          </w:rPr>
        </w:r>
        <w:r w:rsidR="00B66212">
          <w:rPr>
            <w:noProof/>
            <w:webHidden/>
          </w:rPr>
          <w:fldChar w:fldCharType="separate"/>
        </w:r>
        <w:r w:rsidR="00A8218A">
          <w:rPr>
            <w:noProof/>
            <w:webHidden/>
          </w:rPr>
          <w:t>51</w:t>
        </w:r>
        <w:r w:rsidR="00B66212">
          <w:rPr>
            <w:noProof/>
            <w:webHidden/>
          </w:rPr>
          <w:fldChar w:fldCharType="end"/>
        </w:r>
      </w:hyperlink>
    </w:p>
    <w:p w14:paraId="7D6FAF6B" w14:textId="05EC828D" w:rsidR="00B66212" w:rsidRDefault="004A61E1">
      <w:pPr>
        <w:pStyle w:val="TOC3"/>
        <w:rPr>
          <w:rFonts w:asciiTheme="minorHAnsi" w:hAnsiTheme="minorHAnsi"/>
          <w:noProof/>
          <w:sz w:val="22"/>
        </w:rPr>
      </w:pPr>
      <w:hyperlink w:anchor="_Toc424721576" w:history="1">
        <w:r w:rsidR="00B66212" w:rsidRPr="0063399B">
          <w:rPr>
            <w:rStyle w:val="Hyperlink"/>
            <w:noProof/>
          </w:rPr>
          <w:t>8.2.3</w:t>
        </w:r>
        <w:r w:rsidR="00B66212">
          <w:rPr>
            <w:rFonts w:asciiTheme="minorHAnsi" w:hAnsiTheme="minorHAnsi"/>
            <w:noProof/>
            <w:sz w:val="22"/>
          </w:rPr>
          <w:tab/>
        </w:r>
        <w:r w:rsidR="00B66212" w:rsidRPr="0063399B">
          <w:rPr>
            <w:rStyle w:val="Hyperlink"/>
            <w:noProof/>
          </w:rPr>
          <w:t>Step 3: Determine Start Year for EE Plan Scenario</w:t>
        </w:r>
        <w:r w:rsidR="00B66212">
          <w:rPr>
            <w:noProof/>
            <w:webHidden/>
          </w:rPr>
          <w:tab/>
        </w:r>
        <w:r w:rsidR="00B66212">
          <w:rPr>
            <w:noProof/>
            <w:webHidden/>
          </w:rPr>
          <w:fldChar w:fldCharType="begin"/>
        </w:r>
        <w:r w:rsidR="00B66212">
          <w:rPr>
            <w:noProof/>
            <w:webHidden/>
          </w:rPr>
          <w:instrText xml:space="preserve"> PAGEREF _Toc424721576 \h </w:instrText>
        </w:r>
        <w:r w:rsidR="00B66212">
          <w:rPr>
            <w:noProof/>
            <w:webHidden/>
          </w:rPr>
        </w:r>
        <w:r w:rsidR="00B66212">
          <w:rPr>
            <w:noProof/>
            <w:webHidden/>
          </w:rPr>
          <w:fldChar w:fldCharType="separate"/>
        </w:r>
        <w:r w:rsidR="00A8218A">
          <w:rPr>
            <w:noProof/>
            <w:webHidden/>
          </w:rPr>
          <w:t>54</w:t>
        </w:r>
        <w:r w:rsidR="00B66212">
          <w:rPr>
            <w:noProof/>
            <w:webHidden/>
          </w:rPr>
          <w:fldChar w:fldCharType="end"/>
        </w:r>
      </w:hyperlink>
    </w:p>
    <w:p w14:paraId="40A988AB" w14:textId="5D5905B5" w:rsidR="00B66212" w:rsidRDefault="004A61E1">
      <w:pPr>
        <w:pStyle w:val="TOC3"/>
        <w:rPr>
          <w:rFonts w:asciiTheme="minorHAnsi" w:hAnsiTheme="minorHAnsi"/>
          <w:noProof/>
          <w:sz w:val="22"/>
        </w:rPr>
      </w:pPr>
      <w:hyperlink w:anchor="_Toc424721577" w:history="1">
        <w:r w:rsidR="00B66212" w:rsidRPr="0063399B">
          <w:rPr>
            <w:rStyle w:val="Hyperlink"/>
            <w:noProof/>
          </w:rPr>
          <w:t>8.2.4</w:t>
        </w:r>
        <w:r w:rsidR="00B66212">
          <w:rPr>
            <w:rFonts w:asciiTheme="minorHAnsi" w:hAnsiTheme="minorHAnsi"/>
            <w:noProof/>
            <w:sz w:val="22"/>
          </w:rPr>
          <w:tab/>
        </w:r>
        <w:r w:rsidR="00B66212" w:rsidRPr="0063399B">
          <w:rPr>
            <w:rStyle w:val="Hyperlink"/>
            <w:noProof/>
          </w:rPr>
          <w:t>Step 4: Determine Start Year Level of Performance</w:t>
        </w:r>
        <w:r w:rsidR="00B66212">
          <w:rPr>
            <w:noProof/>
            <w:webHidden/>
          </w:rPr>
          <w:tab/>
        </w:r>
        <w:r w:rsidR="00B66212">
          <w:rPr>
            <w:noProof/>
            <w:webHidden/>
          </w:rPr>
          <w:fldChar w:fldCharType="begin"/>
        </w:r>
        <w:r w:rsidR="00B66212">
          <w:rPr>
            <w:noProof/>
            <w:webHidden/>
          </w:rPr>
          <w:instrText xml:space="preserve"> PAGEREF _Toc424721577 \h </w:instrText>
        </w:r>
        <w:r w:rsidR="00B66212">
          <w:rPr>
            <w:noProof/>
            <w:webHidden/>
          </w:rPr>
        </w:r>
        <w:r w:rsidR="00B66212">
          <w:rPr>
            <w:noProof/>
            <w:webHidden/>
          </w:rPr>
          <w:fldChar w:fldCharType="separate"/>
        </w:r>
        <w:r w:rsidR="00A8218A">
          <w:rPr>
            <w:noProof/>
            <w:webHidden/>
          </w:rPr>
          <w:t>54</w:t>
        </w:r>
        <w:r w:rsidR="00B66212">
          <w:rPr>
            <w:noProof/>
            <w:webHidden/>
          </w:rPr>
          <w:fldChar w:fldCharType="end"/>
        </w:r>
      </w:hyperlink>
    </w:p>
    <w:p w14:paraId="42ECD812" w14:textId="3B3CCA38" w:rsidR="00B66212" w:rsidRDefault="004A61E1">
      <w:pPr>
        <w:pStyle w:val="TOC3"/>
        <w:rPr>
          <w:rFonts w:asciiTheme="minorHAnsi" w:hAnsiTheme="minorHAnsi"/>
          <w:noProof/>
          <w:sz w:val="22"/>
        </w:rPr>
      </w:pPr>
      <w:hyperlink w:anchor="_Toc424721578" w:history="1">
        <w:r w:rsidR="00B66212" w:rsidRPr="0063399B">
          <w:rPr>
            <w:rStyle w:val="Hyperlink"/>
            <w:noProof/>
          </w:rPr>
          <w:t>8.2.5</w:t>
        </w:r>
        <w:r w:rsidR="00B66212">
          <w:rPr>
            <w:rFonts w:asciiTheme="minorHAnsi" w:hAnsiTheme="minorHAnsi"/>
            <w:noProof/>
            <w:sz w:val="22"/>
          </w:rPr>
          <w:tab/>
        </w:r>
        <w:r w:rsidR="00B66212" w:rsidRPr="0063399B">
          <w:rPr>
            <w:rStyle w:val="Hyperlink"/>
            <w:noProof/>
          </w:rPr>
          <w:t>Step 5: Determine Pace of Improvement from Start Year to EE Plan Scenario Level of Performance</w:t>
        </w:r>
        <w:r w:rsidR="00B66212">
          <w:rPr>
            <w:noProof/>
            <w:webHidden/>
          </w:rPr>
          <w:tab/>
        </w:r>
        <w:r w:rsidR="00B66212">
          <w:rPr>
            <w:noProof/>
            <w:webHidden/>
          </w:rPr>
          <w:fldChar w:fldCharType="begin"/>
        </w:r>
        <w:r w:rsidR="00B66212">
          <w:rPr>
            <w:noProof/>
            <w:webHidden/>
          </w:rPr>
          <w:instrText xml:space="preserve"> PAGEREF _Toc424721578 \h </w:instrText>
        </w:r>
        <w:r w:rsidR="00B66212">
          <w:rPr>
            <w:noProof/>
            <w:webHidden/>
          </w:rPr>
        </w:r>
        <w:r w:rsidR="00B66212">
          <w:rPr>
            <w:noProof/>
            <w:webHidden/>
          </w:rPr>
          <w:fldChar w:fldCharType="separate"/>
        </w:r>
        <w:r w:rsidR="00A8218A">
          <w:rPr>
            <w:noProof/>
            <w:webHidden/>
          </w:rPr>
          <w:t>54</w:t>
        </w:r>
        <w:r w:rsidR="00B66212">
          <w:rPr>
            <w:noProof/>
            <w:webHidden/>
          </w:rPr>
          <w:fldChar w:fldCharType="end"/>
        </w:r>
      </w:hyperlink>
    </w:p>
    <w:p w14:paraId="1329FD1D" w14:textId="26269B8A" w:rsidR="00B66212" w:rsidRDefault="004A61E1">
      <w:pPr>
        <w:pStyle w:val="TOC3"/>
        <w:rPr>
          <w:rFonts w:asciiTheme="minorHAnsi" w:hAnsiTheme="minorHAnsi"/>
          <w:noProof/>
          <w:sz w:val="22"/>
        </w:rPr>
      </w:pPr>
      <w:hyperlink w:anchor="_Toc424721579" w:history="1">
        <w:r w:rsidR="00B66212" w:rsidRPr="0063399B">
          <w:rPr>
            <w:rStyle w:val="Hyperlink"/>
            <w:noProof/>
          </w:rPr>
          <w:t>8.2.6</w:t>
        </w:r>
        <w:r w:rsidR="00B66212">
          <w:rPr>
            <w:rFonts w:asciiTheme="minorHAnsi" w:hAnsiTheme="minorHAnsi"/>
            <w:noProof/>
            <w:sz w:val="22"/>
          </w:rPr>
          <w:tab/>
        </w:r>
        <w:r w:rsidR="00B66212" w:rsidRPr="0063399B">
          <w:rPr>
            <w:rStyle w:val="Hyperlink"/>
            <w:noProof/>
          </w:rPr>
          <w:t>Step 6: Determine Average Portfolio Measure Life and Distribution of Measure Lives</w:t>
        </w:r>
        <w:r w:rsidR="00B66212">
          <w:rPr>
            <w:noProof/>
            <w:webHidden/>
          </w:rPr>
          <w:tab/>
        </w:r>
        <w:r w:rsidR="00B66212">
          <w:rPr>
            <w:noProof/>
            <w:webHidden/>
          </w:rPr>
          <w:fldChar w:fldCharType="begin"/>
        </w:r>
        <w:r w:rsidR="00B66212">
          <w:rPr>
            <w:noProof/>
            <w:webHidden/>
          </w:rPr>
          <w:instrText xml:space="preserve"> PAGEREF _Toc424721579 \h </w:instrText>
        </w:r>
        <w:r w:rsidR="00B66212">
          <w:rPr>
            <w:noProof/>
            <w:webHidden/>
          </w:rPr>
        </w:r>
        <w:r w:rsidR="00B66212">
          <w:rPr>
            <w:noProof/>
            <w:webHidden/>
          </w:rPr>
          <w:fldChar w:fldCharType="separate"/>
        </w:r>
        <w:r w:rsidR="00A8218A">
          <w:rPr>
            <w:noProof/>
            <w:webHidden/>
          </w:rPr>
          <w:t>55</w:t>
        </w:r>
        <w:r w:rsidR="00B66212">
          <w:rPr>
            <w:noProof/>
            <w:webHidden/>
          </w:rPr>
          <w:fldChar w:fldCharType="end"/>
        </w:r>
      </w:hyperlink>
    </w:p>
    <w:p w14:paraId="4CDFFB74" w14:textId="3229C4C4" w:rsidR="00B66212" w:rsidRDefault="004A61E1">
      <w:pPr>
        <w:pStyle w:val="TOC3"/>
        <w:rPr>
          <w:rFonts w:asciiTheme="minorHAnsi" w:hAnsiTheme="minorHAnsi"/>
          <w:noProof/>
          <w:sz w:val="22"/>
        </w:rPr>
      </w:pPr>
      <w:hyperlink w:anchor="_Toc424721580" w:history="1">
        <w:r w:rsidR="00B66212" w:rsidRPr="0063399B">
          <w:rPr>
            <w:rStyle w:val="Hyperlink"/>
            <w:noProof/>
          </w:rPr>
          <w:t>8.2.7</w:t>
        </w:r>
        <w:r w:rsidR="00B66212">
          <w:rPr>
            <w:rFonts w:asciiTheme="minorHAnsi" w:hAnsiTheme="minorHAnsi"/>
            <w:noProof/>
            <w:sz w:val="22"/>
          </w:rPr>
          <w:tab/>
        </w:r>
        <w:r w:rsidR="00B66212" w:rsidRPr="0063399B">
          <w:rPr>
            <w:rStyle w:val="Hyperlink"/>
            <w:noProof/>
          </w:rPr>
          <w:t>Step 7: Determine Sustainability of EE Plan Scenario Level of Performance</w:t>
        </w:r>
        <w:r w:rsidR="00B66212">
          <w:rPr>
            <w:noProof/>
            <w:webHidden/>
          </w:rPr>
          <w:tab/>
        </w:r>
        <w:r w:rsidR="00B66212">
          <w:rPr>
            <w:noProof/>
            <w:webHidden/>
          </w:rPr>
          <w:fldChar w:fldCharType="begin"/>
        </w:r>
        <w:r w:rsidR="00B66212">
          <w:rPr>
            <w:noProof/>
            <w:webHidden/>
          </w:rPr>
          <w:instrText xml:space="preserve"> PAGEREF _Toc424721580 \h </w:instrText>
        </w:r>
        <w:r w:rsidR="00B66212">
          <w:rPr>
            <w:noProof/>
            <w:webHidden/>
          </w:rPr>
        </w:r>
        <w:r w:rsidR="00B66212">
          <w:rPr>
            <w:noProof/>
            <w:webHidden/>
          </w:rPr>
          <w:fldChar w:fldCharType="separate"/>
        </w:r>
        <w:r w:rsidR="00A8218A">
          <w:rPr>
            <w:noProof/>
            <w:webHidden/>
          </w:rPr>
          <w:t>57</w:t>
        </w:r>
        <w:r w:rsidR="00B66212">
          <w:rPr>
            <w:noProof/>
            <w:webHidden/>
          </w:rPr>
          <w:fldChar w:fldCharType="end"/>
        </w:r>
      </w:hyperlink>
    </w:p>
    <w:p w14:paraId="47BE7AA4" w14:textId="076E5F8F" w:rsidR="00B66212" w:rsidRDefault="004A61E1">
      <w:pPr>
        <w:pStyle w:val="TOC3"/>
        <w:rPr>
          <w:rFonts w:asciiTheme="minorHAnsi" w:hAnsiTheme="minorHAnsi"/>
          <w:noProof/>
          <w:sz w:val="22"/>
        </w:rPr>
      </w:pPr>
      <w:hyperlink w:anchor="_Toc424721581" w:history="1">
        <w:r w:rsidR="00B66212" w:rsidRPr="0063399B">
          <w:rPr>
            <w:rStyle w:val="Hyperlink"/>
            <w:noProof/>
          </w:rPr>
          <w:t>8.2.8</w:t>
        </w:r>
        <w:r w:rsidR="00B66212">
          <w:rPr>
            <w:rFonts w:asciiTheme="minorHAnsi" w:hAnsiTheme="minorHAnsi"/>
            <w:noProof/>
            <w:sz w:val="22"/>
          </w:rPr>
          <w:tab/>
        </w:r>
        <w:r w:rsidR="00B66212" w:rsidRPr="0063399B">
          <w:rPr>
            <w:rStyle w:val="Hyperlink"/>
            <w:noProof/>
          </w:rPr>
          <w:t>Summary of the Demand-Side EE Plan Scenario Construction</w:t>
        </w:r>
        <w:r w:rsidR="00B66212">
          <w:rPr>
            <w:noProof/>
            <w:webHidden/>
          </w:rPr>
          <w:tab/>
        </w:r>
        <w:r w:rsidR="00B66212">
          <w:rPr>
            <w:noProof/>
            <w:webHidden/>
          </w:rPr>
          <w:fldChar w:fldCharType="begin"/>
        </w:r>
        <w:r w:rsidR="00B66212">
          <w:rPr>
            <w:noProof/>
            <w:webHidden/>
          </w:rPr>
          <w:instrText xml:space="preserve"> PAGEREF _Toc424721581 \h </w:instrText>
        </w:r>
        <w:r w:rsidR="00B66212">
          <w:rPr>
            <w:noProof/>
            <w:webHidden/>
          </w:rPr>
        </w:r>
        <w:r w:rsidR="00B66212">
          <w:rPr>
            <w:noProof/>
            <w:webHidden/>
          </w:rPr>
          <w:fldChar w:fldCharType="separate"/>
        </w:r>
        <w:r w:rsidR="00A8218A">
          <w:rPr>
            <w:noProof/>
            <w:webHidden/>
          </w:rPr>
          <w:t>58</w:t>
        </w:r>
        <w:r w:rsidR="00B66212">
          <w:rPr>
            <w:noProof/>
            <w:webHidden/>
          </w:rPr>
          <w:fldChar w:fldCharType="end"/>
        </w:r>
      </w:hyperlink>
    </w:p>
    <w:p w14:paraId="7173B5D3" w14:textId="3054A7F3" w:rsidR="00B66212" w:rsidRDefault="004A61E1">
      <w:pPr>
        <w:pStyle w:val="TOC2"/>
        <w:rPr>
          <w:rFonts w:asciiTheme="minorHAnsi" w:hAnsiTheme="minorHAnsi"/>
          <w:noProof/>
          <w:sz w:val="22"/>
        </w:rPr>
      </w:pPr>
      <w:hyperlink w:anchor="_Toc424721582" w:history="1">
        <w:r w:rsidR="00B66212" w:rsidRPr="0063399B">
          <w:rPr>
            <w:rStyle w:val="Hyperlink"/>
            <w:noProof/>
          </w:rPr>
          <w:t>8.3</w:t>
        </w:r>
        <w:r w:rsidR="00B66212">
          <w:rPr>
            <w:rFonts w:asciiTheme="minorHAnsi" w:hAnsiTheme="minorHAnsi"/>
            <w:noProof/>
            <w:sz w:val="22"/>
          </w:rPr>
          <w:tab/>
        </w:r>
        <w:r w:rsidR="00B66212" w:rsidRPr="0063399B">
          <w:rPr>
            <w:rStyle w:val="Hyperlink"/>
            <w:noProof/>
          </w:rPr>
          <w:t>Calculations</w:t>
        </w:r>
        <w:r w:rsidR="00B66212">
          <w:rPr>
            <w:noProof/>
            <w:webHidden/>
          </w:rPr>
          <w:tab/>
        </w:r>
        <w:r w:rsidR="00B66212">
          <w:rPr>
            <w:noProof/>
            <w:webHidden/>
          </w:rPr>
          <w:fldChar w:fldCharType="begin"/>
        </w:r>
        <w:r w:rsidR="00B66212">
          <w:rPr>
            <w:noProof/>
            <w:webHidden/>
          </w:rPr>
          <w:instrText xml:space="preserve"> PAGEREF _Toc424721582 \h </w:instrText>
        </w:r>
        <w:r w:rsidR="00B66212">
          <w:rPr>
            <w:noProof/>
            <w:webHidden/>
          </w:rPr>
        </w:r>
        <w:r w:rsidR="00B66212">
          <w:rPr>
            <w:noProof/>
            <w:webHidden/>
          </w:rPr>
          <w:fldChar w:fldCharType="separate"/>
        </w:r>
        <w:r w:rsidR="00A8218A">
          <w:rPr>
            <w:noProof/>
            <w:webHidden/>
          </w:rPr>
          <w:t>59</w:t>
        </w:r>
        <w:r w:rsidR="00B66212">
          <w:rPr>
            <w:noProof/>
            <w:webHidden/>
          </w:rPr>
          <w:fldChar w:fldCharType="end"/>
        </w:r>
      </w:hyperlink>
    </w:p>
    <w:p w14:paraId="7F134E18" w14:textId="3ABBD531" w:rsidR="00B66212" w:rsidRDefault="004A61E1">
      <w:pPr>
        <w:pStyle w:val="TOC3"/>
        <w:rPr>
          <w:rFonts w:asciiTheme="minorHAnsi" w:hAnsiTheme="minorHAnsi"/>
          <w:noProof/>
          <w:sz w:val="22"/>
        </w:rPr>
      </w:pPr>
      <w:hyperlink w:anchor="_Toc424721583" w:history="1">
        <w:r w:rsidR="00B66212" w:rsidRPr="0063399B">
          <w:rPr>
            <w:rStyle w:val="Hyperlink"/>
            <w:noProof/>
          </w:rPr>
          <w:t>8.3.1</w:t>
        </w:r>
        <w:r w:rsidR="00B66212">
          <w:rPr>
            <w:rFonts w:asciiTheme="minorHAnsi" w:hAnsiTheme="minorHAnsi"/>
            <w:noProof/>
            <w:sz w:val="22"/>
          </w:rPr>
          <w:tab/>
        </w:r>
        <w:r w:rsidR="00B66212" w:rsidRPr="0063399B">
          <w:rPr>
            <w:rStyle w:val="Hyperlink"/>
            <w:noProof/>
          </w:rPr>
          <w:t>Step 1: Determine Annual Business as Usual (BAU) Sales</w:t>
        </w:r>
        <w:r w:rsidR="00B66212">
          <w:rPr>
            <w:noProof/>
            <w:webHidden/>
          </w:rPr>
          <w:tab/>
        </w:r>
        <w:r w:rsidR="00B66212">
          <w:rPr>
            <w:noProof/>
            <w:webHidden/>
          </w:rPr>
          <w:fldChar w:fldCharType="begin"/>
        </w:r>
        <w:r w:rsidR="00B66212">
          <w:rPr>
            <w:noProof/>
            <w:webHidden/>
          </w:rPr>
          <w:instrText xml:space="preserve"> PAGEREF _Toc424721583 \h </w:instrText>
        </w:r>
        <w:r w:rsidR="00B66212">
          <w:rPr>
            <w:noProof/>
            <w:webHidden/>
          </w:rPr>
        </w:r>
        <w:r w:rsidR="00B66212">
          <w:rPr>
            <w:noProof/>
            <w:webHidden/>
          </w:rPr>
          <w:fldChar w:fldCharType="separate"/>
        </w:r>
        <w:r w:rsidR="00A8218A">
          <w:rPr>
            <w:noProof/>
            <w:webHidden/>
          </w:rPr>
          <w:t>59</w:t>
        </w:r>
        <w:r w:rsidR="00B66212">
          <w:rPr>
            <w:noProof/>
            <w:webHidden/>
          </w:rPr>
          <w:fldChar w:fldCharType="end"/>
        </w:r>
      </w:hyperlink>
    </w:p>
    <w:p w14:paraId="22A7E508" w14:textId="52EE9051" w:rsidR="00B66212" w:rsidRDefault="004A61E1">
      <w:pPr>
        <w:pStyle w:val="TOC3"/>
        <w:rPr>
          <w:rFonts w:asciiTheme="minorHAnsi" w:hAnsiTheme="minorHAnsi"/>
          <w:noProof/>
          <w:sz w:val="22"/>
        </w:rPr>
      </w:pPr>
      <w:hyperlink w:anchor="_Toc424721584" w:history="1">
        <w:r w:rsidR="00B66212" w:rsidRPr="0063399B">
          <w:rPr>
            <w:rStyle w:val="Hyperlink"/>
            <w:noProof/>
          </w:rPr>
          <w:t>8.3.2</w:t>
        </w:r>
        <w:r w:rsidR="00B66212">
          <w:rPr>
            <w:rFonts w:asciiTheme="minorHAnsi" w:hAnsiTheme="minorHAnsi"/>
            <w:noProof/>
            <w:sz w:val="22"/>
          </w:rPr>
          <w:tab/>
        </w:r>
        <w:r w:rsidR="00B66212" w:rsidRPr="0063399B">
          <w:rPr>
            <w:rStyle w:val="Hyperlink"/>
            <w:noProof/>
          </w:rPr>
          <w:t>Step 2: Determine Annual Incremental EE Savings as a Percentage of Sales</w:t>
        </w:r>
        <w:r w:rsidR="00B66212">
          <w:rPr>
            <w:noProof/>
            <w:webHidden/>
          </w:rPr>
          <w:tab/>
        </w:r>
        <w:r w:rsidR="00B66212">
          <w:rPr>
            <w:noProof/>
            <w:webHidden/>
          </w:rPr>
          <w:fldChar w:fldCharType="begin"/>
        </w:r>
        <w:r w:rsidR="00B66212">
          <w:rPr>
            <w:noProof/>
            <w:webHidden/>
          </w:rPr>
          <w:instrText xml:space="preserve"> PAGEREF _Toc424721584 \h </w:instrText>
        </w:r>
        <w:r w:rsidR="00B66212">
          <w:rPr>
            <w:noProof/>
            <w:webHidden/>
          </w:rPr>
        </w:r>
        <w:r w:rsidR="00B66212">
          <w:rPr>
            <w:noProof/>
            <w:webHidden/>
          </w:rPr>
          <w:fldChar w:fldCharType="separate"/>
        </w:r>
        <w:r w:rsidR="00A8218A">
          <w:rPr>
            <w:noProof/>
            <w:webHidden/>
          </w:rPr>
          <w:t>60</w:t>
        </w:r>
        <w:r w:rsidR="00B66212">
          <w:rPr>
            <w:noProof/>
            <w:webHidden/>
          </w:rPr>
          <w:fldChar w:fldCharType="end"/>
        </w:r>
      </w:hyperlink>
    </w:p>
    <w:p w14:paraId="1E0A368E" w14:textId="25235343" w:rsidR="00B66212" w:rsidRDefault="004A61E1">
      <w:pPr>
        <w:pStyle w:val="TOC3"/>
        <w:rPr>
          <w:rFonts w:asciiTheme="minorHAnsi" w:hAnsiTheme="minorHAnsi"/>
          <w:noProof/>
          <w:sz w:val="22"/>
        </w:rPr>
      </w:pPr>
      <w:hyperlink w:anchor="_Toc424721585" w:history="1">
        <w:r w:rsidR="00B66212" w:rsidRPr="0063399B">
          <w:rPr>
            <w:rStyle w:val="Hyperlink"/>
            <w:noProof/>
          </w:rPr>
          <w:t>8.3.3</w:t>
        </w:r>
        <w:r w:rsidR="00B66212">
          <w:rPr>
            <w:rFonts w:asciiTheme="minorHAnsi" w:hAnsiTheme="minorHAnsi"/>
            <w:noProof/>
            <w:sz w:val="22"/>
          </w:rPr>
          <w:tab/>
        </w:r>
        <w:r w:rsidR="00B66212" w:rsidRPr="0063399B">
          <w:rPr>
            <w:rStyle w:val="Hyperlink"/>
            <w:noProof/>
          </w:rPr>
          <w:t>Step 3: Determine Annual Incremental EE Savings (GWh)</w:t>
        </w:r>
        <w:r w:rsidR="00B66212">
          <w:rPr>
            <w:noProof/>
            <w:webHidden/>
          </w:rPr>
          <w:tab/>
        </w:r>
        <w:r w:rsidR="00B66212">
          <w:rPr>
            <w:noProof/>
            <w:webHidden/>
          </w:rPr>
          <w:fldChar w:fldCharType="begin"/>
        </w:r>
        <w:r w:rsidR="00B66212">
          <w:rPr>
            <w:noProof/>
            <w:webHidden/>
          </w:rPr>
          <w:instrText xml:space="preserve"> PAGEREF _Toc424721585 \h </w:instrText>
        </w:r>
        <w:r w:rsidR="00B66212">
          <w:rPr>
            <w:noProof/>
            <w:webHidden/>
          </w:rPr>
        </w:r>
        <w:r w:rsidR="00B66212">
          <w:rPr>
            <w:noProof/>
            <w:webHidden/>
          </w:rPr>
          <w:fldChar w:fldCharType="separate"/>
        </w:r>
        <w:r w:rsidR="00A8218A">
          <w:rPr>
            <w:noProof/>
            <w:webHidden/>
          </w:rPr>
          <w:t>60</w:t>
        </w:r>
        <w:r w:rsidR="00B66212">
          <w:rPr>
            <w:noProof/>
            <w:webHidden/>
          </w:rPr>
          <w:fldChar w:fldCharType="end"/>
        </w:r>
      </w:hyperlink>
    </w:p>
    <w:p w14:paraId="08DBA67A" w14:textId="573DF107" w:rsidR="00B66212" w:rsidRDefault="004A61E1">
      <w:pPr>
        <w:pStyle w:val="TOC3"/>
        <w:rPr>
          <w:rFonts w:asciiTheme="minorHAnsi" w:hAnsiTheme="minorHAnsi"/>
          <w:noProof/>
          <w:sz w:val="22"/>
        </w:rPr>
      </w:pPr>
      <w:hyperlink w:anchor="_Toc424721586" w:history="1">
        <w:r w:rsidR="00B66212" w:rsidRPr="0063399B">
          <w:rPr>
            <w:rStyle w:val="Hyperlink"/>
            <w:noProof/>
          </w:rPr>
          <w:t>8.3.4</w:t>
        </w:r>
        <w:r w:rsidR="00B66212">
          <w:rPr>
            <w:rFonts w:asciiTheme="minorHAnsi" w:hAnsiTheme="minorHAnsi"/>
            <w:noProof/>
            <w:sz w:val="22"/>
          </w:rPr>
          <w:tab/>
        </w:r>
        <w:r w:rsidR="00B66212" w:rsidRPr="0063399B">
          <w:rPr>
            <w:rStyle w:val="Hyperlink"/>
            <w:noProof/>
          </w:rPr>
          <w:t>Step 4: Determine Annual Expiring EE Savings (GWh)</w:t>
        </w:r>
        <w:r w:rsidR="00B66212">
          <w:rPr>
            <w:noProof/>
            <w:webHidden/>
          </w:rPr>
          <w:tab/>
        </w:r>
        <w:r w:rsidR="00B66212">
          <w:rPr>
            <w:noProof/>
            <w:webHidden/>
          </w:rPr>
          <w:fldChar w:fldCharType="begin"/>
        </w:r>
        <w:r w:rsidR="00B66212">
          <w:rPr>
            <w:noProof/>
            <w:webHidden/>
          </w:rPr>
          <w:instrText xml:space="preserve"> PAGEREF _Toc424721586 \h </w:instrText>
        </w:r>
        <w:r w:rsidR="00B66212">
          <w:rPr>
            <w:noProof/>
            <w:webHidden/>
          </w:rPr>
        </w:r>
        <w:r w:rsidR="00B66212">
          <w:rPr>
            <w:noProof/>
            <w:webHidden/>
          </w:rPr>
          <w:fldChar w:fldCharType="separate"/>
        </w:r>
        <w:r w:rsidR="00A8218A">
          <w:rPr>
            <w:noProof/>
            <w:webHidden/>
          </w:rPr>
          <w:t>61</w:t>
        </w:r>
        <w:r w:rsidR="00B66212">
          <w:rPr>
            <w:noProof/>
            <w:webHidden/>
          </w:rPr>
          <w:fldChar w:fldCharType="end"/>
        </w:r>
      </w:hyperlink>
    </w:p>
    <w:p w14:paraId="6D8E5555" w14:textId="7E548284" w:rsidR="00B66212" w:rsidRDefault="004A61E1">
      <w:pPr>
        <w:pStyle w:val="TOC3"/>
        <w:rPr>
          <w:rFonts w:asciiTheme="minorHAnsi" w:hAnsiTheme="minorHAnsi"/>
          <w:noProof/>
          <w:sz w:val="22"/>
        </w:rPr>
      </w:pPr>
      <w:hyperlink w:anchor="_Toc424721587" w:history="1">
        <w:r w:rsidR="00B66212" w:rsidRPr="0063399B">
          <w:rPr>
            <w:rStyle w:val="Hyperlink"/>
            <w:noProof/>
          </w:rPr>
          <w:t>8.3.5</w:t>
        </w:r>
        <w:r w:rsidR="00B66212">
          <w:rPr>
            <w:rFonts w:asciiTheme="minorHAnsi" w:hAnsiTheme="minorHAnsi"/>
            <w:noProof/>
            <w:sz w:val="22"/>
          </w:rPr>
          <w:tab/>
        </w:r>
        <w:r w:rsidR="00B66212" w:rsidRPr="0063399B">
          <w:rPr>
            <w:rStyle w:val="Hyperlink"/>
            <w:noProof/>
          </w:rPr>
          <w:t>Step 5: Determine Net Cumulative EE Savings (GWh)</w:t>
        </w:r>
        <w:r w:rsidR="00B66212">
          <w:rPr>
            <w:noProof/>
            <w:webHidden/>
          </w:rPr>
          <w:tab/>
        </w:r>
        <w:r w:rsidR="00B66212">
          <w:rPr>
            <w:noProof/>
            <w:webHidden/>
          </w:rPr>
          <w:fldChar w:fldCharType="begin"/>
        </w:r>
        <w:r w:rsidR="00B66212">
          <w:rPr>
            <w:noProof/>
            <w:webHidden/>
          </w:rPr>
          <w:instrText xml:space="preserve"> PAGEREF _Toc424721587 \h </w:instrText>
        </w:r>
        <w:r w:rsidR="00B66212">
          <w:rPr>
            <w:noProof/>
            <w:webHidden/>
          </w:rPr>
        </w:r>
        <w:r w:rsidR="00B66212">
          <w:rPr>
            <w:noProof/>
            <w:webHidden/>
          </w:rPr>
          <w:fldChar w:fldCharType="separate"/>
        </w:r>
        <w:r w:rsidR="00A8218A">
          <w:rPr>
            <w:noProof/>
            <w:webHidden/>
          </w:rPr>
          <w:t>61</w:t>
        </w:r>
        <w:r w:rsidR="00B66212">
          <w:rPr>
            <w:noProof/>
            <w:webHidden/>
          </w:rPr>
          <w:fldChar w:fldCharType="end"/>
        </w:r>
      </w:hyperlink>
    </w:p>
    <w:p w14:paraId="086C94DE" w14:textId="0B1FEE27" w:rsidR="00B66212" w:rsidRDefault="004A61E1">
      <w:pPr>
        <w:pStyle w:val="TOC3"/>
        <w:rPr>
          <w:rFonts w:asciiTheme="minorHAnsi" w:hAnsiTheme="minorHAnsi"/>
          <w:noProof/>
          <w:sz w:val="22"/>
        </w:rPr>
      </w:pPr>
      <w:hyperlink w:anchor="_Toc424721588" w:history="1">
        <w:r w:rsidR="00B66212" w:rsidRPr="0063399B">
          <w:rPr>
            <w:rStyle w:val="Hyperlink"/>
            <w:noProof/>
          </w:rPr>
          <w:t>8.3.6</w:t>
        </w:r>
        <w:r w:rsidR="00B66212">
          <w:rPr>
            <w:rFonts w:asciiTheme="minorHAnsi" w:hAnsiTheme="minorHAnsi"/>
            <w:noProof/>
            <w:sz w:val="22"/>
          </w:rPr>
          <w:tab/>
        </w:r>
        <w:r w:rsidR="00B66212" w:rsidRPr="0063399B">
          <w:rPr>
            <w:rStyle w:val="Hyperlink"/>
            <w:noProof/>
          </w:rPr>
          <w:t>Step 6: Determine Sales after Net EE (GWh)</w:t>
        </w:r>
        <w:r w:rsidR="00B66212">
          <w:rPr>
            <w:noProof/>
            <w:webHidden/>
          </w:rPr>
          <w:tab/>
        </w:r>
        <w:r w:rsidR="00B66212">
          <w:rPr>
            <w:noProof/>
            <w:webHidden/>
          </w:rPr>
          <w:fldChar w:fldCharType="begin"/>
        </w:r>
        <w:r w:rsidR="00B66212">
          <w:rPr>
            <w:noProof/>
            <w:webHidden/>
          </w:rPr>
          <w:instrText xml:space="preserve"> PAGEREF _Toc424721588 \h </w:instrText>
        </w:r>
        <w:r w:rsidR="00B66212">
          <w:rPr>
            <w:noProof/>
            <w:webHidden/>
          </w:rPr>
        </w:r>
        <w:r w:rsidR="00B66212">
          <w:rPr>
            <w:noProof/>
            <w:webHidden/>
          </w:rPr>
          <w:fldChar w:fldCharType="separate"/>
        </w:r>
        <w:r w:rsidR="00A8218A">
          <w:rPr>
            <w:noProof/>
            <w:webHidden/>
          </w:rPr>
          <w:t>61</w:t>
        </w:r>
        <w:r w:rsidR="00B66212">
          <w:rPr>
            <w:noProof/>
            <w:webHidden/>
          </w:rPr>
          <w:fldChar w:fldCharType="end"/>
        </w:r>
      </w:hyperlink>
    </w:p>
    <w:p w14:paraId="4897CD35" w14:textId="63000CBB" w:rsidR="00B66212" w:rsidRDefault="004A61E1">
      <w:pPr>
        <w:pStyle w:val="TOC3"/>
        <w:rPr>
          <w:rFonts w:asciiTheme="minorHAnsi" w:hAnsiTheme="minorHAnsi"/>
          <w:noProof/>
          <w:sz w:val="22"/>
        </w:rPr>
      </w:pPr>
      <w:hyperlink w:anchor="_Toc424721589" w:history="1">
        <w:r w:rsidR="00B66212" w:rsidRPr="0063399B">
          <w:rPr>
            <w:rStyle w:val="Hyperlink"/>
            <w:noProof/>
          </w:rPr>
          <w:t>8.3.7</w:t>
        </w:r>
        <w:r w:rsidR="00B66212">
          <w:rPr>
            <w:rFonts w:asciiTheme="minorHAnsi" w:hAnsiTheme="minorHAnsi"/>
            <w:noProof/>
            <w:sz w:val="22"/>
          </w:rPr>
          <w:tab/>
        </w:r>
        <w:r w:rsidR="00B66212" w:rsidRPr="0063399B">
          <w:rPr>
            <w:rStyle w:val="Hyperlink"/>
            <w:noProof/>
          </w:rPr>
          <w:t>Step 7: Determine Net Cumulative EE Savings as a Percentage of BAU Sales</w:t>
        </w:r>
        <w:r w:rsidR="00B66212">
          <w:rPr>
            <w:noProof/>
            <w:webHidden/>
          </w:rPr>
          <w:tab/>
        </w:r>
        <w:r w:rsidR="00B66212">
          <w:rPr>
            <w:noProof/>
            <w:webHidden/>
          </w:rPr>
          <w:fldChar w:fldCharType="begin"/>
        </w:r>
        <w:r w:rsidR="00B66212">
          <w:rPr>
            <w:noProof/>
            <w:webHidden/>
          </w:rPr>
          <w:instrText xml:space="preserve"> PAGEREF _Toc424721589 \h </w:instrText>
        </w:r>
        <w:r w:rsidR="00B66212">
          <w:rPr>
            <w:noProof/>
            <w:webHidden/>
          </w:rPr>
        </w:r>
        <w:r w:rsidR="00B66212">
          <w:rPr>
            <w:noProof/>
            <w:webHidden/>
          </w:rPr>
          <w:fldChar w:fldCharType="separate"/>
        </w:r>
        <w:r w:rsidR="00A8218A">
          <w:rPr>
            <w:noProof/>
            <w:webHidden/>
          </w:rPr>
          <w:t>62</w:t>
        </w:r>
        <w:r w:rsidR="00B66212">
          <w:rPr>
            <w:noProof/>
            <w:webHidden/>
          </w:rPr>
          <w:fldChar w:fldCharType="end"/>
        </w:r>
      </w:hyperlink>
    </w:p>
    <w:p w14:paraId="02A84BD1" w14:textId="13F5557A" w:rsidR="00B66212" w:rsidRDefault="004A61E1">
      <w:pPr>
        <w:pStyle w:val="TOC3"/>
        <w:rPr>
          <w:rFonts w:asciiTheme="minorHAnsi" w:hAnsiTheme="minorHAnsi"/>
          <w:noProof/>
          <w:sz w:val="22"/>
        </w:rPr>
      </w:pPr>
      <w:hyperlink w:anchor="_Toc424721590" w:history="1">
        <w:r w:rsidR="00B66212" w:rsidRPr="0063399B">
          <w:rPr>
            <w:rStyle w:val="Hyperlink"/>
            <w:noProof/>
          </w:rPr>
          <w:t>8.3.8</w:t>
        </w:r>
        <w:r w:rsidR="00B66212">
          <w:rPr>
            <w:rFonts w:asciiTheme="minorHAnsi" w:hAnsiTheme="minorHAnsi"/>
            <w:noProof/>
            <w:sz w:val="22"/>
          </w:rPr>
          <w:tab/>
        </w:r>
        <w:r w:rsidR="00B66212" w:rsidRPr="0063399B">
          <w:rPr>
            <w:rStyle w:val="Hyperlink"/>
            <w:noProof/>
          </w:rPr>
          <w:t>Summary of Calculation Formulas and Results by Step for South Carolina</w:t>
        </w:r>
        <w:r w:rsidR="00B66212">
          <w:rPr>
            <w:noProof/>
            <w:webHidden/>
          </w:rPr>
          <w:tab/>
        </w:r>
        <w:r w:rsidR="00B66212">
          <w:rPr>
            <w:noProof/>
            <w:webHidden/>
          </w:rPr>
          <w:fldChar w:fldCharType="begin"/>
        </w:r>
        <w:r w:rsidR="00B66212">
          <w:rPr>
            <w:noProof/>
            <w:webHidden/>
          </w:rPr>
          <w:instrText xml:space="preserve"> PAGEREF _Toc424721590 \h </w:instrText>
        </w:r>
        <w:r w:rsidR="00B66212">
          <w:rPr>
            <w:noProof/>
            <w:webHidden/>
          </w:rPr>
        </w:r>
        <w:r w:rsidR="00B66212">
          <w:rPr>
            <w:noProof/>
            <w:webHidden/>
          </w:rPr>
          <w:fldChar w:fldCharType="separate"/>
        </w:r>
        <w:r w:rsidR="00A8218A">
          <w:rPr>
            <w:noProof/>
            <w:webHidden/>
          </w:rPr>
          <w:t>62</w:t>
        </w:r>
        <w:r w:rsidR="00B66212">
          <w:rPr>
            <w:noProof/>
            <w:webHidden/>
          </w:rPr>
          <w:fldChar w:fldCharType="end"/>
        </w:r>
      </w:hyperlink>
    </w:p>
    <w:p w14:paraId="0D713113" w14:textId="45DCE03E" w:rsidR="00B66212" w:rsidRDefault="004A61E1">
      <w:pPr>
        <w:pStyle w:val="TOC2"/>
        <w:rPr>
          <w:rFonts w:asciiTheme="minorHAnsi" w:hAnsiTheme="minorHAnsi"/>
          <w:noProof/>
          <w:sz w:val="22"/>
        </w:rPr>
      </w:pPr>
      <w:hyperlink w:anchor="_Toc424721592" w:history="1">
        <w:r w:rsidR="00B66212" w:rsidRPr="0063399B">
          <w:rPr>
            <w:rStyle w:val="Hyperlink"/>
            <w:noProof/>
          </w:rPr>
          <w:t>8.4</w:t>
        </w:r>
        <w:r w:rsidR="00B66212">
          <w:rPr>
            <w:rFonts w:asciiTheme="minorHAnsi" w:hAnsiTheme="minorHAnsi"/>
            <w:noProof/>
            <w:sz w:val="22"/>
          </w:rPr>
          <w:tab/>
        </w:r>
        <w:r w:rsidR="00B66212" w:rsidRPr="0063399B">
          <w:rPr>
            <w:rStyle w:val="Hyperlink"/>
            <w:noProof/>
          </w:rPr>
          <w:t>Results</w:t>
        </w:r>
        <w:r w:rsidR="00B66212">
          <w:rPr>
            <w:noProof/>
            <w:webHidden/>
          </w:rPr>
          <w:tab/>
        </w:r>
        <w:r w:rsidR="00B66212">
          <w:rPr>
            <w:noProof/>
            <w:webHidden/>
          </w:rPr>
          <w:fldChar w:fldCharType="begin"/>
        </w:r>
        <w:r w:rsidR="00B66212">
          <w:rPr>
            <w:noProof/>
            <w:webHidden/>
          </w:rPr>
          <w:instrText xml:space="preserve"> PAGEREF _Toc424721592 \h </w:instrText>
        </w:r>
        <w:r w:rsidR="00B66212">
          <w:rPr>
            <w:noProof/>
            <w:webHidden/>
          </w:rPr>
        </w:r>
        <w:r w:rsidR="00B66212">
          <w:rPr>
            <w:noProof/>
            <w:webHidden/>
          </w:rPr>
          <w:fldChar w:fldCharType="separate"/>
        </w:r>
        <w:r w:rsidR="00A8218A">
          <w:rPr>
            <w:noProof/>
            <w:webHidden/>
          </w:rPr>
          <w:t>63</w:t>
        </w:r>
        <w:r w:rsidR="00B66212">
          <w:rPr>
            <w:noProof/>
            <w:webHidden/>
          </w:rPr>
          <w:fldChar w:fldCharType="end"/>
        </w:r>
      </w:hyperlink>
    </w:p>
    <w:p w14:paraId="4A745675" w14:textId="459389D5" w:rsidR="00B66212" w:rsidRDefault="004A61E1">
      <w:pPr>
        <w:pStyle w:val="TOC3"/>
        <w:rPr>
          <w:rFonts w:asciiTheme="minorHAnsi" w:hAnsiTheme="minorHAnsi"/>
          <w:noProof/>
          <w:sz w:val="22"/>
        </w:rPr>
      </w:pPr>
      <w:hyperlink w:anchor="_Toc424721593" w:history="1">
        <w:r w:rsidR="00B66212" w:rsidRPr="0063399B">
          <w:rPr>
            <w:rStyle w:val="Hyperlink"/>
            <w:noProof/>
          </w:rPr>
          <w:t>8.4.1</w:t>
        </w:r>
        <w:r w:rsidR="00B66212">
          <w:rPr>
            <w:rFonts w:asciiTheme="minorHAnsi" w:hAnsiTheme="minorHAnsi"/>
            <w:noProof/>
            <w:sz w:val="22"/>
          </w:rPr>
          <w:tab/>
        </w:r>
        <w:r w:rsidR="00B66212" w:rsidRPr="0063399B">
          <w:rPr>
            <w:rStyle w:val="Hyperlink"/>
            <w:noProof/>
          </w:rPr>
          <w:t>Summary of Results</w:t>
        </w:r>
        <w:r w:rsidR="00B66212">
          <w:rPr>
            <w:noProof/>
            <w:webHidden/>
          </w:rPr>
          <w:tab/>
        </w:r>
        <w:r w:rsidR="00B66212">
          <w:rPr>
            <w:noProof/>
            <w:webHidden/>
          </w:rPr>
          <w:fldChar w:fldCharType="begin"/>
        </w:r>
        <w:r w:rsidR="00B66212">
          <w:rPr>
            <w:noProof/>
            <w:webHidden/>
          </w:rPr>
          <w:instrText xml:space="preserve"> PAGEREF _Toc424721593 \h </w:instrText>
        </w:r>
        <w:r w:rsidR="00B66212">
          <w:rPr>
            <w:noProof/>
            <w:webHidden/>
          </w:rPr>
        </w:r>
        <w:r w:rsidR="00B66212">
          <w:rPr>
            <w:noProof/>
            <w:webHidden/>
          </w:rPr>
          <w:fldChar w:fldCharType="separate"/>
        </w:r>
        <w:r w:rsidR="00A8218A">
          <w:rPr>
            <w:noProof/>
            <w:webHidden/>
          </w:rPr>
          <w:t>63</w:t>
        </w:r>
        <w:r w:rsidR="00B66212">
          <w:rPr>
            <w:noProof/>
            <w:webHidden/>
          </w:rPr>
          <w:fldChar w:fldCharType="end"/>
        </w:r>
      </w:hyperlink>
    </w:p>
    <w:p w14:paraId="6C25ABF4" w14:textId="481B8C04" w:rsidR="00B66212" w:rsidRDefault="004A61E1">
      <w:pPr>
        <w:pStyle w:val="TOC3"/>
        <w:rPr>
          <w:rFonts w:asciiTheme="minorHAnsi" w:hAnsiTheme="minorHAnsi"/>
          <w:noProof/>
          <w:sz w:val="22"/>
        </w:rPr>
      </w:pPr>
      <w:hyperlink w:anchor="_Toc424721594" w:history="1">
        <w:r w:rsidR="00B66212" w:rsidRPr="0063399B">
          <w:rPr>
            <w:rStyle w:val="Hyperlink"/>
            <w:noProof/>
          </w:rPr>
          <w:t>8.4.2</w:t>
        </w:r>
        <w:r w:rsidR="00B66212">
          <w:rPr>
            <w:rFonts w:asciiTheme="minorHAnsi" w:hAnsiTheme="minorHAnsi"/>
            <w:noProof/>
            <w:sz w:val="22"/>
          </w:rPr>
          <w:tab/>
        </w:r>
        <w:r w:rsidR="00B66212" w:rsidRPr="0063399B">
          <w:rPr>
            <w:rStyle w:val="Hyperlink"/>
            <w:noProof/>
          </w:rPr>
          <w:t>Results in Context</w:t>
        </w:r>
        <w:r w:rsidR="00B66212">
          <w:rPr>
            <w:noProof/>
            <w:webHidden/>
          </w:rPr>
          <w:tab/>
        </w:r>
        <w:r w:rsidR="00B66212">
          <w:rPr>
            <w:noProof/>
            <w:webHidden/>
          </w:rPr>
          <w:fldChar w:fldCharType="begin"/>
        </w:r>
        <w:r w:rsidR="00B66212">
          <w:rPr>
            <w:noProof/>
            <w:webHidden/>
          </w:rPr>
          <w:instrText xml:space="preserve"> PAGEREF _Toc424721594 \h </w:instrText>
        </w:r>
        <w:r w:rsidR="00B66212">
          <w:rPr>
            <w:noProof/>
            <w:webHidden/>
          </w:rPr>
        </w:r>
        <w:r w:rsidR="00B66212">
          <w:rPr>
            <w:noProof/>
            <w:webHidden/>
          </w:rPr>
          <w:fldChar w:fldCharType="separate"/>
        </w:r>
        <w:r w:rsidR="00A8218A">
          <w:rPr>
            <w:noProof/>
            <w:webHidden/>
          </w:rPr>
          <w:t>65</w:t>
        </w:r>
        <w:r w:rsidR="00B66212">
          <w:rPr>
            <w:noProof/>
            <w:webHidden/>
          </w:rPr>
          <w:fldChar w:fldCharType="end"/>
        </w:r>
      </w:hyperlink>
    </w:p>
    <w:p w14:paraId="7C42AD97" w14:textId="63D754E9" w:rsidR="00B66212" w:rsidRDefault="004A61E1">
      <w:pPr>
        <w:pStyle w:val="TOC1"/>
        <w:rPr>
          <w:rFonts w:asciiTheme="minorHAnsi" w:eastAsiaTheme="minorEastAsia" w:hAnsiTheme="minorHAnsi"/>
          <w:b w:val="0"/>
          <w:noProof/>
          <w:sz w:val="22"/>
        </w:rPr>
      </w:pPr>
      <w:hyperlink w:anchor="_Toc424721595" w:history="1">
        <w:r w:rsidR="00B66212" w:rsidRPr="0063399B">
          <w:rPr>
            <w:rStyle w:val="Hyperlink"/>
            <w:noProof/>
          </w:rPr>
          <w:t>9.</w:t>
        </w:r>
        <w:r w:rsidR="00B66212">
          <w:rPr>
            <w:rFonts w:asciiTheme="minorHAnsi" w:eastAsiaTheme="minorEastAsia" w:hAnsiTheme="minorHAnsi"/>
            <w:b w:val="0"/>
            <w:noProof/>
            <w:sz w:val="22"/>
          </w:rPr>
          <w:tab/>
        </w:r>
        <w:r w:rsidR="00B66212" w:rsidRPr="0063399B">
          <w:rPr>
            <w:rStyle w:val="Hyperlink"/>
            <w:noProof/>
          </w:rPr>
          <w:t>Demand-Side EE Plan Scenario: Assessment of Costs</w:t>
        </w:r>
        <w:r w:rsidR="00B66212">
          <w:rPr>
            <w:noProof/>
            <w:webHidden/>
          </w:rPr>
          <w:tab/>
        </w:r>
        <w:r w:rsidR="00B66212">
          <w:rPr>
            <w:noProof/>
            <w:webHidden/>
          </w:rPr>
          <w:fldChar w:fldCharType="begin"/>
        </w:r>
        <w:r w:rsidR="00B66212">
          <w:rPr>
            <w:noProof/>
            <w:webHidden/>
          </w:rPr>
          <w:instrText xml:space="preserve"> PAGEREF _Toc424721595 \h </w:instrText>
        </w:r>
        <w:r w:rsidR="00B66212">
          <w:rPr>
            <w:noProof/>
            <w:webHidden/>
          </w:rPr>
        </w:r>
        <w:r w:rsidR="00B66212">
          <w:rPr>
            <w:noProof/>
            <w:webHidden/>
          </w:rPr>
          <w:fldChar w:fldCharType="separate"/>
        </w:r>
        <w:r w:rsidR="00A8218A">
          <w:rPr>
            <w:noProof/>
            <w:webHidden/>
          </w:rPr>
          <w:t>66</w:t>
        </w:r>
        <w:r w:rsidR="00B66212">
          <w:rPr>
            <w:noProof/>
            <w:webHidden/>
          </w:rPr>
          <w:fldChar w:fldCharType="end"/>
        </w:r>
      </w:hyperlink>
    </w:p>
    <w:p w14:paraId="250A8719" w14:textId="56E15838" w:rsidR="00B66212" w:rsidRDefault="004A61E1">
      <w:pPr>
        <w:pStyle w:val="TOC2"/>
        <w:rPr>
          <w:rFonts w:asciiTheme="minorHAnsi" w:hAnsiTheme="minorHAnsi"/>
          <w:noProof/>
          <w:sz w:val="22"/>
        </w:rPr>
      </w:pPr>
      <w:hyperlink w:anchor="_Toc424721596" w:history="1">
        <w:r w:rsidR="00B66212" w:rsidRPr="0063399B">
          <w:rPr>
            <w:rStyle w:val="Hyperlink"/>
            <w:noProof/>
          </w:rPr>
          <w:t>9.1</w:t>
        </w:r>
        <w:r w:rsidR="00B66212">
          <w:rPr>
            <w:rFonts w:asciiTheme="minorHAnsi" w:hAnsiTheme="minorHAnsi"/>
            <w:noProof/>
            <w:sz w:val="22"/>
          </w:rPr>
          <w:tab/>
        </w:r>
        <w:r w:rsidR="00B66212" w:rsidRPr="0063399B">
          <w:rPr>
            <w:rStyle w:val="Hyperlink"/>
            <w:noProof/>
          </w:rPr>
          <w:t>Approach</w:t>
        </w:r>
        <w:r w:rsidR="00B66212">
          <w:rPr>
            <w:noProof/>
            <w:webHidden/>
          </w:rPr>
          <w:tab/>
        </w:r>
        <w:r w:rsidR="00B66212">
          <w:rPr>
            <w:noProof/>
            <w:webHidden/>
          </w:rPr>
          <w:fldChar w:fldCharType="begin"/>
        </w:r>
        <w:r w:rsidR="00B66212">
          <w:rPr>
            <w:noProof/>
            <w:webHidden/>
          </w:rPr>
          <w:instrText xml:space="preserve"> PAGEREF _Toc424721596 \h </w:instrText>
        </w:r>
        <w:r w:rsidR="00B66212">
          <w:rPr>
            <w:noProof/>
            <w:webHidden/>
          </w:rPr>
        </w:r>
        <w:r w:rsidR="00B66212">
          <w:rPr>
            <w:noProof/>
            <w:webHidden/>
          </w:rPr>
          <w:fldChar w:fldCharType="separate"/>
        </w:r>
        <w:r w:rsidR="00A8218A">
          <w:rPr>
            <w:noProof/>
            <w:webHidden/>
          </w:rPr>
          <w:t>66</w:t>
        </w:r>
        <w:r w:rsidR="00B66212">
          <w:rPr>
            <w:noProof/>
            <w:webHidden/>
          </w:rPr>
          <w:fldChar w:fldCharType="end"/>
        </w:r>
      </w:hyperlink>
    </w:p>
    <w:p w14:paraId="1FED8CB2" w14:textId="1E023390" w:rsidR="00B66212" w:rsidRDefault="004A61E1">
      <w:pPr>
        <w:pStyle w:val="TOC2"/>
        <w:rPr>
          <w:rFonts w:asciiTheme="minorHAnsi" w:hAnsiTheme="minorHAnsi"/>
          <w:noProof/>
          <w:sz w:val="22"/>
        </w:rPr>
      </w:pPr>
      <w:hyperlink w:anchor="_Toc424721597" w:history="1">
        <w:r w:rsidR="00B66212" w:rsidRPr="0063399B">
          <w:rPr>
            <w:rStyle w:val="Hyperlink"/>
            <w:noProof/>
          </w:rPr>
          <w:t>9.2</w:t>
        </w:r>
        <w:r w:rsidR="00B66212">
          <w:rPr>
            <w:rFonts w:asciiTheme="minorHAnsi" w:hAnsiTheme="minorHAnsi"/>
            <w:noProof/>
            <w:sz w:val="22"/>
          </w:rPr>
          <w:tab/>
        </w:r>
        <w:r w:rsidR="00B66212" w:rsidRPr="0063399B">
          <w:rPr>
            <w:rStyle w:val="Hyperlink"/>
            <w:noProof/>
          </w:rPr>
          <w:t>Inputs</w:t>
        </w:r>
        <w:r w:rsidR="00B66212">
          <w:rPr>
            <w:noProof/>
            <w:webHidden/>
          </w:rPr>
          <w:tab/>
        </w:r>
        <w:r w:rsidR="00B66212">
          <w:rPr>
            <w:noProof/>
            <w:webHidden/>
          </w:rPr>
          <w:fldChar w:fldCharType="begin"/>
        </w:r>
        <w:r w:rsidR="00B66212">
          <w:rPr>
            <w:noProof/>
            <w:webHidden/>
          </w:rPr>
          <w:instrText xml:space="preserve"> PAGEREF _Toc424721597 \h </w:instrText>
        </w:r>
        <w:r w:rsidR="00B66212">
          <w:rPr>
            <w:noProof/>
            <w:webHidden/>
          </w:rPr>
        </w:r>
        <w:r w:rsidR="00B66212">
          <w:rPr>
            <w:noProof/>
            <w:webHidden/>
          </w:rPr>
          <w:fldChar w:fldCharType="separate"/>
        </w:r>
        <w:r w:rsidR="00A8218A">
          <w:rPr>
            <w:noProof/>
            <w:webHidden/>
          </w:rPr>
          <w:t>67</w:t>
        </w:r>
        <w:r w:rsidR="00B66212">
          <w:rPr>
            <w:noProof/>
            <w:webHidden/>
          </w:rPr>
          <w:fldChar w:fldCharType="end"/>
        </w:r>
      </w:hyperlink>
    </w:p>
    <w:p w14:paraId="773B4E7F" w14:textId="5580DF45" w:rsidR="00B66212" w:rsidRDefault="004A61E1">
      <w:pPr>
        <w:pStyle w:val="TOC3"/>
        <w:rPr>
          <w:rFonts w:asciiTheme="minorHAnsi" w:hAnsiTheme="minorHAnsi"/>
          <w:noProof/>
          <w:sz w:val="22"/>
        </w:rPr>
      </w:pPr>
      <w:hyperlink w:anchor="_Toc424721598" w:history="1">
        <w:r w:rsidR="00B66212" w:rsidRPr="0063399B">
          <w:rPr>
            <w:rStyle w:val="Hyperlink"/>
            <w:noProof/>
          </w:rPr>
          <w:t>9.2.1</w:t>
        </w:r>
        <w:r w:rsidR="00B66212">
          <w:rPr>
            <w:rFonts w:asciiTheme="minorHAnsi" w:hAnsiTheme="minorHAnsi"/>
            <w:noProof/>
            <w:sz w:val="22"/>
          </w:rPr>
          <w:tab/>
        </w:r>
        <w:r w:rsidR="00B66212" w:rsidRPr="0063399B">
          <w:rPr>
            <w:rStyle w:val="Hyperlink"/>
            <w:noProof/>
          </w:rPr>
          <w:t>Step 1: Determine Incremental Electricity Savings</w:t>
        </w:r>
        <w:r w:rsidR="00B66212">
          <w:rPr>
            <w:noProof/>
            <w:webHidden/>
          </w:rPr>
          <w:tab/>
        </w:r>
        <w:r w:rsidR="00B66212">
          <w:rPr>
            <w:noProof/>
            <w:webHidden/>
          </w:rPr>
          <w:fldChar w:fldCharType="begin"/>
        </w:r>
        <w:r w:rsidR="00B66212">
          <w:rPr>
            <w:noProof/>
            <w:webHidden/>
          </w:rPr>
          <w:instrText xml:space="preserve"> PAGEREF _Toc424721598 \h </w:instrText>
        </w:r>
        <w:r w:rsidR="00B66212">
          <w:rPr>
            <w:noProof/>
            <w:webHidden/>
          </w:rPr>
        </w:r>
        <w:r w:rsidR="00B66212">
          <w:rPr>
            <w:noProof/>
            <w:webHidden/>
          </w:rPr>
          <w:fldChar w:fldCharType="separate"/>
        </w:r>
        <w:r w:rsidR="00A8218A">
          <w:rPr>
            <w:noProof/>
            <w:webHidden/>
          </w:rPr>
          <w:t>67</w:t>
        </w:r>
        <w:r w:rsidR="00B66212">
          <w:rPr>
            <w:noProof/>
            <w:webHidden/>
          </w:rPr>
          <w:fldChar w:fldCharType="end"/>
        </w:r>
      </w:hyperlink>
    </w:p>
    <w:p w14:paraId="393F4311" w14:textId="4C02509A" w:rsidR="00B66212" w:rsidRDefault="004A61E1">
      <w:pPr>
        <w:pStyle w:val="TOC3"/>
        <w:rPr>
          <w:rFonts w:asciiTheme="minorHAnsi" w:hAnsiTheme="minorHAnsi"/>
          <w:noProof/>
          <w:sz w:val="22"/>
        </w:rPr>
      </w:pPr>
      <w:hyperlink w:anchor="_Toc424721599" w:history="1">
        <w:r w:rsidR="00B66212" w:rsidRPr="0063399B">
          <w:rPr>
            <w:rStyle w:val="Hyperlink"/>
            <w:noProof/>
          </w:rPr>
          <w:t>9.2.2</w:t>
        </w:r>
        <w:r w:rsidR="00B66212">
          <w:rPr>
            <w:rFonts w:asciiTheme="minorHAnsi" w:hAnsiTheme="minorHAnsi"/>
            <w:noProof/>
            <w:sz w:val="22"/>
          </w:rPr>
          <w:tab/>
        </w:r>
        <w:r w:rsidR="00B66212" w:rsidRPr="0063399B">
          <w:rPr>
            <w:rStyle w:val="Hyperlink"/>
            <w:noProof/>
          </w:rPr>
          <w:t>Step 2: Determine First-Year Program Costs and Cost Factors</w:t>
        </w:r>
        <w:r w:rsidR="00B66212">
          <w:rPr>
            <w:noProof/>
            <w:webHidden/>
          </w:rPr>
          <w:tab/>
        </w:r>
        <w:r w:rsidR="00B66212">
          <w:rPr>
            <w:noProof/>
            <w:webHidden/>
          </w:rPr>
          <w:fldChar w:fldCharType="begin"/>
        </w:r>
        <w:r w:rsidR="00B66212">
          <w:rPr>
            <w:noProof/>
            <w:webHidden/>
          </w:rPr>
          <w:instrText xml:space="preserve"> PAGEREF _Toc424721599 \h </w:instrText>
        </w:r>
        <w:r w:rsidR="00B66212">
          <w:rPr>
            <w:noProof/>
            <w:webHidden/>
          </w:rPr>
        </w:r>
        <w:r w:rsidR="00B66212">
          <w:rPr>
            <w:noProof/>
            <w:webHidden/>
          </w:rPr>
          <w:fldChar w:fldCharType="separate"/>
        </w:r>
        <w:r w:rsidR="00A8218A">
          <w:rPr>
            <w:noProof/>
            <w:webHidden/>
          </w:rPr>
          <w:t>67</w:t>
        </w:r>
        <w:r w:rsidR="00B66212">
          <w:rPr>
            <w:noProof/>
            <w:webHidden/>
          </w:rPr>
          <w:fldChar w:fldCharType="end"/>
        </w:r>
      </w:hyperlink>
    </w:p>
    <w:p w14:paraId="4AFCB06D" w14:textId="0FDB0B6D" w:rsidR="00B66212" w:rsidRDefault="004A61E1">
      <w:pPr>
        <w:pStyle w:val="TOC3"/>
        <w:rPr>
          <w:rFonts w:asciiTheme="minorHAnsi" w:hAnsiTheme="minorHAnsi"/>
          <w:noProof/>
          <w:sz w:val="22"/>
        </w:rPr>
      </w:pPr>
      <w:hyperlink w:anchor="_Toc424721600" w:history="1">
        <w:r w:rsidR="00B66212" w:rsidRPr="0063399B">
          <w:rPr>
            <w:rStyle w:val="Hyperlink"/>
            <w:noProof/>
          </w:rPr>
          <w:t>9.2.3</w:t>
        </w:r>
        <w:r w:rsidR="00B66212">
          <w:rPr>
            <w:rFonts w:asciiTheme="minorHAnsi" w:hAnsiTheme="minorHAnsi"/>
            <w:noProof/>
            <w:sz w:val="22"/>
          </w:rPr>
          <w:tab/>
        </w:r>
        <w:r w:rsidR="00B66212" w:rsidRPr="0063399B">
          <w:rPr>
            <w:rStyle w:val="Hyperlink"/>
            <w:noProof/>
          </w:rPr>
          <w:t>Step 3: Determine the Ratio of Program to Participant Costs</w:t>
        </w:r>
        <w:r w:rsidR="00B66212">
          <w:rPr>
            <w:noProof/>
            <w:webHidden/>
          </w:rPr>
          <w:tab/>
        </w:r>
        <w:r w:rsidR="00B66212">
          <w:rPr>
            <w:noProof/>
            <w:webHidden/>
          </w:rPr>
          <w:fldChar w:fldCharType="begin"/>
        </w:r>
        <w:r w:rsidR="00B66212">
          <w:rPr>
            <w:noProof/>
            <w:webHidden/>
          </w:rPr>
          <w:instrText xml:space="preserve"> PAGEREF _Toc424721600 \h </w:instrText>
        </w:r>
        <w:r w:rsidR="00B66212">
          <w:rPr>
            <w:noProof/>
            <w:webHidden/>
          </w:rPr>
        </w:r>
        <w:r w:rsidR="00B66212">
          <w:rPr>
            <w:noProof/>
            <w:webHidden/>
          </w:rPr>
          <w:fldChar w:fldCharType="separate"/>
        </w:r>
        <w:r w:rsidR="00A8218A">
          <w:rPr>
            <w:noProof/>
            <w:webHidden/>
          </w:rPr>
          <w:t>69</w:t>
        </w:r>
        <w:r w:rsidR="00B66212">
          <w:rPr>
            <w:noProof/>
            <w:webHidden/>
          </w:rPr>
          <w:fldChar w:fldCharType="end"/>
        </w:r>
      </w:hyperlink>
    </w:p>
    <w:p w14:paraId="5B0929DA" w14:textId="22297CCB" w:rsidR="00B66212" w:rsidRDefault="004A61E1">
      <w:pPr>
        <w:pStyle w:val="TOC3"/>
        <w:rPr>
          <w:rFonts w:asciiTheme="minorHAnsi" w:hAnsiTheme="minorHAnsi"/>
          <w:noProof/>
          <w:sz w:val="22"/>
        </w:rPr>
      </w:pPr>
      <w:hyperlink w:anchor="_Toc424721601" w:history="1">
        <w:r w:rsidR="00B66212" w:rsidRPr="0063399B">
          <w:rPr>
            <w:rStyle w:val="Hyperlink"/>
            <w:noProof/>
          </w:rPr>
          <w:t>9.2.4</w:t>
        </w:r>
        <w:r w:rsidR="00B66212">
          <w:rPr>
            <w:rFonts w:asciiTheme="minorHAnsi" w:hAnsiTheme="minorHAnsi"/>
            <w:noProof/>
            <w:sz w:val="22"/>
          </w:rPr>
          <w:tab/>
        </w:r>
        <w:r w:rsidR="00B66212" w:rsidRPr="0063399B">
          <w:rPr>
            <w:rStyle w:val="Hyperlink"/>
            <w:noProof/>
          </w:rPr>
          <w:t>Summary of Inputs for Demand-Side EE Cost Analysis</w:t>
        </w:r>
        <w:r w:rsidR="00B66212">
          <w:rPr>
            <w:noProof/>
            <w:webHidden/>
          </w:rPr>
          <w:tab/>
        </w:r>
        <w:r w:rsidR="00B66212">
          <w:rPr>
            <w:noProof/>
            <w:webHidden/>
          </w:rPr>
          <w:fldChar w:fldCharType="begin"/>
        </w:r>
        <w:r w:rsidR="00B66212">
          <w:rPr>
            <w:noProof/>
            <w:webHidden/>
          </w:rPr>
          <w:instrText xml:space="preserve"> PAGEREF _Toc424721601 \h </w:instrText>
        </w:r>
        <w:r w:rsidR="00B66212">
          <w:rPr>
            <w:noProof/>
            <w:webHidden/>
          </w:rPr>
        </w:r>
        <w:r w:rsidR="00B66212">
          <w:rPr>
            <w:noProof/>
            <w:webHidden/>
          </w:rPr>
          <w:fldChar w:fldCharType="separate"/>
        </w:r>
        <w:r w:rsidR="00A8218A">
          <w:rPr>
            <w:noProof/>
            <w:webHidden/>
          </w:rPr>
          <w:t>70</w:t>
        </w:r>
        <w:r w:rsidR="00B66212">
          <w:rPr>
            <w:noProof/>
            <w:webHidden/>
          </w:rPr>
          <w:fldChar w:fldCharType="end"/>
        </w:r>
      </w:hyperlink>
    </w:p>
    <w:p w14:paraId="09976B63" w14:textId="6BD3AF96" w:rsidR="00B66212" w:rsidRDefault="004A61E1">
      <w:pPr>
        <w:pStyle w:val="TOC2"/>
        <w:rPr>
          <w:rFonts w:asciiTheme="minorHAnsi" w:hAnsiTheme="minorHAnsi"/>
          <w:noProof/>
          <w:sz w:val="22"/>
        </w:rPr>
      </w:pPr>
      <w:hyperlink w:anchor="_Toc424721602" w:history="1">
        <w:r w:rsidR="00B66212" w:rsidRPr="0063399B">
          <w:rPr>
            <w:rStyle w:val="Hyperlink"/>
            <w:noProof/>
          </w:rPr>
          <w:t>9.3</w:t>
        </w:r>
        <w:r w:rsidR="00B66212">
          <w:rPr>
            <w:rFonts w:asciiTheme="minorHAnsi" w:hAnsiTheme="minorHAnsi"/>
            <w:noProof/>
            <w:sz w:val="22"/>
          </w:rPr>
          <w:tab/>
        </w:r>
        <w:r w:rsidR="00B66212" w:rsidRPr="0063399B">
          <w:rPr>
            <w:rStyle w:val="Hyperlink"/>
            <w:noProof/>
          </w:rPr>
          <w:t>Calculations</w:t>
        </w:r>
        <w:r w:rsidR="00B66212">
          <w:rPr>
            <w:noProof/>
            <w:webHidden/>
          </w:rPr>
          <w:tab/>
        </w:r>
        <w:r w:rsidR="00B66212">
          <w:rPr>
            <w:noProof/>
            <w:webHidden/>
          </w:rPr>
          <w:fldChar w:fldCharType="begin"/>
        </w:r>
        <w:r w:rsidR="00B66212">
          <w:rPr>
            <w:noProof/>
            <w:webHidden/>
          </w:rPr>
          <w:instrText xml:space="preserve"> PAGEREF _Toc424721602 \h </w:instrText>
        </w:r>
        <w:r w:rsidR="00B66212">
          <w:rPr>
            <w:noProof/>
            <w:webHidden/>
          </w:rPr>
        </w:r>
        <w:r w:rsidR="00B66212">
          <w:rPr>
            <w:noProof/>
            <w:webHidden/>
          </w:rPr>
          <w:fldChar w:fldCharType="separate"/>
        </w:r>
        <w:r w:rsidR="00A8218A">
          <w:rPr>
            <w:noProof/>
            <w:webHidden/>
          </w:rPr>
          <w:t>71</w:t>
        </w:r>
        <w:r w:rsidR="00B66212">
          <w:rPr>
            <w:noProof/>
            <w:webHidden/>
          </w:rPr>
          <w:fldChar w:fldCharType="end"/>
        </w:r>
      </w:hyperlink>
    </w:p>
    <w:p w14:paraId="10FF6A9E" w14:textId="5A327BF4" w:rsidR="00B66212" w:rsidRDefault="004A61E1">
      <w:pPr>
        <w:pStyle w:val="TOC3"/>
        <w:rPr>
          <w:rFonts w:asciiTheme="minorHAnsi" w:hAnsiTheme="minorHAnsi"/>
          <w:noProof/>
          <w:sz w:val="22"/>
        </w:rPr>
      </w:pPr>
      <w:hyperlink w:anchor="_Toc424721603" w:history="1">
        <w:r w:rsidR="00B66212" w:rsidRPr="0063399B">
          <w:rPr>
            <w:rStyle w:val="Hyperlink"/>
            <w:noProof/>
          </w:rPr>
          <w:t>9.3.1</w:t>
        </w:r>
        <w:r w:rsidR="00B66212">
          <w:rPr>
            <w:rFonts w:asciiTheme="minorHAnsi" w:hAnsiTheme="minorHAnsi"/>
            <w:noProof/>
            <w:sz w:val="22"/>
          </w:rPr>
          <w:tab/>
        </w:r>
        <w:r w:rsidR="00B66212" w:rsidRPr="0063399B">
          <w:rPr>
            <w:rStyle w:val="Hyperlink"/>
            <w:noProof/>
          </w:rPr>
          <w:t>Step 1: Calculate Annual First-Year Costs</w:t>
        </w:r>
        <w:r w:rsidR="00B66212">
          <w:rPr>
            <w:noProof/>
            <w:webHidden/>
          </w:rPr>
          <w:tab/>
        </w:r>
        <w:r w:rsidR="00B66212">
          <w:rPr>
            <w:noProof/>
            <w:webHidden/>
          </w:rPr>
          <w:fldChar w:fldCharType="begin"/>
        </w:r>
        <w:r w:rsidR="00B66212">
          <w:rPr>
            <w:noProof/>
            <w:webHidden/>
          </w:rPr>
          <w:instrText xml:space="preserve"> PAGEREF _Toc424721603 \h </w:instrText>
        </w:r>
        <w:r w:rsidR="00B66212">
          <w:rPr>
            <w:noProof/>
            <w:webHidden/>
          </w:rPr>
        </w:r>
        <w:r w:rsidR="00B66212">
          <w:rPr>
            <w:noProof/>
            <w:webHidden/>
          </w:rPr>
          <w:fldChar w:fldCharType="separate"/>
        </w:r>
        <w:r w:rsidR="00A8218A">
          <w:rPr>
            <w:noProof/>
            <w:webHidden/>
          </w:rPr>
          <w:t>71</w:t>
        </w:r>
        <w:r w:rsidR="00B66212">
          <w:rPr>
            <w:noProof/>
            <w:webHidden/>
          </w:rPr>
          <w:fldChar w:fldCharType="end"/>
        </w:r>
      </w:hyperlink>
    </w:p>
    <w:p w14:paraId="31A9E4F9" w14:textId="5DCA150F" w:rsidR="00B66212" w:rsidRDefault="004A61E1">
      <w:pPr>
        <w:pStyle w:val="TOC3"/>
        <w:rPr>
          <w:rFonts w:asciiTheme="minorHAnsi" w:hAnsiTheme="minorHAnsi"/>
          <w:noProof/>
          <w:sz w:val="22"/>
        </w:rPr>
      </w:pPr>
      <w:hyperlink w:anchor="_Toc424721604" w:history="1">
        <w:r w:rsidR="00B66212" w:rsidRPr="0063399B">
          <w:rPr>
            <w:rStyle w:val="Hyperlink"/>
            <w:noProof/>
          </w:rPr>
          <w:t>9.3.2</w:t>
        </w:r>
        <w:r w:rsidR="00B66212">
          <w:rPr>
            <w:rFonts w:asciiTheme="minorHAnsi" w:hAnsiTheme="minorHAnsi"/>
            <w:noProof/>
            <w:sz w:val="22"/>
          </w:rPr>
          <w:tab/>
        </w:r>
        <w:r w:rsidR="00B66212" w:rsidRPr="0063399B">
          <w:rPr>
            <w:rStyle w:val="Hyperlink"/>
            <w:noProof/>
          </w:rPr>
          <w:t>Step 2: Calculate Levelized Cost of Saved Energy</w:t>
        </w:r>
        <w:r w:rsidR="00B66212">
          <w:rPr>
            <w:noProof/>
            <w:webHidden/>
          </w:rPr>
          <w:tab/>
        </w:r>
        <w:r w:rsidR="00B66212">
          <w:rPr>
            <w:noProof/>
            <w:webHidden/>
          </w:rPr>
          <w:fldChar w:fldCharType="begin"/>
        </w:r>
        <w:r w:rsidR="00B66212">
          <w:rPr>
            <w:noProof/>
            <w:webHidden/>
          </w:rPr>
          <w:instrText xml:space="preserve"> PAGEREF _Toc424721604 \h </w:instrText>
        </w:r>
        <w:r w:rsidR="00B66212">
          <w:rPr>
            <w:noProof/>
            <w:webHidden/>
          </w:rPr>
        </w:r>
        <w:r w:rsidR="00B66212">
          <w:rPr>
            <w:noProof/>
            <w:webHidden/>
          </w:rPr>
          <w:fldChar w:fldCharType="separate"/>
        </w:r>
        <w:r w:rsidR="00A8218A">
          <w:rPr>
            <w:noProof/>
            <w:webHidden/>
          </w:rPr>
          <w:t>72</w:t>
        </w:r>
        <w:r w:rsidR="00B66212">
          <w:rPr>
            <w:noProof/>
            <w:webHidden/>
          </w:rPr>
          <w:fldChar w:fldCharType="end"/>
        </w:r>
      </w:hyperlink>
    </w:p>
    <w:p w14:paraId="5DC1F96D" w14:textId="3303F4E5" w:rsidR="00B66212" w:rsidRDefault="004A61E1">
      <w:pPr>
        <w:pStyle w:val="TOC3"/>
        <w:rPr>
          <w:rFonts w:asciiTheme="minorHAnsi" w:hAnsiTheme="minorHAnsi"/>
          <w:noProof/>
          <w:sz w:val="22"/>
        </w:rPr>
      </w:pPr>
      <w:hyperlink w:anchor="_Toc424721605" w:history="1">
        <w:r w:rsidR="00B66212" w:rsidRPr="0063399B">
          <w:rPr>
            <w:rStyle w:val="Hyperlink"/>
            <w:noProof/>
          </w:rPr>
          <w:t>9.3.3</w:t>
        </w:r>
        <w:r w:rsidR="00B66212">
          <w:rPr>
            <w:rFonts w:asciiTheme="minorHAnsi" w:hAnsiTheme="minorHAnsi"/>
            <w:noProof/>
            <w:sz w:val="22"/>
          </w:rPr>
          <w:tab/>
        </w:r>
        <w:r w:rsidR="00B66212" w:rsidRPr="0063399B">
          <w:rPr>
            <w:rStyle w:val="Hyperlink"/>
            <w:noProof/>
          </w:rPr>
          <w:t>Step 3: Calculate Annualized Costs</w:t>
        </w:r>
        <w:r w:rsidR="00B66212">
          <w:rPr>
            <w:noProof/>
            <w:webHidden/>
          </w:rPr>
          <w:tab/>
        </w:r>
        <w:r w:rsidR="00B66212">
          <w:rPr>
            <w:noProof/>
            <w:webHidden/>
          </w:rPr>
          <w:fldChar w:fldCharType="begin"/>
        </w:r>
        <w:r w:rsidR="00B66212">
          <w:rPr>
            <w:noProof/>
            <w:webHidden/>
          </w:rPr>
          <w:instrText xml:space="preserve"> PAGEREF _Toc424721605 \h </w:instrText>
        </w:r>
        <w:r w:rsidR="00B66212">
          <w:rPr>
            <w:noProof/>
            <w:webHidden/>
          </w:rPr>
        </w:r>
        <w:r w:rsidR="00B66212">
          <w:rPr>
            <w:noProof/>
            <w:webHidden/>
          </w:rPr>
          <w:fldChar w:fldCharType="separate"/>
        </w:r>
        <w:r w:rsidR="00A8218A">
          <w:rPr>
            <w:noProof/>
            <w:webHidden/>
          </w:rPr>
          <w:t>73</w:t>
        </w:r>
        <w:r w:rsidR="00B66212">
          <w:rPr>
            <w:noProof/>
            <w:webHidden/>
          </w:rPr>
          <w:fldChar w:fldCharType="end"/>
        </w:r>
      </w:hyperlink>
    </w:p>
    <w:p w14:paraId="758AA3AF" w14:textId="2DDCF5E6" w:rsidR="00B66212" w:rsidRDefault="004A61E1">
      <w:pPr>
        <w:pStyle w:val="TOC3"/>
        <w:rPr>
          <w:rFonts w:asciiTheme="minorHAnsi" w:hAnsiTheme="minorHAnsi"/>
          <w:noProof/>
          <w:sz w:val="22"/>
        </w:rPr>
      </w:pPr>
      <w:hyperlink w:anchor="_Toc424721606" w:history="1">
        <w:r w:rsidR="00B66212" w:rsidRPr="0063399B">
          <w:rPr>
            <w:rStyle w:val="Hyperlink"/>
            <w:noProof/>
          </w:rPr>
          <w:t>9.3.4</w:t>
        </w:r>
        <w:r w:rsidR="00B66212">
          <w:rPr>
            <w:rFonts w:asciiTheme="minorHAnsi" w:hAnsiTheme="minorHAnsi"/>
            <w:noProof/>
            <w:sz w:val="22"/>
          </w:rPr>
          <w:tab/>
        </w:r>
        <w:r w:rsidR="00B66212" w:rsidRPr="0063399B">
          <w:rPr>
            <w:rStyle w:val="Hyperlink"/>
            <w:noProof/>
          </w:rPr>
          <w:t>Summary of General Formulas and Results by Step for South Carolina</w:t>
        </w:r>
        <w:r w:rsidR="00B66212">
          <w:rPr>
            <w:noProof/>
            <w:webHidden/>
          </w:rPr>
          <w:tab/>
        </w:r>
        <w:r w:rsidR="00B66212">
          <w:rPr>
            <w:noProof/>
            <w:webHidden/>
          </w:rPr>
          <w:fldChar w:fldCharType="begin"/>
        </w:r>
        <w:r w:rsidR="00B66212">
          <w:rPr>
            <w:noProof/>
            <w:webHidden/>
          </w:rPr>
          <w:instrText xml:space="preserve"> PAGEREF _Toc424721606 \h </w:instrText>
        </w:r>
        <w:r w:rsidR="00B66212">
          <w:rPr>
            <w:noProof/>
            <w:webHidden/>
          </w:rPr>
        </w:r>
        <w:r w:rsidR="00B66212">
          <w:rPr>
            <w:noProof/>
            <w:webHidden/>
          </w:rPr>
          <w:fldChar w:fldCharType="separate"/>
        </w:r>
        <w:r w:rsidR="00A8218A">
          <w:rPr>
            <w:noProof/>
            <w:webHidden/>
          </w:rPr>
          <w:t>73</w:t>
        </w:r>
        <w:r w:rsidR="00B66212">
          <w:rPr>
            <w:noProof/>
            <w:webHidden/>
          </w:rPr>
          <w:fldChar w:fldCharType="end"/>
        </w:r>
      </w:hyperlink>
    </w:p>
    <w:p w14:paraId="62B66FA7" w14:textId="39D6C225" w:rsidR="00B66212" w:rsidRDefault="004A61E1">
      <w:pPr>
        <w:pStyle w:val="TOC2"/>
        <w:rPr>
          <w:rFonts w:asciiTheme="minorHAnsi" w:hAnsiTheme="minorHAnsi"/>
          <w:noProof/>
          <w:sz w:val="22"/>
        </w:rPr>
      </w:pPr>
      <w:hyperlink w:anchor="_Toc424721607" w:history="1">
        <w:r w:rsidR="00B66212" w:rsidRPr="0063399B">
          <w:rPr>
            <w:rStyle w:val="Hyperlink"/>
            <w:noProof/>
          </w:rPr>
          <w:t>9.4</w:t>
        </w:r>
        <w:r w:rsidR="00B66212">
          <w:rPr>
            <w:rFonts w:asciiTheme="minorHAnsi" w:hAnsiTheme="minorHAnsi"/>
            <w:noProof/>
            <w:sz w:val="22"/>
          </w:rPr>
          <w:tab/>
        </w:r>
        <w:r w:rsidR="00B66212" w:rsidRPr="0063399B">
          <w:rPr>
            <w:rStyle w:val="Hyperlink"/>
            <w:noProof/>
          </w:rPr>
          <w:t>Results</w:t>
        </w:r>
        <w:r w:rsidR="00B66212">
          <w:rPr>
            <w:noProof/>
            <w:webHidden/>
          </w:rPr>
          <w:tab/>
        </w:r>
        <w:r w:rsidR="00B66212">
          <w:rPr>
            <w:noProof/>
            <w:webHidden/>
          </w:rPr>
          <w:fldChar w:fldCharType="begin"/>
        </w:r>
        <w:r w:rsidR="00B66212">
          <w:rPr>
            <w:noProof/>
            <w:webHidden/>
          </w:rPr>
          <w:instrText xml:space="preserve"> PAGEREF _Toc424721607 \h </w:instrText>
        </w:r>
        <w:r w:rsidR="00B66212">
          <w:rPr>
            <w:noProof/>
            <w:webHidden/>
          </w:rPr>
        </w:r>
        <w:r w:rsidR="00B66212">
          <w:rPr>
            <w:noProof/>
            <w:webHidden/>
          </w:rPr>
          <w:fldChar w:fldCharType="separate"/>
        </w:r>
        <w:r w:rsidR="00A8218A">
          <w:rPr>
            <w:noProof/>
            <w:webHidden/>
          </w:rPr>
          <w:t>74</w:t>
        </w:r>
        <w:r w:rsidR="00B66212">
          <w:rPr>
            <w:noProof/>
            <w:webHidden/>
          </w:rPr>
          <w:fldChar w:fldCharType="end"/>
        </w:r>
      </w:hyperlink>
    </w:p>
    <w:p w14:paraId="0BE635E8" w14:textId="7EE2CDD2" w:rsidR="00B66212" w:rsidRDefault="004A61E1">
      <w:pPr>
        <w:pStyle w:val="TOC3"/>
        <w:rPr>
          <w:rFonts w:asciiTheme="minorHAnsi" w:hAnsiTheme="minorHAnsi"/>
          <w:noProof/>
          <w:sz w:val="22"/>
        </w:rPr>
      </w:pPr>
      <w:hyperlink w:anchor="_Toc424721608" w:history="1">
        <w:r w:rsidR="00B66212" w:rsidRPr="0063399B">
          <w:rPr>
            <w:rStyle w:val="Hyperlink"/>
            <w:noProof/>
          </w:rPr>
          <w:t>9.4.1</w:t>
        </w:r>
        <w:r w:rsidR="00B66212">
          <w:rPr>
            <w:rFonts w:asciiTheme="minorHAnsi" w:hAnsiTheme="minorHAnsi"/>
            <w:noProof/>
            <w:sz w:val="22"/>
          </w:rPr>
          <w:tab/>
        </w:r>
        <w:r w:rsidR="00B66212" w:rsidRPr="0063399B">
          <w:rPr>
            <w:rStyle w:val="Hyperlink"/>
            <w:noProof/>
          </w:rPr>
          <w:t>Summary of National Results</w:t>
        </w:r>
        <w:r w:rsidR="00B66212">
          <w:rPr>
            <w:noProof/>
            <w:webHidden/>
          </w:rPr>
          <w:tab/>
        </w:r>
        <w:r w:rsidR="00B66212">
          <w:rPr>
            <w:noProof/>
            <w:webHidden/>
          </w:rPr>
          <w:fldChar w:fldCharType="begin"/>
        </w:r>
        <w:r w:rsidR="00B66212">
          <w:rPr>
            <w:noProof/>
            <w:webHidden/>
          </w:rPr>
          <w:instrText xml:space="preserve"> PAGEREF _Toc424721608 \h </w:instrText>
        </w:r>
        <w:r w:rsidR="00B66212">
          <w:rPr>
            <w:noProof/>
            <w:webHidden/>
          </w:rPr>
        </w:r>
        <w:r w:rsidR="00B66212">
          <w:rPr>
            <w:noProof/>
            <w:webHidden/>
          </w:rPr>
          <w:fldChar w:fldCharType="separate"/>
        </w:r>
        <w:r w:rsidR="00A8218A">
          <w:rPr>
            <w:noProof/>
            <w:webHidden/>
          </w:rPr>
          <w:t>74</w:t>
        </w:r>
        <w:r w:rsidR="00B66212">
          <w:rPr>
            <w:noProof/>
            <w:webHidden/>
          </w:rPr>
          <w:fldChar w:fldCharType="end"/>
        </w:r>
      </w:hyperlink>
    </w:p>
    <w:p w14:paraId="19AECFC3" w14:textId="5DFEDCF6" w:rsidR="00B66212" w:rsidRDefault="004A61E1">
      <w:pPr>
        <w:pStyle w:val="TOC3"/>
        <w:rPr>
          <w:rFonts w:asciiTheme="minorHAnsi" w:hAnsiTheme="minorHAnsi"/>
          <w:noProof/>
          <w:sz w:val="22"/>
        </w:rPr>
      </w:pPr>
      <w:hyperlink w:anchor="_Toc424721609" w:history="1">
        <w:r w:rsidR="00B66212" w:rsidRPr="0063399B">
          <w:rPr>
            <w:rStyle w:val="Hyperlink"/>
            <w:noProof/>
          </w:rPr>
          <w:t>9.4.2</w:t>
        </w:r>
        <w:r w:rsidR="00B66212">
          <w:rPr>
            <w:rFonts w:asciiTheme="minorHAnsi" w:hAnsiTheme="minorHAnsi"/>
            <w:noProof/>
            <w:sz w:val="22"/>
          </w:rPr>
          <w:tab/>
        </w:r>
        <w:r w:rsidR="00B66212" w:rsidRPr="0063399B">
          <w:rPr>
            <w:rStyle w:val="Hyperlink"/>
            <w:noProof/>
          </w:rPr>
          <w:t>Results in Context</w:t>
        </w:r>
        <w:r w:rsidR="00B66212">
          <w:rPr>
            <w:noProof/>
            <w:webHidden/>
          </w:rPr>
          <w:tab/>
        </w:r>
        <w:r w:rsidR="00B66212">
          <w:rPr>
            <w:noProof/>
            <w:webHidden/>
          </w:rPr>
          <w:fldChar w:fldCharType="begin"/>
        </w:r>
        <w:r w:rsidR="00B66212">
          <w:rPr>
            <w:noProof/>
            <w:webHidden/>
          </w:rPr>
          <w:instrText xml:space="preserve"> PAGEREF _Toc424721609 \h </w:instrText>
        </w:r>
        <w:r w:rsidR="00B66212">
          <w:rPr>
            <w:noProof/>
            <w:webHidden/>
          </w:rPr>
        </w:r>
        <w:r w:rsidR="00B66212">
          <w:rPr>
            <w:noProof/>
            <w:webHidden/>
          </w:rPr>
          <w:fldChar w:fldCharType="separate"/>
        </w:r>
        <w:r w:rsidR="00A8218A">
          <w:rPr>
            <w:noProof/>
            <w:webHidden/>
          </w:rPr>
          <w:t>75</w:t>
        </w:r>
        <w:r w:rsidR="00B66212">
          <w:rPr>
            <w:noProof/>
            <w:webHidden/>
          </w:rPr>
          <w:fldChar w:fldCharType="end"/>
        </w:r>
      </w:hyperlink>
    </w:p>
    <w:p w14:paraId="62653472" w14:textId="6C622C38" w:rsidR="00B66212" w:rsidRDefault="004A61E1">
      <w:pPr>
        <w:pStyle w:val="TOC3"/>
        <w:rPr>
          <w:rFonts w:asciiTheme="minorHAnsi" w:hAnsiTheme="minorHAnsi"/>
          <w:noProof/>
          <w:sz w:val="22"/>
        </w:rPr>
      </w:pPr>
      <w:hyperlink w:anchor="_Toc424721610" w:history="1">
        <w:r w:rsidR="00B66212" w:rsidRPr="0063399B">
          <w:rPr>
            <w:rStyle w:val="Hyperlink"/>
            <w:noProof/>
          </w:rPr>
          <w:t>9.4.3</w:t>
        </w:r>
        <w:r w:rsidR="00B66212">
          <w:rPr>
            <w:rFonts w:asciiTheme="minorHAnsi" w:hAnsiTheme="minorHAnsi"/>
            <w:noProof/>
            <w:sz w:val="22"/>
          </w:rPr>
          <w:tab/>
        </w:r>
        <w:r w:rsidR="00B66212" w:rsidRPr="0063399B">
          <w:rPr>
            <w:rStyle w:val="Hyperlink"/>
            <w:noProof/>
          </w:rPr>
          <w:t>Costs per Tonne CO</w:t>
        </w:r>
        <w:r w:rsidR="00B66212" w:rsidRPr="0063399B">
          <w:rPr>
            <w:rStyle w:val="Hyperlink"/>
            <w:noProof/>
            <w:vertAlign w:val="subscript"/>
          </w:rPr>
          <w:t>2</w:t>
        </w:r>
        <w:r w:rsidR="00B66212" w:rsidRPr="0063399B">
          <w:rPr>
            <w:rStyle w:val="Hyperlink"/>
            <w:noProof/>
          </w:rPr>
          <w:t xml:space="preserve"> Reduced</w:t>
        </w:r>
        <w:r w:rsidR="00B66212">
          <w:rPr>
            <w:noProof/>
            <w:webHidden/>
          </w:rPr>
          <w:tab/>
        </w:r>
        <w:r w:rsidR="00B66212">
          <w:rPr>
            <w:noProof/>
            <w:webHidden/>
          </w:rPr>
          <w:fldChar w:fldCharType="begin"/>
        </w:r>
        <w:r w:rsidR="00B66212">
          <w:rPr>
            <w:noProof/>
            <w:webHidden/>
          </w:rPr>
          <w:instrText xml:space="preserve"> PAGEREF _Toc424721610 \h </w:instrText>
        </w:r>
        <w:r w:rsidR="00B66212">
          <w:rPr>
            <w:noProof/>
            <w:webHidden/>
          </w:rPr>
        </w:r>
        <w:r w:rsidR="00B66212">
          <w:rPr>
            <w:noProof/>
            <w:webHidden/>
          </w:rPr>
          <w:fldChar w:fldCharType="separate"/>
        </w:r>
        <w:r w:rsidR="00A8218A">
          <w:rPr>
            <w:noProof/>
            <w:webHidden/>
          </w:rPr>
          <w:t>75</w:t>
        </w:r>
        <w:r w:rsidR="00B66212">
          <w:rPr>
            <w:noProof/>
            <w:webHidden/>
          </w:rPr>
          <w:fldChar w:fldCharType="end"/>
        </w:r>
      </w:hyperlink>
    </w:p>
    <w:p w14:paraId="5F99D3A0" w14:textId="156FA3F5" w:rsidR="00B66212" w:rsidRDefault="004A61E1">
      <w:pPr>
        <w:pStyle w:val="TOC1"/>
        <w:rPr>
          <w:rFonts w:asciiTheme="minorHAnsi" w:eastAsiaTheme="minorEastAsia" w:hAnsiTheme="minorHAnsi"/>
          <w:b w:val="0"/>
          <w:noProof/>
          <w:sz w:val="22"/>
        </w:rPr>
      </w:pPr>
      <w:hyperlink w:anchor="_Toc424721611" w:history="1">
        <w:r w:rsidR="00B66212" w:rsidRPr="0063399B">
          <w:rPr>
            <w:rStyle w:val="Hyperlink"/>
            <w:noProof/>
          </w:rPr>
          <w:t>10.</w:t>
        </w:r>
        <w:r w:rsidR="00B66212">
          <w:rPr>
            <w:rFonts w:asciiTheme="minorHAnsi" w:eastAsiaTheme="minorEastAsia" w:hAnsiTheme="minorHAnsi"/>
            <w:b w:val="0"/>
            <w:noProof/>
            <w:sz w:val="22"/>
          </w:rPr>
          <w:tab/>
        </w:r>
        <w:r w:rsidR="00B66212" w:rsidRPr="0063399B">
          <w:rPr>
            <w:rStyle w:val="Hyperlink"/>
            <w:noProof/>
          </w:rPr>
          <w:t>Analysis Considerations</w:t>
        </w:r>
        <w:r w:rsidR="00B66212">
          <w:rPr>
            <w:noProof/>
            <w:webHidden/>
          </w:rPr>
          <w:tab/>
        </w:r>
        <w:r w:rsidR="00B66212">
          <w:rPr>
            <w:noProof/>
            <w:webHidden/>
          </w:rPr>
          <w:fldChar w:fldCharType="begin"/>
        </w:r>
        <w:r w:rsidR="00B66212">
          <w:rPr>
            <w:noProof/>
            <w:webHidden/>
          </w:rPr>
          <w:instrText xml:space="preserve"> PAGEREF _Toc424721611 \h </w:instrText>
        </w:r>
        <w:r w:rsidR="00B66212">
          <w:rPr>
            <w:noProof/>
            <w:webHidden/>
          </w:rPr>
        </w:r>
        <w:r w:rsidR="00B66212">
          <w:rPr>
            <w:noProof/>
            <w:webHidden/>
          </w:rPr>
          <w:fldChar w:fldCharType="separate"/>
        </w:r>
        <w:r w:rsidR="00A8218A">
          <w:rPr>
            <w:noProof/>
            <w:webHidden/>
          </w:rPr>
          <w:t>76</w:t>
        </w:r>
        <w:r w:rsidR="00B66212">
          <w:rPr>
            <w:noProof/>
            <w:webHidden/>
          </w:rPr>
          <w:fldChar w:fldCharType="end"/>
        </w:r>
      </w:hyperlink>
    </w:p>
    <w:p w14:paraId="2B5895A4" w14:textId="0147E68C" w:rsidR="00B66212" w:rsidRDefault="004A61E1">
      <w:pPr>
        <w:pStyle w:val="TOC2"/>
        <w:rPr>
          <w:rFonts w:asciiTheme="minorHAnsi" w:hAnsiTheme="minorHAnsi"/>
          <w:noProof/>
          <w:sz w:val="22"/>
        </w:rPr>
      </w:pPr>
      <w:hyperlink w:anchor="_Toc424721612" w:history="1">
        <w:r w:rsidR="00B66212" w:rsidRPr="0063399B">
          <w:rPr>
            <w:rStyle w:val="Hyperlink"/>
            <w:noProof/>
          </w:rPr>
          <w:t>10.1</w:t>
        </w:r>
        <w:r w:rsidR="00B66212">
          <w:rPr>
            <w:rFonts w:asciiTheme="minorHAnsi" w:hAnsiTheme="minorHAnsi"/>
            <w:noProof/>
            <w:sz w:val="22"/>
          </w:rPr>
          <w:tab/>
        </w:r>
        <w:r w:rsidR="00B66212" w:rsidRPr="0063399B">
          <w:rPr>
            <w:rStyle w:val="Hyperlink"/>
            <w:noProof/>
          </w:rPr>
          <w:t>State EE Policies in the Baseline Electricity Demand</w:t>
        </w:r>
        <w:r w:rsidR="00B66212">
          <w:rPr>
            <w:noProof/>
            <w:webHidden/>
          </w:rPr>
          <w:tab/>
        </w:r>
        <w:r w:rsidR="00B66212">
          <w:rPr>
            <w:noProof/>
            <w:webHidden/>
          </w:rPr>
          <w:fldChar w:fldCharType="begin"/>
        </w:r>
        <w:r w:rsidR="00B66212">
          <w:rPr>
            <w:noProof/>
            <w:webHidden/>
          </w:rPr>
          <w:instrText xml:space="preserve"> PAGEREF _Toc424721612 \h </w:instrText>
        </w:r>
        <w:r w:rsidR="00B66212">
          <w:rPr>
            <w:noProof/>
            <w:webHidden/>
          </w:rPr>
        </w:r>
        <w:r w:rsidR="00B66212">
          <w:rPr>
            <w:noProof/>
            <w:webHidden/>
          </w:rPr>
          <w:fldChar w:fldCharType="separate"/>
        </w:r>
        <w:r w:rsidR="00A8218A">
          <w:rPr>
            <w:noProof/>
            <w:webHidden/>
          </w:rPr>
          <w:t>76</w:t>
        </w:r>
        <w:r w:rsidR="00B66212">
          <w:rPr>
            <w:noProof/>
            <w:webHidden/>
          </w:rPr>
          <w:fldChar w:fldCharType="end"/>
        </w:r>
      </w:hyperlink>
    </w:p>
    <w:p w14:paraId="0071795E" w14:textId="3E6447A6" w:rsidR="00B66212" w:rsidRDefault="004A61E1">
      <w:pPr>
        <w:pStyle w:val="TOC2"/>
        <w:rPr>
          <w:rFonts w:asciiTheme="minorHAnsi" w:hAnsiTheme="minorHAnsi"/>
          <w:noProof/>
          <w:sz w:val="22"/>
        </w:rPr>
      </w:pPr>
      <w:hyperlink w:anchor="_Toc424721613" w:history="1">
        <w:r w:rsidR="00B66212" w:rsidRPr="0063399B">
          <w:rPr>
            <w:rStyle w:val="Hyperlink"/>
            <w:noProof/>
          </w:rPr>
          <w:t>10.2</w:t>
        </w:r>
        <w:r w:rsidR="00B66212">
          <w:rPr>
            <w:rFonts w:asciiTheme="minorHAnsi" w:hAnsiTheme="minorHAnsi"/>
            <w:noProof/>
            <w:sz w:val="22"/>
          </w:rPr>
          <w:tab/>
        </w:r>
        <w:r w:rsidR="00B66212" w:rsidRPr="0063399B">
          <w:rPr>
            <w:rStyle w:val="Hyperlink"/>
            <w:noProof/>
          </w:rPr>
          <w:t>Energy Information Administration Form EIA-861 as Data Source</w:t>
        </w:r>
        <w:r w:rsidR="00B66212">
          <w:rPr>
            <w:noProof/>
            <w:webHidden/>
          </w:rPr>
          <w:tab/>
        </w:r>
        <w:r w:rsidR="00B66212">
          <w:rPr>
            <w:noProof/>
            <w:webHidden/>
          </w:rPr>
          <w:fldChar w:fldCharType="begin"/>
        </w:r>
        <w:r w:rsidR="00B66212">
          <w:rPr>
            <w:noProof/>
            <w:webHidden/>
          </w:rPr>
          <w:instrText xml:space="preserve"> PAGEREF _Toc424721613 \h </w:instrText>
        </w:r>
        <w:r w:rsidR="00B66212">
          <w:rPr>
            <w:noProof/>
            <w:webHidden/>
          </w:rPr>
        </w:r>
        <w:r w:rsidR="00B66212">
          <w:rPr>
            <w:noProof/>
            <w:webHidden/>
          </w:rPr>
          <w:fldChar w:fldCharType="separate"/>
        </w:r>
        <w:r w:rsidR="00A8218A">
          <w:rPr>
            <w:noProof/>
            <w:webHidden/>
          </w:rPr>
          <w:t>77</w:t>
        </w:r>
        <w:r w:rsidR="00B66212">
          <w:rPr>
            <w:noProof/>
            <w:webHidden/>
          </w:rPr>
          <w:fldChar w:fldCharType="end"/>
        </w:r>
      </w:hyperlink>
    </w:p>
    <w:p w14:paraId="1C49B4E3" w14:textId="76F1B8A1" w:rsidR="00B66212" w:rsidRDefault="004A61E1">
      <w:pPr>
        <w:pStyle w:val="TOC1"/>
        <w:rPr>
          <w:rFonts w:asciiTheme="minorHAnsi" w:eastAsiaTheme="minorEastAsia" w:hAnsiTheme="minorHAnsi"/>
          <w:b w:val="0"/>
          <w:noProof/>
          <w:sz w:val="22"/>
        </w:rPr>
      </w:pPr>
      <w:hyperlink w:anchor="_Toc424721614" w:history="1">
        <w:r w:rsidR="00B66212" w:rsidRPr="0063399B">
          <w:rPr>
            <w:rStyle w:val="Hyperlink"/>
            <w:noProof/>
          </w:rPr>
          <w:t>References</w:t>
        </w:r>
        <w:r w:rsidR="00B66212">
          <w:rPr>
            <w:noProof/>
            <w:webHidden/>
          </w:rPr>
          <w:tab/>
        </w:r>
        <w:r w:rsidR="00B66212">
          <w:rPr>
            <w:noProof/>
            <w:webHidden/>
          </w:rPr>
          <w:fldChar w:fldCharType="begin"/>
        </w:r>
        <w:r w:rsidR="00B66212">
          <w:rPr>
            <w:noProof/>
            <w:webHidden/>
          </w:rPr>
          <w:instrText xml:space="preserve"> PAGEREF _Toc424721614 \h </w:instrText>
        </w:r>
        <w:r w:rsidR="00B66212">
          <w:rPr>
            <w:noProof/>
            <w:webHidden/>
          </w:rPr>
        </w:r>
        <w:r w:rsidR="00B66212">
          <w:rPr>
            <w:noProof/>
            <w:webHidden/>
          </w:rPr>
          <w:fldChar w:fldCharType="separate"/>
        </w:r>
        <w:r w:rsidR="00A8218A">
          <w:rPr>
            <w:noProof/>
            <w:webHidden/>
          </w:rPr>
          <w:t>86</w:t>
        </w:r>
        <w:r w:rsidR="00B66212">
          <w:rPr>
            <w:noProof/>
            <w:webHidden/>
          </w:rPr>
          <w:fldChar w:fldCharType="end"/>
        </w:r>
      </w:hyperlink>
    </w:p>
    <w:p w14:paraId="0B5BA924" w14:textId="77777777" w:rsidR="00B562BA" w:rsidRDefault="00B562BA" w:rsidP="00B562BA">
      <w:pPr>
        <w:rPr>
          <w:rFonts w:ascii="Times New Roman" w:hAnsi="Times New Roman"/>
          <w:b/>
          <w:sz w:val="24"/>
        </w:rPr>
      </w:pPr>
      <w:r>
        <w:rPr>
          <w:rFonts w:ascii="Times New Roman" w:hAnsi="Times New Roman"/>
          <w:b/>
          <w:sz w:val="24"/>
        </w:rPr>
        <w:fldChar w:fldCharType="end"/>
      </w:r>
    </w:p>
    <w:p w14:paraId="68E636D2" w14:textId="43D694A7" w:rsidR="00B562BA" w:rsidRPr="00B562BA" w:rsidRDefault="00B562BA" w:rsidP="00B562BA">
      <w:pPr>
        <w:jc w:val="center"/>
        <w:rPr>
          <w:rFonts w:ascii="Times New Roman" w:hAnsi="Times New Roman" w:cs="Times New Roman"/>
          <w:b/>
          <w:sz w:val="28"/>
          <w:szCs w:val="28"/>
        </w:rPr>
      </w:pPr>
      <w:r w:rsidRPr="00B562BA">
        <w:rPr>
          <w:rFonts w:ascii="Times New Roman" w:hAnsi="Times New Roman" w:cs="Times New Roman"/>
          <w:b/>
          <w:sz w:val="28"/>
          <w:szCs w:val="28"/>
        </w:rPr>
        <w:t>Appendices</w:t>
      </w:r>
    </w:p>
    <w:p w14:paraId="62D21238" w14:textId="77777777" w:rsidR="00B562BA" w:rsidRDefault="00B562BA" w:rsidP="00B86541"/>
    <w:p w14:paraId="10FBA9C4" w14:textId="3244F565" w:rsidR="00B562BA" w:rsidRDefault="00B562BA">
      <w:pPr>
        <w:pStyle w:val="TableofFigures"/>
        <w:tabs>
          <w:tab w:val="right" w:leader="dot" w:pos="9350"/>
        </w:tabs>
        <w:rPr>
          <w:rFonts w:asciiTheme="minorHAnsi" w:eastAsiaTheme="minorEastAsia" w:hAnsiTheme="minorHAnsi"/>
          <w:noProof/>
          <w:szCs w:val="22"/>
        </w:rPr>
      </w:pPr>
      <w:r>
        <w:fldChar w:fldCharType="begin"/>
      </w:r>
      <w:r>
        <w:instrText xml:space="preserve"> TOC \h \z \t "Heading 7" \c </w:instrText>
      </w:r>
      <w:r>
        <w:fldChar w:fldCharType="separate"/>
      </w:r>
      <w:hyperlink w:anchor="_Toc424720243" w:history="1">
        <w:r w:rsidRPr="0064440C">
          <w:rPr>
            <w:rStyle w:val="Hyperlink"/>
            <w:noProof/>
          </w:rPr>
          <w:t>Appendix 1: Summary of Recent Energy Efficiency Potential Studies (2009-2014)</w:t>
        </w:r>
        <w:r>
          <w:rPr>
            <w:noProof/>
            <w:webHidden/>
          </w:rPr>
          <w:tab/>
        </w:r>
        <w:r>
          <w:rPr>
            <w:noProof/>
            <w:webHidden/>
          </w:rPr>
          <w:fldChar w:fldCharType="begin"/>
        </w:r>
        <w:r>
          <w:rPr>
            <w:noProof/>
            <w:webHidden/>
          </w:rPr>
          <w:instrText xml:space="preserve"> PAGEREF _Toc424720243 \h </w:instrText>
        </w:r>
        <w:r>
          <w:rPr>
            <w:noProof/>
            <w:webHidden/>
          </w:rPr>
        </w:r>
        <w:r>
          <w:rPr>
            <w:noProof/>
            <w:webHidden/>
          </w:rPr>
          <w:fldChar w:fldCharType="separate"/>
        </w:r>
        <w:r w:rsidR="00A8218A">
          <w:rPr>
            <w:noProof/>
            <w:webHidden/>
          </w:rPr>
          <w:t>81</w:t>
        </w:r>
        <w:r>
          <w:rPr>
            <w:noProof/>
            <w:webHidden/>
          </w:rPr>
          <w:fldChar w:fldCharType="end"/>
        </w:r>
      </w:hyperlink>
    </w:p>
    <w:p w14:paraId="21AC7D60" w14:textId="1A86F5BE" w:rsidR="00B562BA" w:rsidRDefault="004A61E1">
      <w:pPr>
        <w:pStyle w:val="TableofFigures"/>
        <w:tabs>
          <w:tab w:val="right" w:leader="dot" w:pos="9350"/>
        </w:tabs>
        <w:rPr>
          <w:rFonts w:asciiTheme="minorHAnsi" w:eastAsiaTheme="minorEastAsia" w:hAnsiTheme="minorHAnsi"/>
          <w:noProof/>
          <w:szCs w:val="22"/>
        </w:rPr>
      </w:pPr>
      <w:hyperlink w:anchor="_Toc424720244" w:history="1">
        <w:r w:rsidR="00B562BA" w:rsidRPr="0064440C">
          <w:rPr>
            <w:rStyle w:val="Hyperlink"/>
            <w:noProof/>
          </w:rPr>
          <w:t>Appendix 2: Incremental Electricity Savings Pace of Improvement Analysis</w:t>
        </w:r>
        <w:r w:rsidR="00B562BA">
          <w:rPr>
            <w:noProof/>
            <w:webHidden/>
          </w:rPr>
          <w:tab/>
        </w:r>
        <w:r w:rsidR="00B562BA">
          <w:rPr>
            <w:noProof/>
            <w:webHidden/>
          </w:rPr>
          <w:fldChar w:fldCharType="begin"/>
        </w:r>
        <w:r w:rsidR="00B562BA">
          <w:rPr>
            <w:noProof/>
            <w:webHidden/>
          </w:rPr>
          <w:instrText xml:space="preserve"> PAGEREF _Toc424720244 \h </w:instrText>
        </w:r>
        <w:r w:rsidR="00B562BA">
          <w:rPr>
            <w:noProof/>
            <w:webHidden/>
          </w:rPr>
        </w:r>
        <w:r w:rsidR="00B562BA">
          <w:rPr>
            <w:noProof/>
            <w:webHidden/>
          </w:rPr>
          <w:fldChar w:fldCharType="separate"/>
        </w:r>
        <w:r w:rsidR="00A8218A">
          <w:rPr>
            <w:noProof/>
            <w:webHidden/>
          </w:rPr>
          <w:t>82</w:t>
        </w:r>
        <w:r w:rsidR="00B562BA">
          <w:rPr>
            <w:noProof/>
            <w:webHidden/>
          </w:rPr>
          <w:fldChar w:fldCharType="end"/>
        </w:r>
      </w:hyperlink>
    </w:p>
    <w:p w14:paraId="7152960D" w14:textId="468E2987" w:rsidR="00B562BA" w:rsidRDefault="004A61E1">
      <w:pPr>
        <w:pStyle w:val="TableofFigures"/>
        <w:tabs>
          <w:tab w:val="right" w:leader="dot" w:pos="9350"/>
        </w:tabs>
        <w:rPr>
          <w:rFonts w:asciiTheme="minorHAnsi" w:eastAsiaTheme="minorEastAsia" w:hAnsiTheme="minorHAnsi"/>
          <w:noProof/>
          <w:szCs w:val="22"/>
        </w:rPr>
      </w:pPr>
      <w:hyperlink w:anchor="_Toc424720245" w:history="1">
        <w:r w:rsidR="00B562BA" w:rsidRPr="0064440C">
          <w:rPr>
            <w:rStyle w:val="Hyperlink"/>
            <w:noProof/>
          </w:rPr>
          <w:t>Appendix 3: Demand-Side Energy Efficiency Plan Scenario: Data, Calculations and Results</w:t>
        </w:r>
        <w:r w:rsidR="00B562BA">
          <w:rPr>
            <w:noProof/>
            <w:webHidden/>
          </w:rPr>
          <w:tab/>
        </w:r>
        <w:r w:rsidR="00B562BA">
          <w:rPr>
            <w:noProof/>
            <w:webHidden/>
          </w:rPr>
          <w:fldChar w:fldCharType="begin"/>
        </w:r>
        <w:r w:rsidR="00B562BA">
          <w:rPr>
            <w:noProof/>
            <w:webHidden/>
          </w:rPr>
          <w:instrText xml:space="preserve"> PAGEREF _Toc424720245 \h </w:instrText>
        </w:r>
        <w:r w:rsidR="00B562BA">
          <w:rPr>
            <w:noProof/>
            <w:webHidden/>
          </w:rPr>
        </w:r>
        <w:r w:rsidR="00B562BA">
          <w:rPr>
            <w:noProof/>
            <w:webHidden/>
          </w:rPr>
          <w:fldChar w:fldCharType="separate"/>
        </w:r>
        <w:r w:rsidR="00A8218A">
          <w:rPr>
            <w:noProof/>
            <w:webHidden/>
          </w:rPr>
          <w:t>85</w:t>
        </w:r>
        <w:r w:rsidR="00B562BA">
          <w:rPr>
            <w:noProof/>
            <w:webHidden/>
          </w:rPr>
          <w:fldChar w:fldCharType="end"/>
        </w:r>
      </w:hyperlink>
    </w:p>
    <w:p w14:paraId="13C487AF" w14:textId="3262FAA9" w:rsidR="00B86541" w:rsidRDefault="00B562BA" w:rsidP="00B562BA">
      <w:pPr>
        <w:pStyle w:val="TableofFigures"/>
        <w:tabs>
          <w:tab w:val="right" w:leader="dot" w:pos="9350"/>
        </w:tabs>
      </w:pPr>
      <w:r>
        <w:fldChar w:fldCharType="end"/>
      </w:r>
    </w:p>
    <w:p w14:paraId="7595EDB5" w14:textId="77777777" w:rsidR="00ED2E53" w:rsidRDefault="00ED2E53">
      <w:pPr>
        <w:sectPr w:rsidR="00ED2E53" w:rsidSect="0097443E">
          <w:headerReference w:type="default" r:id="rId11"/>
          <w:footerReference w:type="default" r:id="rId12"/>
          <w:headerReference w:type="first" r:id="rId13"/>
          <w:footerReference w:type="first" r:id="rId14"/>
          <w:endnotePr>
            <w:numFmt w:val="lowerLetter"/>
            <w:numRestart w:val="eachSect"/>
          </w:endnotePr>
          <w:pgSz w:w="12240" w:h="15840" w:code="1"/>
          <w:pgMar w:top="1440" w:right="1440" w:bottom="1440" w:left="1440" w:header="720" w:footer="720" w:gutter="0"/>
          <w:pgNumType w:fmt="lowerRoman" w:start="2"/>
          <w:cols w:space="720"/>
          <w:titlePg/>
          <w:docGrid w:linePitch="360"/>
        </w:sectPr>
      </w:pPr>
    </w:p>
    <w:p w14:paraId="13CD2E3F" w14:textId="54966092" w:rsidR="00024BBB" w:rsidRDefault="00B66212" w:rsidP="0091274B">
      <w:pPr>
        <w:pStyle w:val="Heading1notnumbered"/>
        <w:jc w:val="center"/>
      </w:pPr>
      <w:bookmarkStart w:id="1" w:name="Figures"/>
      <w:bookmarkStart w:id="2" w:name="_Toc424721524"/>
      <w:r>
        <w:lastRenderedPageBreak/>
        <w:t xml:space="preserve">List of </w:t>
      </w:r>
      <w:r w:rsidR="00024BBB">
        <w:t>Figures</w:t>
      </w:r>
      <w:bookmarkEnd w:id="1"/>
      <w:bookmarkEnd w:id="2"/>
    </w:p>
    <w:p w14:paraId="67ADCE4B" w14:textId="7BCDB20A" w:rsidR="00C50014" w:rsidRPr="0097443E" w:rsidRDefault="004448A6" w:rsidP="004448A6">
      <w:pPr>
        <w:pStyle w:val="TableofFigures"/>
        <w:tabs>
          <w:tab w:val="right" w:leader="dot" w:pos="9350"/>
        </w:tabs>
        <w:ind w:right="0"/>
        <w:jc w:val="right"/>
        <w:rPr>
          <w:b/>
        </w:rPr>
      </w:pPr>
      <w:r w:rsidRPr="0097443E">
        <w:rPr>
          <w:b/>
        </w:rPr>
        <w:t>Page</w:t>
      </w:r>
    </w:p>
    <w:p w14:paraId="34306D28" w14:textId="77777777" w:rsidR="00B562BA" w:rsidRDefault="00C50014">
      <w:pPr>
        <w:pStyle w:val="TableofFigures"/>
        <w:tabs>
          <w:tab w:val="right" w:leader="dot" w:pos="9350"/>
        </w:tabs>
        <w:rPr>
          <w:rFonts w:asciiTheme="minorHAnsi" w:eastAsiaTheme="minorEastAsia" w:hAnsiTheme="minorHAnsi"/>
          <w:noProof/>
          <w:szCs w:val="22"/>
        </w:rPr>
      </w:pPr>
      <w:r>
        <w:fldChar w:fldCharType="begin"/>
      </w:r>
      <w:r>
        <w:instrText xml:space="preserve"> TOC \h \z \t "CH5_Figure Title" \c </w:instrText>
      </w:r>
      <w:r>
        <w:fldChar w:fldCharType="separate"/>
      </w:r>
      <w:hyperlink w:anchor="_Toc424720246" w:history="1">
        <w:r w:rsidR="00B562BA" w:rsidRPr="00AB2412">
          <w:rPr>
            <w:rStyle w:val="Hyperlink"/>
            <w:noProof/>
          </w:rPr>
          <w:t>Figure 1. EE Program Portfolio</w:t>
        </w:r>
        <w:r w:rsidR="00B562BA">
          <w:rPr>
            <w:noProof/>
            <w:webHidden/>
          </w:rPr>
          <w:tab/>
        </w:r>
        <w:r w:rsidR="00B562BA">
          <w:rPr>
            <w:noProof/>
            <w:webHidden/>
          </w:rPr>
          <w:fldChar w:fldCharType="begin"/>
        </w:r>
        <w:r w:rsidR="00B562BA">
          <w:rPr>
            <w:noProof/>
            <w:webHidden/>
          </w:rPr>
          <w:instrText xml:space="preserve"> PAGEREF _Toc424720246 \h </w:instrText>
        </w:r>
        <w:r w:rsidR="00B562BA">
          <w:rPr>
            <w:noProof/>
            <w:webHidden/>
          </w:rPr>
        </w:r>
        <w:r w:rsidR="00B562BA">
          <w:rPr>
            <w:noProof/>
            <w:webHidden/>
          </w:rPr>
          <w:fldChar w:fldCharType="separate"/>
        </w:r>
        <w:r w:rsidR="00A8218A">
          <w:rPr>
            <w:noProof/>
            <w:webHidden/>
          </w:rPr>
          <w:t>16</w:t>
        </w:r>
        <w:r w:rsidR="00B562BA">
          <w:rPr>
            <w:noProof/>
            <w:webHidden/>
          </w:rPr>
          <w:fldChar w:fldCharType="end"/>
        </w:r>
      </w:hyperlink>
    </w:p>
    <w:p w14:paraId="40D86D53" w14:textId="41D85E85" w:rsidR="00B562BA" w:rsidRDefault="004A61E1">
      <w:pPr>
        <w:pStyle w:val="TableofFigures"/>
        <w:tabs>
          <w:tab w:val="right" w:leader="dot" w:pos="9350"/>
        </w:tabs>
        <w:rPr>
          <w:rFonts w:asciiTheme="minorHAnsi" w:eastAsiaTheme="minorEastAsia" w:hAnsiTheme="minorHAnsi"/>
          <w:noProof/>
          <w:szCs w:val="22"/>
        </w:rPr>
      </w:pPr>
      <w:hyperlink w:anchor="_Toc424720247" w:history="1">
        <w:r w:rsidR="00B562BA" w:rsidRPr="00AB2412">
          <w:rPr>
            <w:rStyle w:val="Hyperlink"/>
            <w:noProof/>
          </w:rPr>
          <w:t>Figure 2. Residential Energy Building Code Adoption (2005 to 2014)</w:t>
        </w:r>
        <w:r w:rsidR="00B562BA">
          <w:rPr>
            <w:noProof/>
            <w:webHidden/>
          </w:rPr>
          <w:tab/>
        </w:r>
        <w:r w:rsidR="00B562BA">
          <w:rPr>
            <w:noProof/>
            <w:webHidden/>
          </w:rPr>
          <w:fldChar w:fldCharType="begin"/>
        </w:r>
        <w:r w:rsidR="00B562BA">
          <w:rPr>
            <w:noProof/>
            <w:webHidden/>
          </w:rPr>
          <w:instrText xml:space="preserve"> PAGEREF _Toc424720247 \h </w:instrText>
        </w:r>
        <w:r w:rsidR="00B562BA">
          <w:rPr>
            <w:noProof/>
            <w:webHidden/>
          </w:rPr>
        </w:r>
        <w:r w:rsidR="00B562BA">
          <w:rPr>
            <w:noProof/>
            <w:webHidden/>
          </w:rPr>
          <w:fldChar w:fldCharType="separate"/>
        </w:r>
        <w:r w:rsidR="00A8218A">
          <w:rPr>
            <w:noProof/>
            <w:webHidden/>
          </w:rPr>
          <w:t>33</w:t>
        </w:r>
        <w:r w:rsidR="00B562BA">
          <w:rPr>
            <w:noProof/>
            <w:webHidden/>
          </w:rPr>
          <w:fldChar w:fldCharType="end"/>
        </w:r>
      </w:hyperlink>
    </w:p>
    <w:p w14:paraId="49E6E22B" w14:textId="24AEDB93" w:rsidR="00B562BA" w:rsidRDefault="004A61E1">
      <w:pPr>
        <w:pStyle w:val="TableofFigures"/>
        <w:tabs>
          <w:tab w:val="right" w:leader="dot" w:pos="9350"/>
        </w:tabs>
        <w:rPr>
          <w:rFonts w:asciiTheme="minorHAnsi" w:eastAsiaTheme="minorEastAsia" w:hAnsiTheme="minorHAnsi"/>
          <w:noProof/>
          <w:szCs w:val="22"/>
        </w:rPr>
      </w:pPr>
      <w:hyperlink w:anchor="_Toc424720248" w:history="1">
        <w:r w:rsidR="00B562BA" w:rsidRPr="00AB2412">
          <w:rPr>
            <w:rStyle w:val="Hyperlink"/>
            <w:noProof/>
          </w:rPr>
          <w:t>Figure 3. Remaining Market Potential for ESCOs</w:t>
        </w:r>
        <w:r w:rsidR="00B562BA">
          <w:rPr>
            <w:noProof/>
            <w:webHidden/>
          </w:rPr>
          <w:tab/>
        </w:r>
        <w:r w:rsidR="00B562BA">
          <w:rPr>
            <w:noProof/>
            <w:webHidden/>
          </w:rPr>
          <w:fldChar w:fldCharType="begin"/>
        </w:r>
        <w:r w:rsidR="00B562BA">
          <w:rPr>
            <w:noProof/>
            <w:webHidden/>
          </w:rPr>
          <w:instrText xml:space="preserve"> PAGEREF _Toc424720248 \h </w:instrText>
        </w:r>
        <w:r w:rsidR="00B562BA">
          <w:rPr>
            <w:noProof/>
            <w:webHidden/>
          </w:rPr>
        </w:r>
        <w:r w:rsidR="00B562BA">
          <w:rPr>
            <w:noProof/>
            <w:webHidden/>
          </w:rPr>
          <w:fldChar w:fldCharType="separate"/>
        </w:r>
        <w:r w:rsidR="00A8218A">
          <w:rPr>
            <w:noProof/>
            <w:webHidden/>
          </w:rPr>
          <w:t>40</w:t>
        </w:r>
        <w:r w:rsidR="00B562BA">
          <w:rPr>
            <w:noProof/>
            <w:webHidden/>
          </w:rPr>
          <w:fldChar w:fldCharType="end"/>
        </w:r>
      </w:hyperlink>
    </w:p>
    <w:p w14:paraId="397F5D5E" w14:textId="632A6646" w:rsidR="00B562BA" w:rsidRDefault="004A61E1">
      <w:pPr>
        <w:pStyle w:val="TableofFigures"/>
        <w:tabs>
          <w:tab w:val="right" w:leader="dot" w:pos="9350"/>
        </w:tabs>
        <w:rPr>
          <w:rFonts w:asciiTheme="minorHAnsi" w:eastAsiaTheme="minorEastAsia" w:hAnsiTheme="minorHAnsi"/>
          <w:noProof/>
          <w:szCs w:val="22"/>
        </w:rPr>
      </w:pPr>
      <w:hyperlink w:anchor="_Toc424720249" w:history="1">
        <w:r w:rsidR="00B562BA" w:rsidRPr="00AB2412">
          <w:rPr>
            <w:rStyle w:val="Hyperlink"/>
            <w:noProof/>
          </w:rPr>
          <w:t>Figure 4. Hypothetical Voltage Profiles with and without VVO Technologies</w:t>
        </w:r>
        <w:r w:rsidR="00B562BA">
          <w:rPr>
            <w:noProof/>
            <w:webHidden/>
          </w:rPr>
          <w:tab/>
        </w:r>
        <w:r w:rsidR="00B562BA">
          <w:rPr>
            <w:noProof/>
            <w:webHidden/>
          </w:rPr>
          <w:fldChar w:fldCharType="begin"/>
        </w:r>
        <w:r w:rsidR="00B562BA">
          <w:rPr>
            <w:noProof/>
            <w:webHidden/>
          </w:rPr>
          <w:instrText xml:space="preserve"> PAGEREF _Toc424720249 \h </w:instrText>
        </w:r>
        <w:r w:rsidR="00B562BA">
          <w:rPr>
            <w:noProof/>
            <w:webHidden/>
          </w:rPr>
        </w:r>
        <w:r w:rsidR="00B562BA">
          <w:rPr>
            <w:noProof/>
            <w:webHidden/>
          </w:rPr>
          <w:fldChar w:fldCharType="separate"/>
        </w:r>
        <w:r w:rsidR="00A8218A">
          <w:rPr>
            <w:noProof/>
            <w:webHidden/>
          </w:rPr>
          <w:t>42</w:t>
        </w:r>
        <w:r w:rsidR="00B562BA">
          <w:rPr>
            <w:noProof/>
            <w:webHidden/>
          </w:rPr>
          <w:fldChar w:fldCharType="end"/>
        </w:r>
      </w:hyperlink>
    </w:p>
    <w:p w14:paraId="662DBF81" w14:textId="6CA27D65" w:rsidR="00B562BA" w:rsidRDefault="004A61E1">
      <w:pPr>
        <w:pStyle w:val="TableofFigures"/>
        <w:tabs>
          <w:tab w:val="right" w:leader="dot" w:pos="9350"/>
        </w:tabs>
        <w:rPr>
          <w:rFonts w:asciiTheme="minorHAnsi" w:eastAsiaTheme="minorEastAsia" w:hAnsiTheme="minorHAnsi"/>
          <w:noProof/>
          <w:szCs w:val="22"/>
        </w:rPr>
      </w:pPr>
      <w:hyperlink w:anchor="_Toc424720250" w:history="1">
        <w:r w:rsidR="00B562BA" w:rsidRPr="00AB2412">
          <w:rPr>
            <w:rStyle w:val="Hyperlink"/>
            <w:noProof/>
          </w:rPr>
          <w:t>Figure 5. The Four-Tier Distribution of Demand-Side EE Program Measure Lifetime</w:t>
        </w:r>
        <w:r w:rsidR="00B562BA">
          <w:rPr>
            <w:noProof/>
            <w:webHidden/>
          </w:rPr>
          <w:tab/>
        </w:r>
        <w:r w:rsidR="00B562BA">
          <w:rPr>
            <w:noProof/>
            <w:webHidden/>
          </w:rPr>
          <w:fldChar w:fldCharType="begin"/>
        </w:r>
        <w:r w:rsidR="00B562BA">
          <w:rPr>
            <w:noProof/>
            <w:webHidden/>
          </w:rPr>
          <w:instrText xml:space="preserve"> PAGEREF _Toc424720250 \h </w:instrText>
        </w:r>
        <w:r w:rsidR="00B562BA">
          <w:rPr>
            <w:noProof/>
            <w:webHidden/>
          </w:rPr>
        </w:r>
        <w:r w:rsidR="00B562BA">
          <w:rPr>
            <w:noProof/>
            <w:webHidden/>
          </w:rPr>
          <w:fldChar w:fldCharType="separate"/>
        </w:r>
        <w:r w:rsidR="00A8218A">
          <w:rPr>
            <w:noProof/>
            <w:webHidden/>
          </w:rPr>
          <w:t>56</w:t>
        </w:r>
        <w:r w:rsidR="00B562BA">
          <w:rPr>
            <w:noProof/>
            <w:webHidden/>
          </w:rPr>
          <w:fldChar w:fldCharType="end"/>
        </w:r>
      </w:hyperlink>
    </w:p>
    <w:p w14:paraId="1378FFE0" w14:textId="48F9FD97" w:rsidR="00BD7B49" w:rsidRDefault="00C50014" w:rsidP="00BD7B49">
      <w:pPr>
        <w:pStyle w:val="TableofFigures"/>
      </w:pPr>
      <w:r>
        <w:fldChar w:fldCharType="end"/>
      </w:r>
    </w:p>
    <w:p w14:paraId="23FCF364" w14:textId="77777777" w:rsidR="00BD7B49" w:rsidRPr="00BD7B49" w:rsidRDefault="00BD7B49" w:rsidP="00BD7B49">
      <w:pPr>
        <w:pStyle w:val="TableofFigures"/>
      </w:pPr>
    </w:p>
    <w:p w14:paraId="3A1213F4" w14:textId="7F7F6017" w:rsidR="00E7601D" w:rsidRPr="0097443E" w:rsidRDefault="00B66212" w:rsidP="0091274B">
      <w:pPr>
        <w:pStyle w:val="Heading1notnumbered"/>
        <w:jc w:val="center"/>
      </w:pPr>
      <w:bookmarkStart w:id="3" w:name="Tables"/>
      <w:bookmarkStart w:id="4" w:name="_Toc424721525"/>
      <w:r>
        <w:t xml:space="preserve">List of </w:t>
      </w:r>
      <w:r w:rsidR="00E7601D" w:rsidRPr="0097443E">
        <w:t>Tables</w:t>
      </w:r>
      <w:bookmarkEnd w:id="3"/>
      <w:bookmarkEnd w:id="4"/>
    </w:p>
    <w:p w14:paraId="6D364E47" w14:textId="5765DD5F" w:rsidR="004448A6" w:rsidRPr="00B66212" w:rsidRDefault="004448A6" w:rsidP="00B66212">
      <w:pPr>
        <w:pStyle w:val="TableofFigures"/>
        <w:tabs>
          <w:tab w:val="right" w:leader="dot" w:pos="9350"/>
        </w:tabs>
        <w:ind w:right="0"/>
        <w:jc w:val="right"/>
        <w:rPr>
          <w:b/>
        </w:rPr>
      </w:pPr>
      <w:r w:rsidRPr="00B66212">
        <w:rPr>
          <w:b/>
        </w:rPr>
        <w:t>Page</w:t>
      </w:r>
    </w:p>
    <w:p w14:paraId="33EB8A56" w14:textId="77777777" w:rsidR="00B562BA" w:rsidRDefault="00CA6576">
      <w:pPr>
        <w:pStyle w:val="TableofFigures"/>
        <w:tabs>
          <w:tab w:val="right" w:leader="dot" w:pos="9350"/>
        </w:tabs>
        <w:rPr>
          <w:rFonts w:asciiTheme="minorHAnsi" w:eastAsiaTheme="minorEastAsia" w:hAnsiTheme="minorHAnsi"/>
          <w:noProof/>
          <w:szCs w:val="22"/>
        </w:rPr>
      </w:pPr>
      <w:r>
        <w:fldChar w:fldCharType="begin"/>
      </w:r>
      <w:r>
        <w:instrText xml:space="preserve"> TOC \h \z \t "CH5_Table Title" \c </w:instrText>
      </w:r>
      <w:r>
        <w:fldChar w:fldCharType="separate"/>
      </w:r>
      <w:hyperlink w:anchor="_Toc424720251" w:history="1">
        <w:r w:rsidR="00B562BA" w:rsidRPr="00E97D75">
          <w:rPr>
            <w:rStyle w:val="Hyperlink"/>
            <w:noProof/>
          </w:rPr>
          <w:t>Table 1. Relative Opportunities Provided by Key EE Programs and Building Codes</w:t>
        </w:r>
        <w:r w:rsidR="00B562BA">
          <w:rPr>
            <w:noProof/>
            <w:webHidden/>
          </w:rPr>
          <w:tab/>
        </w:r>
        <w:r w:rsidR="00B562BA">
          <w:rPr>
            <w:noProof/>
            <w:webHidden/>
          </w:rPr>
          <w:fldChar w:fldCharType="begin"/>
        </w:r>
        <w:r w:rsidR="00B562BA">
          <w:rPr>
            <w:noProof/>
            <w:webHidden/>
          </w:rPr>
          <w:instrText xml:space="preserve"> PAGEREF _Toc424720251 \h </w:instrText>
        </w:r>
        <w:r w:rsidR="00B562BA">
          <w:rPr>
            <w:noProof/>
            <w:webHidden/>
          </w:rPr>
        </w:r>
        <w:r w:rsidR="00B562BA">
          <w:rPr>
            <w:noProof/>
            <w:webHidden/>
          </w:rPr>
          <w:fldChar w:fldCharType="separate"/>
        </w:r>
        <w:r w:rsidR="00A8218A">
          <w:rPr>
            <w:noProof/>
            <w:webHidden/>
          </w:rPr>
          <w:t>9</w:t>
        </w:r>
        <w:r w:rsidR="00B562BA">
          <w:rPr>
            <w:noProof/>
            <w:webHidden/>
          </w:rPr>
          <w:fldChar w:fldCharType="end"/>
        </w:r>
      </w:hyperlink>
    </w:p>
    <w:p w14:paraId="6E26E539" w14:textId="77777777" w:rsidR="00B562BA" w:rsidRDefault="004A61E1">
      <w:pPr>
        <w:pStyle w:val="TableofFigures"/>
        <w:tabs>
          <w:tab w:val="right" w:leader="dot" w:pos="9350"/>
        </w:tabs>
        <w:rPr>
          <w:rFonts w:asciiTheme="minorHAnsi" w:eastAsiaTheme="minorEastAsia" w:hAnsiTheme="minorHAnsi"/>
          <w:noProof/>
          <w:szCs w:val="22"/>
        </w:rPr>
      </w:pPr>
      <w:hyperlink w:anchor="_Toc424720252" w:history="1">
        <w:r w:rsidR="00B562BA" w:rsidRPr="00E97D75">
          <w:rPr>
            <w:rStyle w:val="Hyperlink"/>
            <w:noProof/>
          </w:rPr>
          <w:t>Table 2. U.S. Electric Utility EE Program Funding (2006-2013)</w:t>
        </w:r>
        <w:r w:rsidR="00B562BA">
          <w:rPr>
            <w:noProof/>
            <w:webHidden/>
          </w:rPr>
          <w:tab/>
        </w:r>
        <w:r w:rsidR="00B562BA">
          <w:rPr>
            <w:noProof/>
            <w:webHidden/>
          </w:rPr>
          <w:fldChar w:fldCharType="begin"/>
        </w:r>
        <w:r w:rsidR="00B562BA">
          <w:rPr>
            <w:noProof/>
            <w:webHidden/>
          </w:rPr>
          <w:instrText xml:space="preserve"> PAGEREF _Toc424720252 \h </w:instrText>
        </w:r>
        <w:r w:rsidR="00B562BA">
          <w:rPr>
            <w:noProof/>
            <w:webHidden/>
          </w:rPr>
        </w:r>
        <w:r w:rsidR="00B562BA">
          <w:rPr>
            <w:noProof/>
            <w:webHidden/>
          </w:rPr>
          <w:fldChar w:fldCharType="separate"/>
        </w:r>
        <w:r w:rsidR="00A8218A">
          <w:rPr>
            <w:noProof/>
            <w:webHidden/>
          </w:rPr>
          <w:t>18</w:t>
        </w:r>
        <w:r w:rsidR="00B562BA">
          <w:rPr>
            <w:noProof/>
            <w:webHidden/>
          </w:rPr>
          <w:fldChar w:fldCharType="end"/>
        </w:r>
      </w:hyperlink>
    </w:p>
    <w:p w14:paraId="6534AFB2" w14:textId="77777777" w:rsidR="00B562BA" w:rsidRDefault="004A61E1">
      <w:pPr>
        <w:pStyle w:val="TableofFigures"/>
        <w:tabs>
          <w:tab w:val="right" w:leader="dot" w:pos="9350"/>
        </w:tabs>
        <w:rPr>
          <w:rFonts w:asciiTheme="minorHAnsi" w:eastAsiaTheme="minorEastAsia" w:hAnsiTheme="minorHAnsi"/>
          <w:noProof/>
          <w:szCs w:val="22"/>
        </w:rPr>
      </w:pPr>
      <w:hyperlink w:anchor="_Toc424720253" w:history="1">
        <w:r w:rsidR="00B562BA" w:rsidRPr="00E97D75">
          <w:rPr>
            <w:rStyle w:val="Hyperlink"/>
            <w:noProof/>
          </w:rPr>
          <w:t>Table 3. U.S. State Adoption of EE Resource Standards</w:t>
        </w:r>
        <w:r w:rsidR="00B562BA">
          <w:rPr>
            <w:noProof/>
            <w:webHidden/>
          </w:rPr>
          <w:tab/>
        </w:r>
        <w:r w:rsidR="00B562BA">
          <w:rPr>
            <w:noProof/>
            <w:webHidden/>
          </w:rPr>
          <w:fldChar w:fldCharType="begin"/>
        </w:r>
        <w:r w:rsidR="00B562BA">
          <w:rPr>
            <w:noProof/>
            <w:webHidden/>
          </w:rPr>
          <w:instrText xml:space="preserve"> PAGEREF _Toc424720253 \h </w:instrText>
        </w:r>
        <w:r w:rsidR="00B562BA">
          <w:rPr>
            <w:noProof/>
            <w:webHidden/>
          </w:rPr>
        </w:r>
        <w:r w:rsidR="00B562BA">
          <w:rPr>
            <w:noProof/>
            <w:webHidden/>
          </w:rPr>
          <w:fldChar w:fldCharType="separate"/>
        </w:r>
        <w:r w:rsidR="00A8218A">
          <w:rPr>
            <w:noProof/>
            <w:webHidden/>
          </w:rPr>
          <w:t>18</w:t>
        </w:r>
        <w:r w:rsidR="00B562BA">
          <w:rPr>
            <w:noProof/>
            <w:webHidden/>
          </w:rPr>
          <w:fldChar w:fldCharType="end"/>
        </w:r>
      </w:hyperlink>
    </w:p>
    <w:p w14:paraId="31452066" w14:textId="77777777" w:rsidR="00B562BA" w:rsidRDefault="004A61E1">
      <w:pPr>
        <w:pStyle w:val="TableofFigures"/>
        <w:tabs>
          <w:tab w:val="right" w:leader="dot" w:pos="9350"/>
        </w:tabs>
        <w:rPr>
          <w:rFonts w:asciiTheme="minorHAnsi" w:eastAsiaTheme="minorEastAsia" w:hAnsiTheme="minorHAnsi"/>
          <w:noProof/>
          <w:szCs w:val="22"/>
        </w:rPr>
      </w:pPr>
      <w:hyperlink w:anchor="_Toc424720254" w:history="1">
        <w:r w:rsidR="00B562BA" w:rsidRPr="00E97D75">
          <w:rPr>
            <w:rStyle w:val="Hyperlink"/>
            <w:noProof/>
          </w:rPr>
          <w:t>Table 4. Aggregate Electricity Savings by State, Tribal Area and Territory</w:t>
        </w:r>
        <w:r w:rsidR="00B562BA">
          <w:rPr>
            <w:noProof/>
            <w:webHidden/>
          </w:rPr>
          <w:tab/>
        </w:r>
        <w:r w:rsidR="00B562BA">
          <w:rPr>
            <w:noProof/>
            <w:webHidden/>
          </w:rPr>
          <w:fldChar w:fldCharType="begin"/>
        </w:r>
        <w:r w:rsidR="00B562BA">
          <w:rPr>
            <w:noProof/>
            <w:webHidden/>
          </w:rPr>
          <w:instrText xml:space="preserve"> PAGEREF _Toc424720254 \h </w:instrText>
        </w:r>
        <w:r w:rsidR="00B562BA">
          <w:rPr>
            <w:noProof/>
            <w:webHidden/>
          </w:rPr>
        </w:r>
        <w:r w:rsidR="00B562BA">
          <w:rPr>
            <w:noProof/>
            <w:webHidden/>
          </w:rPr>
          <w:fldChar w:fldCharType="separate"/>
        </w:r>
        <w:r w:rsidR="00A8218A">
          <w:rPr>
            <w:noProof/>
            <w:webHidden/>
          </w:rPr>
          <w:t>20</w:t>
        </w:r>
        <w:r w:rsidR="00B562BA">
          <w:rPr>
            <w:noProof/>
            <w:webHidden/>
          </w:rPr>
          <w:fldChar w:fldCharType="end"/>
        </w:r>
      </w:hyperlink>
    </w:p>
    <w:p w14:paraId="43F8AFA3" w14:textId="77777777" w:rsidR="00B562BA" w:rsidRDefault="004A61E1">
      <w:pPr>
        <w:pStyle w:val="TableofFigures"/>
        <w:tabs>
          <w:tab w:val="right" w:leader="dot" w:pos="9350"/>
        </w:tabs>
        <w:rPr>
          <w:rFonts w:asciiTheme="minorHAnsi" w:eastAsiaTheme="minorEastAsia" w:hAnsiTheme="minorHAnsi"/>
          <w:noProof/>
          <w:szCs w:val="22"/>
        </w:rPr>
      </w:pPr>
      <w:hyperlink w:anchor="_Toc424720255" w:history="1">
        <w:r w:rsidR="00B562BA" w:rsidRPr="00E97D75">
          <w:rPr>
            <w:rStyle w:val="Hyperlink"/>
            <w:noProof/>
          </w:rPr>
          <w:t>Table 5. Summary of Impacts: Scenarios of Future Utility  Customer-Funded Electric EE Programs</w:t>
        </w:r>
        <w:r w:rsidR="00B562BA">
          <w:rPr>
            <w:noProof/>
            <w:webHidden/>
          </w:rPr>
          <w:tab/>
        </w:r>
        <w:r w:rsidR="00B562BA">
          <w:rPr>
            <w:noProof/>
            <w:webHidden/>
          </w:rPr>
          <w:fldChar w:fldCharType="begin"/>
        </w:r>
        <w:r w:rsidR="00B562BA">
          <w:rPr>
            <w:noProof/>
            <w:webHidden/>
          </w:rPr>
          <w:instrText xml:space="preserve"> PAGEREF _Toc424720255 \h </w:instrText>
        </w:r>
        <w:r w:rsidR="00B562BA">
          <w:rPr>
            <w:noProof/>
            <w:webHidden/>
          </w:rPr>
        </w:r>
        <w:r w:rsidR="00B562BA">
          <w:rPr>
            <w:noProof/>
            <w:webHidden/>
          </w:rPr>
          <w:fldChar w:fldCharType="separate"/>
        </w:r>
        <w:r w:rsidR="00A8218A">
          <w:rPr>
            <w:noProof/>
            <w:webHidden/>
          </w:rPr>
          <w:t>23</w:t>
        </w:r>
        <w:r w:rsidR="00B562BA">
          <w:rPr>
            <w:noProof/>
            <w:webHidden/>
          </w:rPr>
          <w:fldChar w:fldCharType="end"/>
        </w:r>
      </w:hyperlink>
    </w:p>
    <w:p w14:paraId="3676DE1A" w14:textId="77777777" w:rsidR="00B562BA" w:rsidRDefault="004A61E1">
      <w:pPr>
        <w:pStyle w:val="TableofFigures"/>
        <w:tabs>
          <w:tab w:val="right" w:leader="dot" w:pos="9350"/>
        </w:tabs>
        <w:rPr>
          <w:rFonts w:asciiTheme="minorHAnsi" w:eastAsiaTheme="minorEastAsia" w:hAnsiTheme="minorHAnsi"/>
          <w:noProof/>
          <w:szCs w:val="22"/>
        </w:rPr>
      </w:pPr>
      <w:hyperlink w:anchor="_Toc424720256" w:history="1">
        <w:r w:rsidR="00B562BA" w:rsidRPr="00E97D75">
          <w:rPr>
            <w:rStyle w:val="Hyperlink"/>
            <w:rFonts w:eastAsia="Calibri"/>
            <w:noProof/>
          </w:rPr>
          <w:t>Table 6. Summary of EE Potential Studies (2009 to 2014)</w:t>
        </w:r>
        <w:r w:rsidR="00B562BA">
          <w:rPr>
            <w:noProof/>
            <w:webHidden/>
          </w:rPr>
          <w:tab/>
        </w:r>
        <w:r w:rsidR="00B562BA">
          <w:rPr>
            <w:noProof/>
            <w:webHidden/>
          </w:rPr>
          <w:fldChar w:fldCharType="begin"/>
        </w:r>
        <w:r w:rsidR="00B562BA">
          <w:rPr>
            <w:noProof/>
            <w:webHidden/>
          </w:rPr>
          <w:instrText xml:space="preserve"> PAGEREF _Toc424720256 \h </w:instrText>
        </w:r>
        <w:r w:rsidR="00B562BA">
          <w:rPr>
            <w:noProof/>
            <w:webHidden/>
          </w:rPr>
        </w:r>
        <w:r w:rsidR="00B562BA">
          <w:rPr>
            <w:noProof/>
            <w:webHidden/>
          </w:rPr>
          <w:fldChar w:fldCharType="separate"/>
        </w:r>
        <w:r w:rsidR="00A8218A">
          <w:rPr>
            <w:noProof/>
            <w:webHidden/>
          </w:rPr>
          <w:t>26</w:t>
        </w:r>
        <w:r w:rsidR="00B562BA">
          <w:rPr>
            <w:noProof/>
            <w:webHidden/>
          </w:rPr>
          <w:fldChar w:fldCharType="end"/>
        </w:r>
      </w:hyperlink>
    </w:p>
    <w:p w14:paraId="093355C7" w14:textId="77777777" w:rsidR="00B562BA" w:rsidRDefault="004A61E1">
      <w:pPr>
        <w:pStyle w:val="TableofFigures"/>
        <w:tabs>
          <w:tab w:val="right" w:leader="dot" w:pos="9350"/>
        </w:tabs>
        <w:rPr>
          <w:rFonts w:asciiTheme="minorHAnsi" w:eastAsiaTheme="minorEastAsia" w:hAnsiTheme="minorHAnsi"/>
          <w:noProof/>
          <w:szCs w:val="22"/>
        </w:rPr>
      </w:pPr>
      <w:hyperlink w:anchor="_Toc424720257" w:history="1">
        <w:r w:rsidR="00B562BA" w:rsidRPr="00E97D75">
          <w:rPr>
            <w:rStyle w:val="Hyperlink"/>
            <w:noProof/>
          </w:rPr>
          <w:t>Table 7. Estimated Energy Savings Potential of State Appliance Standards</w:t>
        </w:r>
        <w:r w:rsidR="00B562BA">
          <w:rPr>
            <w:noProof/>
            <w:webHidden/>
          </w:rPr>
          <w:tab/>
        </w:r>
        <w:r w:rsidR="00B562BA">
          <w:rPr>
            <w:noProof/>
            <w:webHidden/>
          </w:rPr>
          <w:fldChar w:fldCharType="begin"/>
        </w:r>
        <w:r w:rsidR="00B562BA">
          <w:rPr>
            <w:noProof/>
            <w:webHidden/>
          </w:rPr>
          <w:instrText xml:space="preserve"> PAGEREF _Toc424720257 \h </w:instrText>
        </w:r>
        <w:r w:rsidR="00B562BA">
          <w:rPr>
            <w:noProof/>
            <w:webHidden/>
          </w:rPr>
        </w:r>
        <w:r w:rsidR="00B562BA">
          <w:rPr>
            <w:noProof/>
            <w:webHidden/>
          </w:rPr>
          <w:fldChar w:fldCharType="separate"/>
        </w:r>
        <w:r w:rsidR="00A8218A">
          <w:rPr>
            <w:noProof/>
            <w:webHidden/>
          </w:rPr>
          <w:t>36</w:t>
        </w:r>
        <w:r w:rsidR="00B562BA">
          <w:rPr>
            <w:noProof/>
            <w:webHidden/>
          </w:rPr>
          <w:fldChar w:fldCharType="end"/>
        </w:r>
      </w:hyperlink>
    </w:p>
    <w:p w14:paraId="116E6DF7" w14:textId="30B17019" w:rsidR="00B562BA" w:rsidRDefault="004A61E1">
      <w:pPr>
        <w:pStyle w:val="TableofFigures"/>
        <w:tabs>
          <w:tab w:val="right" w:leader="dot" w:pos="9350"/>
        </w:tabs>
        <w:rPr>
          <w:rFonts w:asciiTheme="minorHAnsi" w:eastAsiaTheme="minorEastAsia" w:hAnsiTheme="minorHAnsi"/>
          <w:noProof/>
          <w:szCs w:val="22"/>
        </w:rPr>
      </w:pPr>
      <w:hyperlink w:anchor="_Toc424720258" w:history="1">
        <w:r w:rsidR="00B562BA" w:rsidRPr="00E97D75">
          <w:rPr>
            <w:rStyle w:val="Hyperlink"/>
            <w:bCs/>
            <w:noProof/>
          </w:rPr>
          <w:t>Table 8. Summary of State Regulatory Frameworks: December 2014</w:t>
        </w:r>
        <w:r w:rsidR="00B562BA">
          <w:rPr>
            <w:noProof/>
            <w:webHidden/>
          </w:rPr>
          <w:tab/>
        </w:r>
        <w:r w:rsidR="00B562BA">
          <w:rPr>
            <w:noProof/>
            <w:webHidden/>
          </w:rPr>
          <w:fldChar w:fldCharType="begin"/>
        </w:r>
        <w:r w:rsidR="00B562BA">
          <w:rPr>
            <w:noProof/>
            <w:webHidden/>
          </w:rPr>
          <w:instrText xml:space="preserve"> PAGEREF _Toc424720258 \h </w:instrText>
        </w:r>
        <w:r w:rsidR="00B562BA">
          <w:rPr>
            <w:noProof/>
            <w:webHidden/>
          </w:rPr>
        </w:r>
        <w:r w:rsidR="00B562BA">
          <w:rPr>
            <w:noProof/>
            <w:webHidden/>
          </w:rPr>
          <w:fldChar w:fldCharType="separate"/>
        </w:r>
        <w:r w:rsidR="00A8218A">
          <w:rPr>
            <w:noProof/>
            <w:webHidden/>
          </w:rPr>
          <w:t>44</w:t>
        </w:r>
        <w:r w:rsidR="00B562BA">
          <w:rPr>
            <w:noProof/>
            <w:webHidden/>
          </w:rPr>
          <w:fldChar w:fldCharType="end"/>
        </w:r>
      </w:hyperlink>
    </w:p>
    <w:p w14:paraId="547D58D2" w14:textId="222631D8" w:rsidR="00B562BA" w:rsidRDefault="004A61E1">
      <w:pPr>
        <w:pStyle w:val="TableofFigures"/>
        <w:tabs>
          <w:tab w:val="right" w:leader="dot" w:pos="9350"/>
        </w:tabs>
        <w:rPr>
          <w:rFonts w:asciiTheme="minorHAnsi" w:eastAsiaTheme="minorEastAsia" w:hAnsiTheme="minorHAnsi"/>
          <w:noProof/>
          <w:szCs w:val="22"/>
        </w:rPr>
      </w:pPr>
      <w:hyperlink w:anchor="_Toc424720259" w:history="1">
        <w:r w:rsidR="00B562BA" w:rsidRPr="00E97D75">
          <w:rPr>
            <w:rStyle w:val="Hyperlink"/>
            <w:noProof/>
          </w:rPr>
          <w:t>Table 9. International Examples of Trading Energy Savings</w:t>
        </w:r>
        <w:r w:rsidR="00B562BA">
          <w:rPr>
            <w:noProof/>
            <w:webHidden/>
          </w:rPr>
          <w:tab/>
        </w:r>
        <w:r w:rsidR="00B562BA">
          <w:rPr>
            <w:noProof/>
            <w:webHidden/>
          </w:rPr>
          <w:fldChar w:fldCharType="begin"/>
        </w:r>
        <w:r w:rsidR="00B562BA">
          <w:rPr>
            <w:noProof/>
            <w:webHidden/>
          </w:rPr>
          <w:instrText xml:space="preserve"> PAGEREF _Toc424720259 \h </w:instrText>
        </w:r>
        <w:r w:rsidR="00B562BA">
          <w:rPr>
            <w:noProof/>
            <w:webHidden/>
          </w:rPr>
        </w:r>
        <w:r w:rsidR="00B562BA">
          <w:rPr>
            <w:noProof/>
            <w:webHidden/>
          </w:rPr>
          <w:fldChar w:fldCharType="separate"/>
        </w:r>
        <w:r w:rsidR="00A8218A">
          <w:rPr>
            <w:noProof/>
            <w:webHidden/>
          </w:rPr>
          <w:t>48</w:t>
        </w:r>
        <w:r w:rsidR="00B562BA">
          <w:rPr>
            <w:noProof/>
            <w:webHidden/>
          </w:rPr>
          <w:fldChar w:fldCharType="end"/>
        </w:r>
      </w:hyperlink>
    </w:p>
    <w:p w14:paraId="67C5640D" w14:textId="2E52FF3D" w:rsidR="00B562BA" w:rsidRDefault="004A61E1">
      <w:pPr>
        <w:pStyle w:val="TableofFigures"/>
        <w:tabs>
          <w:tab w:val="right" w:leader="dot" w:pos="9350"/>
        </w:tabs>
        <w:rPr>
          <w:rFonts w:asciiTheme="minorHAnsi" w:eastAsiaTheme="minorEastAsia" w:hAnsiTheme="minorHAnsi"/>
          <w:noProof/>
          <w:szCs w:val="22"/>
        </w:rPr>
      </w:pPr>
      <w:hyperlink w:anchor="_Toc424720260" w:history="1">
        <w:r w:rsidR="00B562BA" w:rsidRPr="00E97D75">
          <w:rPr>
            <w:rStyle w:val="Hyperlink"/>
            <w:noProof/>
          </w:rPr>
          <w:t>Table 10. 2013 State Levels of Incremental Annual Savings</w:t>
        </w:r>
        <w:r w:rsidR="00B562BA">
          <w:rPr>
            <w:noProof/>
            <w:webHidden/>
          </w:rPr>
          <w:tab/>
        </w:r>
        <w:r w:rsidR="00B562BA">
          <w:rPr>
            <w:noProof/>
            <w:webHidden/>
          </w:rPr>
          <w:fldChar w:fldCharType="begin"/>
        </w:r>
        <w:r w:rsidR="00B562BA">
          <w:rPr>
            <w:noProof/>
            <w:webHidden/>
          </w:rPr>
          <w:instrText xml:space="preserve"> PAGEREF _Toc424720260 \h </w:instrText>
        </w:r>
        <w:r w:rsidR="00B562BA">
          <w:rPr>
            <w:noProof/>
            <w:webHidden/>
          </w:rPr>
        </w:r>
        <w:r w:rsidR="00B562BA">
          <w:rPr>
            <w:noProof/>
            <w:webHidden/>
          </w:rPr>
          <w:fldChar w:fldCharType="separate"/>
        </w:r>
        <w:r w:rsidR="00A8218A">
          <w:rPr>
            <w:noProof/>
            <w:webHidden/>
          </w:rPr>
          <w:t>52</w:t>
        </w:r>
        <w:r w:rsidR="00B562BA">
          <w:rPr>
            <w:noProof/>
            <w:webHidden/>
          </w:rPr>
          <w:fldChar w:fldCharType="end"/>
        </w:r>
      </w:hyperlink>
    </w:p>
    <w:p w14:paraId="1A9C38EA" w14:textId="4116A3D9" w:rsidR="00B562BA" w:rsidRDefault="004A61E1">
      <w:pPr>
        <w:pStyle w:val="TableofFigures"/>
        <w:tabs>
          <w:tab w:val="right" w:leader="dot" w:pos="9350"/>
        </w:tabs>
        <w:rPr>
          <w:rFonts w:asciiTheme="minorHAnsi" w:eastAsiaTheme="minorEastAsia" w:hAnsiTheme="minorHAnsi"/>
          <w:noProof/>
          <w:szCs w:val="22"/>
        </w:rPr>
      </w:pPr>
      <w:hyperlink w:anchor="_Toc424720261" w:history="1">
        <w:r w:rsidR="00B562BA" w:rsidRPr="00E97D75">
          <w:rPr>
            <w:rStyle w:val="Hyperlink"/>
            <w:noProof/>
          </w:rPr>
          <w:t>Table 11. 2013 Incremental Annual Savings – Investor-Owned Utilities</w:t>
        </w:r>
        <w:r w:rsidR="00B562BA">
          <w:rPr>
            <w:noProof/>
            <w:webHidden/>
          </w:rPr>
          <w:tab/>
        </w:r>
        <w:r w:rsidR="00B562BA">
          <w:rPr>
            <w:noProof/>
            <w:webHidden/>
          </w:rPr>
          <w:fldChar w:fldCharType="begin"/>
        </w:r>
        <w:r w:rsidR="00B562BA">
          <w:rPr>
            <w:noProof/>
            <w:webHidden/>
          </w:rPr>
          <w:instrText xml:space="preserve"> PAGEREF _Toc424720261 \h </w:instrText>
        </w:r>
        <w:r w:rsidR="00B562BA">
          <w:rPr>
            <w:noProof/>
            <w:webHidden/>
          </w:rPr>
        </w:r>
        <w:r w:rsidR="00B562BA">
          <w:rPr>
            <w:noProof/>
            <w:webHidden/>
          </w:rPr>
          <w:fldChar w:fldCharType="separate"/>
        </w:r>
        <w:r w:rsidR="00A8218A">
          <w:rPr>
            <w:noProof/>
            <w:webHidden/>
          </w:rPr>
          <w:t>52</w:t>
        </w:r>
        <w:r w:rsidR="00B562BA">
          <w:rPr>
            <w:noProof/>
            <w:webHidden/>
          </w:rPr>
          <w:fldChar w:fldCharType="end"/>
        </w:r>
      </w:hyperlink>
    </w:p>
    <w:p w14:paraId="76403BF3" w14:textId="1C9889C3" w:rsidR="00B562BA" w:rsidRDefault="004A61E1">
      <w:pPr>
        <w:pStyle w:val="TableofFigures"/>
        <w:tabs>
          <w:tab w:val="right" w:leader="dot" w:pos="9350"/>
        </w:tabs>
        <w:rPr>
          <w:rFonts w:asciiTheme="minorHAnsi" w:eastAsiaTheme="minorEastAsia" w:hAnsiTheme="minorHAnsi"/>
          <w:noProof/>
          <w:szCs w:val="22"/>
        </w:rPr>
      </w:pPr>
      <w:hyperlink w:anchor="_Toc424720262" w:history="1">
        <w:r w:rsidR="00B562BA" w:rsidRPr="00E97D75">
          <w:rPr>
            <w:rStyle w:val="Hyperlink"/>
            <w:noProof/>
          </w:rPr>
          <w:t>Table 12. 2013 Incremental Annual Savings – Cooperative-Owned Utilities</w:t>
        </w:r>
        <w:r w:rsidR="00B562BA">
          <w:rPr>
            <w:noProof/>
            <w:webHidden/>
          </w:rPr>
          <w:tab/>
        </w:r>
        <w:r w:rsidR="00B562BA">
          <w:rPr>
            <w:noProof/>
            <w:webHidden/>
          </w:rPr>
          <w:fldChar w:fldCharType="begin"/>
        </w:r>
        <w:r w:rsidR="00B562BA">
          <w:rPr>
            <w:noProof/>
            <w:webHidden/>
          </w:rPr>
          <w:instrText xml:space="preserve"> PAGEREF _Toc424720262 \h </w:instrText>
        </w:r>
        <w:r w:rsidR="00B562BA">
          <w:rPr>
            <w:noProof/>
            <w:webHidden/>
          </w:rPr>
        </w:r>
        <w:r w:rsidR="00B562BA">
          <w:rPr>
            <w:noProof/>
            <w:webHidden/>
          </w:rPr>
          <w:fldChar w:fldCharType="separate"/>
        </w:r>
        <w:r w:rsidR="00A8218A">
          <w:rPr>
            <w:noProof/>
            <w:webHidden/>
          </w:rPr>
          <w:t>52</w:t>
        </w:r>
        <w:r w:rsidR="00B562BA">
          <w:rPr>
            <w:noProof/>
            <w:webHidden/>
          </w:rPr>
          <w:fldChar w:fldCharType="end"/>
        </w:r>
      </w:hyperlink>
    </w:p>
    <w:p w14:paraId="1948DC68" w14:textId="22E9ADB9" w:rsidR="00B562BA" w:rsidRDefault="004A61E1">
      <w:pPr>
        <w:pStyle w:val="TableofFigures"/>
        <w:tabs>
          <w:tab w:val="right" w:leader="dot" w:pos="9350"/>
        </w:tabs>
        <w:rPr>
          <w:rFonts w:asciiTheme="minorHAnsi" w:eastAsiaTheme="minorEastAsia" w:hAnsiTheme="minorHAnsi"/>
          <w:noProof/>
          <w:szCs w:val="22"/>
        </w:rPr>
      </w:pPr>
      <w:hyperlink w:anchor="_Toc424720263" w:history="1">
        <w:r w:rsidR="00B562BA" w:rsidRPr="00E97D75">
          <w:rPr>
            <w:rStyle w:val="Hyperlink"/>
            <w:noProof/>
          </w:rPr>
          <w:t>Table 13. 2013 Incremental Annual Savings – Municipal-Owned Utilities</w:t>
        </w:r>
        <w:r w:rsidR="00B562BA">
          <w:rPr>
            <w:noProof/>
            <w:webHidden/>
          </w:rPr>
          <w:tab/>
        </w:r>
        <w:r w:rsidR="00B562BA">
          <w:rPr>
            <w:noProof/>
            <w:webHidden/>
          </w:rPr>
          <w:fldChar w:fldCharType="begin"/>
        </w:r>
        <w:r w:rsidR="00B562BA">
          <w:rPr>
            <w:noProof/>
            <w:webHidden/>
          </w:rPr>
          <w:instrText xml:space="preserve"> PAGEREF _Toc424720263 \h </w:instrText>
        </w:r>
        <w:r w:rsidR="00B562BA">
          <w:rPr>
            <w:noProof/>
            <w:webHidden/>
          </w:rPr>
        </w:r>
        <w:r w:rsidR="00B562BA">
          <w:rPr>
            <w:noProof/>
            <w:webHidden/>
          </w:rPr>
          <w:fldChar w:fldCharType="separate"/>
        </w:r>
        <w:r w:rsidR="00A8218A">
          <w:rPr>
            <w:noProof/>
            <w:webHidden/>
          </w:rPr>
          <w:t>53</w:t>
        </w:r>
        <w:r w:rsidR="00B562BA">
          <w:rPr>
            <w:noProof/>
            <w:webHidden/>
          </w:rPr>
          <w:fldChar w:fldCharType="end"/>
        </w:r>
      </w:hyperlink>
    </w:p>
    <w:p w14:paraId="1B3C3077" w14:textId="79BA484D" w:rsidR="00B562BA" w:rsidRDefault="004A61E1">
      <w:pPr>
        <w:pStyle w:val="TableofFigures"/>
        <w:tabs>
          <w:tab w:val="right" w:leader="dot" w:pos="9350"/>
        </w:tabs>
        <w:rPr>
          <w:rFonts w:asciiTheme="minorHAnsi" w:eastAsiaTheme="minorEastAsia" w:hAnsiTheme="minorHAnsi"/>
          <w:noProof/>
          <w:szCs w:val="22"/>
        </w:rPr>
      </w:pPr>
      <w:hyperlink w:anchor="_Toc424720264" w:history="1">
        <w:r w:rsidR="00B562BA" w:rsidRPr="00E97D75">
          <w:rPr>
            <w:rStyle w:val="Hyperlink"/>
            <w:noProof/>
          </w:rPr>
          <w:t>Table 14. Levels of Incremental Savings Required by State EERS</w:t>
        </w:r>
        <w:r w:rsidR="00B562BA">
          <w:rPr>
            <w:noProof/>
            <w:webHidden/>
          </w:rPr>
          <w:tab/>
        </w:r>
        <w:r w:rsidR="00B562BA">
          <w:rPr>
            <w:noProof/>
            <w:webHidden/>
          </w:rPr>
          <w:fldChar w:fldCharType="begin"/>
        </w:r>
        <w:r w:rsidR="00B562BA">
          <w:rPr>
            <w:noProof/>
            <w:webHidden/>
          </w:rPr>
          <w:instrText xml:space="preserve"> PAGEREF _Toc424720264 \h </w:instrText>
        </w:r>
        <w:r w:rsidR="00B562BA">
          <w:rPr>
            <w:noProof/>
            <w:webHidden/>
          </w:rPr>
        </w:r>
        <w:r w:rsidR="00B562BA">
          <w:rPr>
            <w:noProof/>
            <w:webHidden/>
          </w:rPr>
          <w:fldChar w:fldCharType="separate"/>
        </w:r>
        <w:r w:rsidR="00A8218A">
          <w:rPr>
            <w:noProof/>
            <w:webHidden/>
          </w:rPr>
          <w:t>53</w:t>
        </w:r>
        <w:r w:rsidR="00B562BA">
          <w:rPr>
            <w:noProof/>
            <w:webHidden/>
          </w:rPr>
          <w:fldChar w:fldCharType="end"/>
        </w:r>
      </w:hyperlink>
    </w:p>
    <w:p w14:paraId="6F1BFEEC" w14:textId="7A74B7B7" w:rsidR="00B562BA" w:rsidRDefault="004A61E1">
      <w:pPr>
        <w:pStyle w:val="TableofFigures"/>
        <w:tabs>
          <w:tab w:val="right" w:leader="dot" w:pos="9350"/>
        </w:tabs>
        <w:rPr>
          <w:rFonts w:asciiTheme="minorHAnsi" w:eastAsiaTheme="minorEastAsia" w:hAnsiTheme="minorHAnsi"/>
          <w:noProof/>
          <w:szCs w:val="22"/>
        </w:rPr>
      </w:pPr>
      <w:hyperlink w:anchor="_Toc424720265" w:history="1">
        <w:r w:rsidR="00B562BA" w:rsidRPr="00E97D75">
          <w:rPr>
            <w:rStyle w:val="Hyperlink"/>
            <w:noProof/>
          </w:rPr>
          <w:t>Table 15. NPCC Achievable EE Potential and Achieved Incremental Savings (1998-2010)</w:t>
        </w:r>
        <w:r w:rsidR="00B562BA">
          <w:rPr>
            <w:noProof/>
            <w:webHidden/>
          </w:rPr>
          <w:tab/>
        </w:r>
        <w:r w:rsidR="00B562BA">
          <w:rPr>
            <w:noProof/>
            <w:webHidden/>
          </w:rPr>
          <w:fldChar w:fldCharType="begin"/>
        </w:r>
        <w:r w:rsidR="00B562BA">
          <w:rPr>
            <w:noProof/>
            <w:webHidden/>
          </w:rPr>
          <w:instrText xml:space="preserve"> PAGEREF _Toc424720265 \h </w:instrText>
        </w:r>
        <w:r w:rsidR="00B562BA">
          <w:rPr>
            <w:noProof/>
            <w:webHidden/>
          </w:rPr>
        </w:r>
        <w:r w:rsidR="00B562BA">
          <w:rPr>
            <w:noProof/>
            <w:webHidden/>
          </w:rPr>
          <w:fldChar w:fldCharType="separate"/>
        </w:r>
        <w:r w:rsidR="00A8218A">
          <w:rPr>
            <w:noProof/>
            <w:webHidden/>
          </w:rPr>
          <w:t>58</w:t>
        </w:r>
        <w:r w:rsidR="00B562BA">
          <w:rPr>
            <w:noProof/>
            <w:webHidden/>
          </w:rPr>
          <w:fldChar w:fldCharType="end"/>
        </w:r>
      </w:hyperlink>
    </w:p>
    <w:p w14:paraId="200F9EB2" w14:textId="6AB8F086" w:rsidR="00B562BA" w:rsidRDefault="004A61E1">
      <w:pPr>
        <w:pStyle w:val="TableofFigures"/>
        <w:tabs>
          <w:tab w:val="right" w:leader="dot" w:pos="9350"/>
        </w:tabs>
        <w:rPr>
          <w:rFonts w:asciiTheme="minorHAnsi" w:eastAsiaTheme="minorEastAsia" w:hAnsiTheme="minorHAnsi"/>
          <w:noProof/>
          <w:szCs w:val="22"/>
        </w:rPr>
      </w:pPr>
      <w:hyperlink w:anchor="_Toc424720266" w:history="1">
        <w:r w:rsidR="00B562BA" w:rsidRPr="00E97D75">
          <w:rPr>
            <w:rStyle w:val="Hyperlink"/>
            <w:noProof/>
          </w:rPr>
          <w:t>Table 16. Summary of Demand-Side EE Plan Scenario Inputs</w:t>
        </w:r>
        <w:r w:rsidR="00B562BA">
          <w:rPr>
            <w:noProof/>
            <w:webHidden/>
          </w:rPr>
          <w:tab/>
        </w:r>
        <w:r w:rsidR="00B562BA">
          <w:rPr>
            <w:noProof/>
            <w:webHidden/>
          </w:rPr>
          <w:fldChar w:fldCharType="begin"/>
        </w:r>
        <w:r w:rsidR="00B562BA">
          <w:rPr>
            <w:noProof/>
            <w:webHidden/>
          </w:rPr>
          <w:instrText xml:space="preserve"> PAGEREF _Toc424720266 \h </w:instrText>
        </w:r>
        <w:r w:rsidR="00B562BA">
          <w:rPr>
            <w:noProof/>
            <w:webHidden/>
          </w:rPr>
        </w:r>
        <w:r w:rsidR="00B562BA">
          <w:rPr>
            <w:noProof/>
            <w:webHidden/>
          </w:rPr>
          <w:fldChar w:fldCharType="separate"/>
        </w:r>
        <w:r w:rsidR="00A8218A">
          <w:rPr>
            <w:noProof/>
            <w:webHidden/>
          </w:rPr>
          <w:t>58</w:t>
        </w:r>
        <w:r w:rsidR="00B562BA">
          <w:rPr>
            <w:noProof/>
            <w:webHidden/>
          </w:rPr>
          <w:fldChar w:fldCharType="end"/>
        </w:r>
      </w:hyperlink>
    </w:p>
    <w:p w14:paraId="1247C8FD" w14:textId="53F0270F" w:rsidR="00B562BA" w:rsidRDefault="004A61E1">
      <w:pPr>
        <w:pStyle w:val="TableofFigures"/>
        <w:tabs>
          <w:tab w:val="right" w:leader="dot" w:pos="9350"/>
        </w:tabs>
        <w:rPr>
          <w:rFonts w:asciiTheme="minorHAnsi" w:eastAsiaTheme="minorEastAsia" w:hAnsiTheme="minorHAnsi"/>
          <w:noProof/>
          <w:szCs w:val="22"/>
        </w:rPr>
      </w:pPr>
      <w:hyperlink w:anchor="_Toc424720267" w:history="1">
        <w:r w:rsidR="00B562BA" w:rsidRPr="00E97D75">
          <w:rPr>
            <w:rStyle w:val="Hyperlink"/>
            <w:noProof/>
          </w:rPr>
          <w:t>Table 17. BAU Sales for South Carolina</w:t>
        </w:r>
        <w:r w:rsidR="00B562BA">
          <w:rPr>
            <w:noProof/>
            <w:webHidden/>
          </w:rPr>
          <w:tab/>
        </w:r>
        <w:r w:rsidR="00B562BA">
          <w:rPr>
            <w:noProof/>
            <w:webHidden/>
          </w:rPr>
          <w:fldChar w:fldCharType="begin"/>
        </w:r>
        <w:r w:rsidR="00B562BA">
          <w:rPr>
            <w:noProof/>
            <w:webHidden/>
          </w:rPr>
          <w:instrText xml:space="preserve"> PAGEREF _Toc424720267 \h </w:instrText>
        </w:r>
        <w:r w:rsidR="00B562BA">
          <w:rPr>
            <w:noProof/>
            <w:webHidden/>
          </w:rPr>
        </w:r>
        <w:r w:rsidR="00B562BA">
          <w:rPr>
            <w:noProof/>
            <w:webHidden/>
          </w:rPr>
          <w:fldChar w:fldCharType="separate"/>
        </w:r>
        <w:r w:rsidR="00A8218A">
          <w:rPr>
            <w:noProof/>
            <w:webHidden/>
          </w:rPr>
          <w:t>60</w:t>
        </w:r>
        <w:r w:rsidR="00B562BA">
          <w:rPr>
            <w:noProof/>
            <w:webHidden/>
          </w:rPr>
          <w:fldChar w:fldCharType="end"/>
        </w:r>
      </w:hyperlink>
    </w:p>
    <w:p w14:paraId="66F65FD5" w14:textId="3F17573F" w:rsidR="00B562BA" w:rsidRDefault="004A61E1">
      <w:pPr>
        <w:pStyle w:val="TableofFigures"/>
        <w:tabs>
          <w:tab w:val="right" w:leader="dot" w:pos="9350"/>
        </w:tabs>
        <w:rPr>
          <w:rFonts w:asciiTheme="minorHAnsi" w:eastAsiaTheme="minorEastAsia" w:hAnsiTheme="minorHAnsi"/>
          <w:noProof/>
          <w:szCs w:val="22"/>
        </w:rPr>
      </w:pPr>
      <w:hyperlink w:anchor="_Toc424720268" w:history="1">
        <w:r w:rsidR="00B562BA" w:rsidRPr="00E97D75">
          <w:rPr>
            <w:rStyle w:val="Hyperlink"/>
            <w:noProof/>
          </w:rPr>
          <w:t>Table 18. Annual Incremental EE Savings as a Percentage of Sales for South Carolina</w:t>
        </w:r>
        <w:r w:rsidR="00B562BA">
          <w:rPr>
            <w:noProof/>
            <w:webHidden/>
          </w:rPr>
          <w:tab/>
        </w:r>
        <w:r w:rsidR="00B562BA">
          <w:rPr>
            <w:noProof/>
            <w:webHidden/>
          </w:rPr>
          <w:fldChar w:fldCharType="begin"/>
        </w:r>
        <w:r w:rsidR="00B562BA">
          <w:rPr>
            <w:noProof/>
            <w:webHidden/>
          </w:rPr>
          <w:instrText xml:space="preserve"> PAGEREF _Toc424720268 \h </w:instrText>
        </w:r>
        <w:r w:rsidR="00B562BA">
          <w:rPr>
            <w:noProof/>
            <w:webHidden/>
          </w:rPr>
        </w:r>
        <w:r w:rsidR="00B562BA">
          <w:rPr>
            <w:noProof/>
            <w:webHidden/>
          </w:rPr>
          <w:fldChar w:fldCharType="separate"/>
        </w:r>
        <w:r w:rsidR="00A8218A">
          <w:rPr>
            <w:noProof/>
            <w:webHidden/>
          </w:rPr>
          <w:t>60</w:t>
        </w:r>
        <w:r w:rsidR="00B562BA">
          <w:rPr>
            <w:noProof/>
            <w:webHidden/>
          </w:rPr>
          <w:fldChar w:fldCharType="end"/>
        </w:r>
      </w:hyperlink>
    </w:p>
    <w:p w14:paraId="14C76AFD" w14:textId="7D7ADBD5" w:rsidR="00B562BA" w:rsidRDefault="004A61E1">
      <w:pPr>
        <w:pStyle w:val="TableofFigures"/>
        <w:tabs>
          <w:tab w:val="right" w:leader="dot" w:pos="9350"/>
        </w:tabs>
        <w:rPr>
          <w:rFonts w:asciiTheme="minorHAnsi" w:eastAsiaTheme="minorEastAsia" w:hAnsiTheme="minorHAnsi"/>
          <w:noProof/>
          <w:szCs w:val="22"/>
        </w:rPr>
      </w:pPr>
      <w:hyperlink w:anchor="_Toc424720269" w:history="1">
        <w:r w:rsidR="00B562BA" w:rsidRPr="00E97D75">
          <w:rPr>
            <w:rStyle w:val="Hyperlink"/>
            <w:noProof/>
          </w:rPr>
          <w:t>Table 19. Annual Incremental EE Savings (GWh) for South Carolina</w:t>
        </w:r>
        <w:r w:rsidR="00B562BA">
          <w:rPr>
            <w:noProof/>
            <w:webHidden/>
          </w:rPr>
          <w:tab/>
        </w:r>
        <w:r w:rsidR="00B562BA">
          <w:rPr>
            <w:noProof/>
            <w:webHidden/>
          </w:rPr>
          <w:fldChar w:fldCharType="begin"/>
        </w:r>
        <w:r w:rsidR="00B562BA">
          <w:rPr>
            <w:noProof/>
            <w:webHidden/>
          </w:rPr>
          <w:instrText xml:space="preserve"> PAGEREF _Toc424720269 \h </w:instrText>
        </w:r>
        <w:r w:rsidR="00B562BA">
          <w:rPr>
            <w:noProof/>
            <w:webHidden/>
          </w:rPr>
        </w:r>
        <w:r w:rsidR="00B562BA">
          <w:rPr>
            <w:noProof/>
            <w:webHidden/>
          </w:rPr>
          <w:fldChar w:fldCharType="separate"/>
        </w:r>
        <w:r w:rsidR="00A8218A">
          <w:rPr>
            <w:noProof/>
            <w:webHidden/>
          </w:rPr>
          <w:t>60</w:t>
        </w:r>
        <w:r w:rsidR="00B562BA">
          <w:rPr>
            <w:noProof/>
            <w:webHidden/>
          </w:rPr>
          <w:fldChar w:fldCharType="end"/>
        </w:r>
      </w:hyperlink>
    </w:p>
    <w:p w14:paraId="41602202" w14:textId="6D507350" w:rsidR="00B562BA" w:rsidRDefault="004A61E1">
      <w:pPr>
        <w:pStyle w:val="TableofFigures"/>
        <w:tabs>
          <w:tab w:val="right" w:leader="dot" w:pos="9350"/>
        </w:tabs>
        <w:rPr>
          <w:rFonts w:asciiTheme="minorHAnsi" w:eastAsiaTheme="minorEastAsia" w:hAnsiTheme="minorHAnsi"/>
          <w:noProof/>
          <w:szCs w:val="22"/>
        </w:rPr>
      </w:pPr>
      <w:hyperlink w:anchor="_Toc424720270" w:history="1">
        <w:r w:rsidR="00B562BA" w:rsidRPr="00E97D75">
          <w:rPr>
            <w:rStyle w:val="Hyperlink"/>
            <w:noProof/>
          </w:rPr>
          <w:t>Table 20. Expiring EE Savings for South Carolina</w:t>
        </w:r>
        <w:r w:rsidR="00B562BA">
          <w:rPr>
            <w:noProof/>
            <w:webHidden/>
          </w:rPr>
          <w:tab/>
        </w:r>
        <w:r w:rsidR="00B562BA">
          <w:rPr>
            <w:noProof/>
            <w:webHidden/>
          </w:rPr>
          <w:fldChar w:fldCharType="begin"/>
        </w:r>
        <w:r w:rsidR="00B562BA">
          <w:rPr>
            <w:noProof/>
            <w:webHidden/>
          </w:rPr>
          <w:instrText xml:space="preserve"> PAGEREF _Toc424720270 \h </w:instrText>
        </w:r>
        <w:r w:rsidR="00B562BA">
          <w:rPr>
            <w:noProof/>
            <w:webHidden/>
          </w:rPr>
        </w:r>
        <w:r w:rsidR="00B562BA">
          <w:rPr>
            <w:noProof/>
            <w:webHidden/>
          </w:rPr>
          <w:fldChar w:fldCharType="separate"/>
        </w:r>
        <w:r w:rsidR="00A8218A">
          <w:rPr>
            <w:noProof/>
            <w:webHidden/>
          </w:rPr>
          <w:t>61</w:t>
        </w:r>
        <w:r w:rsidR="00B562BA">
          <w:rPr>
            <w:noProof/>
            <w:webHidden/>
          </w:rPr>
          <w:fldChar w:fldCharType="end"/>
        </w:r>
      </w:hyperlink>
    </w:p>
    <w:p w14:paraId="2005861D" w14:textId="4264A47F" w:rsidR="00B562BA" w:rsidRDefault="004A61E1">
      <w:pPr>
        <w:pStyle w:val="TableofFigures"/>
        <w:tabs>
          <w:tab w:val="right" w:leader="dot" w:pos="9350"/>
        </w:tabs>
        <w:rPr>
          <w:rFonts w:asciiTheme="minorHAnsi" w:eastAsiaTheme="minorEastAsia" w:hAnsiTheme="minorHAnsi"/>
          <w:noProof/>
          <w:szCs w:val="22"/>
        </w:rPr>
      </w:pPr>
      <w:hyperlink w:anchor="_Toc424720271" w:history="1">
        <w:r w:rsidR="00B562BA" w:rsidRPr="00E97D75">
          <w:rPr>
            <w:rStyle w:val="Hyperlink"/>
            <w:noProof/>
          </w:rPr>
          <w:t>Table 21. Net Cumulative EE Savings for South Carolina</w:t>
        </w:r>
        <w:r w:rsidR="00B562BA">
          <w:rPr>
            <w:noProof/>
            <w:webHidden/>
          </w:rPr>
          <w:tab/>
        </w:r>
        <w:r w:rsidR="00B562BA">
          <w:rPr>
            <w:noProof/>
            <w:webHidden/>
          </w:rPr>
          <w:fldChar w:fldCharType="begin"/>
        </w:r>
        <w:r w:rsidR="00B562BA">
          <w:rPr>
            <w:noProof/>
            <w:webHidden/>
          </w:rPr>
          <w:instrText xml:space="preserve"> PAGEREF _Toc424720271 \h </w:instrText>
        </w:r>
        <w:r w:rsidR="00B562BA">
          <w:rPr>
            <w:noProof/>
            <w:webHidden/>
          </w:rPr>
        </w:r>
        <w:r w:rsidR="00B562BA">
          <w:rPr>
            <w:noProof/>
            <w:webHidden/>
          </w:rPr>
          <w:fldChar w:fldCharType="separate"/>
        </w:r>
        <w:r w:rsidR="00A8218A">
          <w:rPr>
            <w:noProof/>
            <w:webHidden/>
          </w:rPr>
          <w:t>61</w:t>
        </w:r>
        <w:r w:rsidR="00B562BA">
          <w:rPr>
            <w:noProof/>
            <w:webHidden/>
          </w:rPr>
          <w:fldChar w:fldCharType="end"/>
        </w:r>
      </w:hyperlink>
    </w:p>
    <w:p w14:paraId="0EF6C2C8" w14:textId="2A076D49" w:rsidR="00B562BA" w:rsidRDefault="004A61E1">
      <w:pPr>
        <w:pStyle w:val="TableofFigures"/>
        <w:tabs>
          <w:tab w:val="right" w:leader="dot" w:pos="9350"/>
        </w:tabs>
        <w:rPr>
          <w:rFonts w:asciiTheme="minorHAnsi" w:eastAsiaTheme="minorEastAsia" w:hAnsiTheme="minorHAnsi"/>
          <w:noProof/>
          <w:szCs w:val="22"/>
        </w:rPr>
      </w:pPr>
      <w:hyperlink w:anchor="_Toc424720272" w:history="1">
        <w:r w:rsidR="00B562BA" w:rsidRPr="00E97D75">
          <w:rPr>
            <w:rStyle w:val="Hyperlink"/>
            <w:noProof/>
          </w:rPr>
          <w:t>Table 22. Sales after Net EE Savings for South Carolina</w:t>
        </w:r>
        <w:r w:rsidR="00B562BA">
          <w:rPr>
            <w:noProof/>
            <w:webHidden/>
          </w:rPr>
          <w:tab/>
        </w:r>
        <w:r w:rsidR="00B562BA">
          <w:rPr>
            <w:noProof/>
            <w:webHidden/>
          </w:rPr>
          <w:fldChar w:fldCharType="begin"/>
        </w:r>
        <w:r w:rsidR="00B562BA">
          <w:rPr>
            <w:noProof/>
            <w:webHidden/>
          </w:rPr>
          <w:instrText xml:space="preserve"> PAGEREF _Toc424720272 \h </w:instrText>
        </w:r>
        <w:r w:rsidR="00B562BA">
          <w:rPr>
            <w:noProof/>
            <w:webHidden/>
          </w:rPr>
        </w:r>
        <w:r w:rsidR="00B562BA">
          <w:rPr>
            <w:noProof/>
            <w:webHidden/>
          </w:rPr>
          <w:fldChar w:fldCharType="separate"/>
        </w:r>
        <w:r w:rsidR="00A8218A">
          <w:rPr>
            <w:noProof/>
            <w:webHidden/>
          </w:rPr>
          <w:t>62</w:t>
        </w:r>
        <w:r w:rsidR="00B562BA">
          <w:rPr>
            <w:noProof/>
            <w:webHidden/>
          </w:rPr>
          <w:fldChar w:fldCharType="end"/>
        </w:r>
      </w:hyperlink>
    </w:p>
    <w:p w14:paraId="2B9B27A2" w14:textId="79F8587E" w:rsidR="00B562BA" w:rsidRDefault="004A61E1">
      <w:pPr>
        <w:pStyle w:val="TableofFigures"/>
        <w:tabs>
          <w:tab w:val="right" w:leader="dot" w:pos="9350"/>
        </w:tabs>
        <w:rPr>
          <w:rFonts w:asciiTheme="minorHAnsi" w:eastAsiaTheme="minorEastAsia" w:hAnsiTheme="minorHAnsi"/>
          <w:noProof/>
          <w:szCs w:val="22"/>
        </w:rPr>
      </w:pPr>
      <w:hyperlink w:anchor="_Toc424720273" w:history="1">
        <w:r w:rsidR="00B562BA" w:rsidRPr="00E97D75">
          <w:rPr>
            <w:rStyle w:val="Hyperlink"/>
            <w:noProof/>
          </w:rPr>
          <w:t>Table 23. Net Cumulative EE Savings as a Percentage of BAU Sales for South Carolina</w:t>
        </w:r>
        <w:r w:rsidR="00B562BA">
          <w:rPr>
            <w:noProof/>
            <w:webHidden/>
          </w:rPr>
          <w:tab/>
        </w:r>
        <w:r w:rsidR="00B562BA">
          <w:rPr>
            <w:noProof/>
            <w:webHidden/>
          </w:rPr>
          <w:fldChar w:fldCharType="begin"/>
        </w:r>
        <w:r w:rsidR="00B562BA">
          <w:rPr>
            <w:noProof/>
            <w:webHidden/>
          </w:rPr>
          <w:instrText xml:space="preserve"> PAGEREF _Toc424720273 \h </w:instrText>
        </w:r>
        <w:r w:rsidR="00B562BA">
          <w:rPr>
            <w:noProof/>
            <w:webHidden/>
          </w:rPr>
        </w:r>
        <w:r w:rsidR="00B562BA">
          <w:rPr>
            <w:noProof/>
            <w:webHidden/>
          </w:rPr>
          <w:fldChar w:fldCharType="separate"/>
        </w:r>
        <w:r w:rsidR="00A8218A">
          <w:rPr>
            <w:noProof/>
            <w:webHidden/>
          </w:rPr>
          <w:t>62</w:t>
        </w:r>
        <w:r w:rsidR="00B562BA">
          <w:rPr>
            <w:noProof/>
            <w:webHidden/>
          </w:rPr>
          <w:fldChar w:fldCharType="end"/>
        </w:r>
      </w:hyperlink>
    </w:p>
    <w:p w14:paraId="7A4C356F" w14:textId="4767C4D9" w:rsidR="00B562BA" w:rsidRDefault="004A61E1">
      <w:pPr>
        <w:pStyle w:val="TableofFigures"/>
        <w:tabs>
          <w:tab w:val="right" w:leader="dot" w:pos="9350"/>
        </w:tabs>
        <w:rPr>
          <w:rFonts w:asciiTheme="minorHAnsi" w:eastAsiaTheme="minorEastAsia" w:hAnsiTheme="minorHAnsi"/>
          <w:noProof/>
          <w:szCs w:val="22"/>
        </w:rPr>
      </w:pPr>
      <w:hyperlink w:anchor="_Toc424720274" w:history="1">
        <w:r w:rsidR="00B562BA" w:rsidRPr="00E97D75">
          <w:rPr>
            <w:rStyle w:val="Hyperlink"/>
            <w:noProof/>
          </w:rPr>
          <w:t>Table 24. Summary of Results by Step for South Carolina</w:t>
        </w:r>
        <w:r w:rsidR="00B562BA">
          <w:rPr>
            <w:noProof/>
            <w:webHidden/>
          </w:rPr>
          <w:tab/>
        </w:r>
        <w:r w:rsidR="00B562BA">
          <w:rPr>
            <w:noProof/>
            <w:webHidden/>
          </w:rPr>
          <w:fldChar w:fldCharType="begin"/>
        </w:r>
        <w:r w:rsidR="00B562BA">
          <w:rPr>
            <w:noProof/>
            <w:webHidden/>
          </w:rPr>
          <w:instrText xml:space="preserve"> PAGEREF _Toc424720274 \h </w:instrText>
        </w:r>
        <w:r w:rsidR="00B562BA">
          <w:rPr>
            <w:noProof/>
            <w:webHidden/>
          </w:rPr>
        </w:r>
        <w:r w:rsidR="00B562BA">
          <w:rPr>
            <w:noProof/>
            <w:webHidden/>
          </w:rPr>
          <w:fldChar w:fldCharType="separate"/>
        </w:r>
        <w:r w:rsidR="00A8218A">
          <w:rPr>
            <w:noProof/>
            <w:webHidden/>
          </w:rPr>
          <w:t>62</w:t>
        </w:r>
        <w:r w:rsidR="00B562BA">
          <w:rPr>
            <w:noProof/>
            <w:webHidden/>
          </w:rPr>
          <w:fldChar w:fldCharType="end"/>
        </w:r>
      </w:hyperlink>
    </w:p>
    <w:p w14:paraId="58AADD62" w14:textId="72F78209" w:rsidR="00B562BA" w:rsidRDefault="004A61E1">
      <w:pPr>
        <w:pStyle w:val="TableofFigures"/>
        <w:tabs>
          <w:tab w:val="right" w:leader="dot" w:pos="9350"/>
        </w:tabs>
        <w:rPr>
          <w:rFonts w:asciiTheme="minorHAnsi" w:eastAsiaTheme="minorEastAsia" w:hAnsiTheme="minorHAnsi"/>
          <w:noProof/>
          <w:szCs w:val="22"/>
        </w:rPr>
      </w:pPr>
      <w:hyperlink w:anchor="_Toc424720275" w:history="1">
        <w:r w:rsidR="00B562BA" w:rsidRPr="00E97D75">
          <w:rPr>
            <w:rStyle w:val="Hyperlink"/>
            <w:noProof/>
          </w:rPr>
          <w:t>Table 25. Demand-Side EE Plan Scenario: Magnitude and  Timing of Net Cumulative Savings</w:t>
        </w:r>
        <w:r w:rsidR="00B562BA">
          <w:rPr>
            <w:noProof/>
            <w:webHidden/>
          </w:rPr>
          <w:tab/>
        </w:r>
        <w:r w:rsidR="00B562BA">
          <w:rPr>
            <w:noProof/>
            <w:webHidden/>
          </w:rPr>
          <w:fldChar w:fldCharType="begin"/>
        </w:r>
        <w:r w:rsidR="00B562BA">
          <w:rPr>
            <w:noProof/>
            <w:webHidden/>
          </w:rPr>
          <w:instrText xml:space="preserve"> PAGEREF _Toc424720275 \h </w:instrText>
        </w:r>
        <w:r w:rsidR="00B562BA">
          <w:rPr>
            <w:noProof/>
            <w:webHidden/>
          </w:rPr>
        </w:r>
        <w:r w:rsidR="00B562BA">
          <w:rPr>
            <w:noProof/>
            <w:webHidden/>
          </w:rPr>
          <w:fldChar w:fldCharType="separate"/>
        </w:r>
        <w:r w:rsidR="00A8218A">
          <w:rPr>
            <w:noProof/>
            <w:webHidden/>
          </w:rPr>
          <w:t>63</w:t>
        </w:r>
        <w:r w:rsidR="00B562BA">
          <w:rPr>
            <w:noProof/>
            <w:webHidden/>
          </w:rPr>
          <w:fldChar w:fldCharType="end"/>
        </w:r>
      </w:hyperlink>
    </w:p>
    <w:p w14:paraId="2DFBCE65" w14:textId="1C447EDE" w:rsidR="00B562BA" w:rsidRDefault="004A61E1">
      <w:pPr>
        <w:pStyle w:val="TableofFigures"/>
        <w:tabs>
          <w:tab w:val="right" w:leader="dot" w:pos="9350"/>
        </w:tabs>
        <w:rPr>
          <w:rFonts w:asciiTheme="minorHAnsi" w:eastAsiaTheme="minorEastAsia" w:hAnsiTheme="minorHAnsi"/>
          <w:noProof/>
          <w:szCs w:val="22"/>
        </w:rPr>
      </w:pPr>
      <w:hyperlink w:anchor="_Toc424720276" w:history="1">
        <w:r w:rsidR="00B562BA" w:rsidRPr="00E97D75">
          <w:rPr>
            <w:rStyle w:val="Hyperlink"/>
            <w:noProof/>
          </w:rPr>
          <w:t>Table 26. Average Annual Savings Rates of Demand-Side EE Plan Scenario</w:t>
        </w:r>
        <w:r w:rsidR="00B562BA">
          <w:rPr>
            <w:noProof/>
            <w:webHidden/>
          </w:rPr>
          <w:tab/>
        </w:r>
        <w:r w:rsidR="00B562BA">
          <w:rPr>
            <w:noProof/>
            <w:webHidden/>
          </w:rPr>
          <w:fldChar w:fldCharType="begin"/>
        </w:r>
        <w:r w:rsidR="00B562BA">
          <w:rPr>
            <w:noProof/>
            <w:webHidden/>
          </w:rPr>
          <w:instrText xml:space="preserve"> PAGEREF _Toc424720276 \h </w:instrText>
        </w:r>
        <w:r w:rsidR="00B562BA">
          <w:rPr>
            <w:noProof/>
            <w:webHidden/>
          </w:rPr>
        </w:r>
        <w:r w:rsidR="00B562BA">
          <w:rPr>
            <w:noProof/>
            <w:webHidden/>
          </w:rPr>
          <w:fldChar w:fldCharType="separate"/>
        </w:r>
        <w:r w:rsidR="00A8218A">
          <w:rPr>
            <w:noProof/>
            <w:webHidden/>
          </w:rPr>
          <w:t>65</w:t>
        </w:r>
        <w:r w:rsidR="00B562BA">
          <w:rPr>
            <w:noProof/>
            <w:webHidden/>
          </w:rPr>
          <w:fldChar w:fldCharType="end"/>
        </w:r>
      </w:hyperlink>
    </w:p>
    <w:p w14:paraId="3029D1B5" w14:textId="0AC3DE32" w:rsidR="00B562BA" w:rsidRDefault="004A61E1">
      <w:pPr>
        <w:pStyle w:val="TableofFigures"/>
        <w:tabs>
          <w:tab w:val="right" w:leader="dot" w:pos="9350"/>
        </w:tabs>
        <w:rPr>
          <w:rFonts w:asciiTheme="minorHAnsi" w:eastAsiaTheme="minorEastAsia" w:hAnsiTheme="minorHAnsi"/>
          <w:noProof/>
          <w:szCs w:val="22"/>
        </w:rPr>
      </w:pPr>
      <w:hyperlink w:anchor="_Toc424720277" w:history="1">
        <w:r w:rsidR="00B562BA" w:rsidRPr="00E97D75">
          <w:rPr>
            <w:rStyle w:val="Hyperlink"/>
            <w:noProof/>
          </w:rPr>
          <w:t>Table 27. Summary of EE Cost Analysis Inputs</w:t>
        </w:r>
        <w:r w:rsidR="00B562BA">
          <w:rPr>
            <w:noProof/>
            <w:webHidden/>
          </w:rPr>
          <w:tab/>
        </w:r>
        <w:r w:rsidR="00B562BA">
          <w:rPr>
            <w:noProof/>
            <w:webHidden/>
          </w:rPr>
          <w:fldChar w:fldCharType="begin"/>
        </w:r>
        <w:r w:rsidR="00B562BA">
          <w:rPr>
            <w:noProof/>
            <w:webHidden/>
          </w:rPr>
          <w:instrText xml:space="preserve"> PAGEREF _Toc424720277 \h </w:instrText>
        </w:r>
        <w:r w:rsidR="00B562BA">
          <w:rPr>
            <w:noProof/>
            <w:webHidden/>
          </w:rPr>
        </w:r>
        <w:r w:rsidR="00B562BA">
          <w:rPr>
            <w:noProof/>
            <w:webHidden/>
          </w:rPr>
          <w:fldChar w:fldCharType="separate"/>
        </w:r>
        <w:r w:rsidR="00A8218A">
          <w:rPr>
            <w:noProof/>
            <w:webHidden/>
          </w:rPr>
          <w:t>70</w:t>
        </w:r>
        <w:r w:rsidR="00B562BA">
          <w:rPr>
            <w:noProof/>
            <w:webHidden/>
          </w:rPr>
          <w:fldChar w:fldCharType="end"/>
        </w:r>
      </w:hyperlink>
    </w:p>
    <w:p w14:paraId="4F5EDE80" w14:textId="172FEBF3" w:rsidR="00B562BA" w:rsidRDefault="004A61E1">
      <w:pPr>
        <w:pStyle w:val="TableofFigures"/>
        <w:tabs>
          <w:tab w:val="right" w:leader="dot" w:pos="9350"/>
        </w:tabs>
        <w:rPr>
          <w:rFonts w:asciiTheme="minorHAnsi" w:eastAsiaTheme="minorEastAsia" w:hAnsiTheme="minorHAnsi"/>
          <w:noProof/>
          <w:szCs w:val="22"/>
        </w:rPr>
      </w:pPr>
      <w:hyperlink w:anchor="_Toc424720278" w:history="1">
        <w:r w:rsidR="00B562BA" w:rsidRPr="00E97D75">
          <w:rPr>
            <w:rStyle w:val="Hyperlink"/>
            <w:noProof/>
          </w:rPr>
          <w:t>Table 28. Calculation of Annual First-Year Costs for South Carolina</w:t>
        </w:r>
        <w:r w:rsidR="00B562BA">
          <w:rPr>
            <w:noProof/>
            <w:webHidden/>
          </w:rPr>
          <w:tab/>
        </w:r>
        <w:r w:rsidR="00B562BA">
          <w:rPr>
            <w:noProof/>
            <w:webHidden/>
          </w:rPr>
          <w:fldChar w:fldCharType="begin"/>
        </w:r>
        <w:r w:rsidR="00B562BA">
          <w:rPr>
            <w:noProof/>
            <w:webHidden/>
          </w:rPr>
          <w:instrText xml:space="preserve"> PAGEREF _Toc424720278 \h </w:instrText>
        </w:r>
        <w:r w:rsidR="00B562BA">
          <w:rPr>
            <w:noProof/>
            <w:webHidden/>
          </w:rPr>
        </w:r>
        <w:r w:rsidR="00B562BA">
          <w:rPr>
            <w:noProof/>
            <w:webHidden/>
          </w:rPr>
          <w:fldChar w:fldCharType="separate"/>
        </w:r>
        <w:r w:rsidR="00A8218A">
          <w:rPr>
            <w:noProof/>
            <w:webHidden/>
          </w:rPr>
          <w:t>71</w:t>
        </w:r>
        <w:r w:rsidR="00B562BA">
          <w:rPr>
            <w:noProof/>
            <w:webHidden/>
          </w:rPr>
          <w:fldChar w:fldCharType="end"/>
        </w:r>
      </w:hyperlink>
    </w:p>
    <w:p w14:paraId="058AB4DD" w14:textId="247B7D34" w:rsidR="00B562BA" w:rsidRDefault="004A61E1">
      <w:pPr>
        <w:pStyle w:val="TableofFigures"/>
        <w:tabs>
          <w:tab w:val="right" w:leader="dot" w:pos="9350"/>
        </w:tabs>
        <w:rPr>
          <w:rFonts w:asciiTheme="minorHAnsi" w:eastAsiaTheme="minorEastAsia" w:hAnsiTheme="minorHAnsi"/>
          <w:noProof/>
          <w:szCs w:val="22"/>
        </w:rPr>
      </w:pPr>
      <w:hyperlink w:anchor="_Toc424720279" w:history="1">
        <w:r w:rsidR="00B562BA" w:rsidRPr="00E97D75">
          <w:rPr>
            <w:rStyle w:val="Hyperlink"/>
            <w:noProof/>
          </w:rPr>
          <w:t>Table 29. Levelized Cost of Saved Energy for South Carolina (at 3% discount rate)</w:t>
        </w:r>
        <w:r w:rsidR="00B562BA">
          <w:rPr>
            <w:noProof/>
            <w:webHidden/>
          </w:rPr>
          <w:tab/>
        </w:r>
        <w:r w:rsidR="00B562BA">
          <w:rPr>
            <w:noProof/>
            <w:webHidden/>
          </w:rPr>
          <w:fldChar w:fldCharType="begin"/>
        </w:r>
        <w:r w:rsidR="00B562BA">
          <w:rPr>
            <w:noProof/>
            <w:webHidden/>
          </w:rPr>
          <w:instrText xml:space="preserve"> PAGEREF _Toc424720279 \h </w:instrText>
        </w:r>
        <w:r w:rsidR="00B562BA">
          <w:rPr>
            <w:noProof/>
            <w:webHidden/>
          </w:rPr>
        </w:r>
        <w:r w:rsidR="00B562BA">
          <w:rPr>
            <w:noProof/>
            <w:webHidden/>
          </w:rPr>
          <w:fldChar w:fldCharType="separate"/>
        </w:r>
        <w:r w:rsidR="00A8218A">
          <w:rPr>
            <w:noProof/>
            <w:webHidden/>
          </w:rPr>
          <w:t>72</w:t>
        </w:r>
        <w:r w:rsidR="00B562BA">
          <w:rPr>
            <w:noProof/>
            <w:webHidden/>
          </w:rPr>
          <w:fldChar w:fldCharType="end"/>
        </w:r>
      </w:hyperlink>
    </w:p>
    <w:p w14:paraId="35492607" w14:textId="56DC0006" w:rsidR="00B562BA" w:rsidRDefault="004A61E1">
      <w:pPr>
        <w:pStyle w:val="TableofFigures"/>
        <w:tabs>
          <w:tab w:val="right" w:leader="dot" w:pos="9350"/>
        </w:tabs>
        <w:rPr>
          <w:rFonts w:asciiTheme="minorHAnsi" w:eastAsiaTheme="minorEastAsia" w:hAnsiTheme="minorHAnsi"/>
          <w:noProof/>
          <w:szCs w:val="22"/>
        </w:rPr>
      </w:pPr>
      <w:hyperlink w:anchor="_Toc424720280" w:history="1">
        <w:r w:rsidR="00B562BA" w:rsidRPr="00E97D75">
          <w:rPr>
            <w:rStyle w:val="Hyperlink"/>
            <w:noProof/>
          </w:rPr>
          <w:t>Table 30. Annualized Costs for South Carolina</w:t>
        </w:r>
        <w:r w:rsidR="00B562BA">
          <w:rPr>
            <w:noProof/>
            <w:webHidden/>
          </w:rPr>
          <w:tab/>
        </w:r>
        <w:r w:rsidR="00B562BA">
          <w:rPr>
            <w:noProof/>
            <w:webHidden/>
          </w:rPr>
          <w:fldChar w:fldCharType="begin"/>
        </w:r>
        <w:r w:rsidR="00B562BA">
          <w:rPr>
            <w:noProof/>
            <w:webHidden/>
          </w:rPr>
          <w:instrText xml:space="preserve"> PAGEREF _Toc424720280 \h </w:instrText>
        </w:r>
        <w:r w:rsidR="00B562BA">
          <w:rPr>
            <w:noProof/>
            <w:webHidden/>
          </w:rPr>
        </w:r>
        <w:r w:rsidR="00B562BA">
          <w:rPr>
            <w:noProof/>
            <w:webHidden/>
          </w:rPr>
          <w:fldChar w:fldCharType="separate"/>
        </w:r>
        <w:r w:rsidR="00A8218A">
          <w:rPr>
            <w:noProof/>
            <w:webHidden/>
          </w:rPr>
          <w:t>73</w:t>
        </w:r>
        <w:r w:rsidR="00B562BA">
          <w:rPr>
            <w:noProof/>
            <w:webHidden/>
          </w:rPr>
          <w:fldChar w:fldCharType="end"/>
        </w:r>
      </w:hyperlink>
    </w:p>
    <w:p w14:paraId="5244A6AB" w14:textId="148978C2" w:rsidR="00B562BA" w:rsidRDefault="004A61E1">
      <w:pPr>
        <w:pStyle w:val="TableofFigures"/>
        <w:tabs>
          <w:tab w:val="right" w:leader="dot" w:pos="9350"/>
        </w:tabs>
        <w:rPr>
          <w:rFonts w:asciiTheme="minorHAnsi" w:eastAsiaTheme="minorEastAsia" w:hAnsiTheme="minorHAnsi"/>
          <w:noProof/>
          <w:szCs w:val="22"/>
        </w:rPr>
      </w:pPr>
      <w:hyperlink w:anchor="_Toc424720281" w:history="1">
        <w:r w:rsidR="00B562BA" w:rsidRPr="00E97D75">
          <w:rPr>
            <w:rStyle w:val="Hyperlink"/>
            <w:noProof/>
          </w:rPr>
          <w:t>Table 31. Summary of Results by Step for South Carolina.</w:t>
        </w:r>
        <w:r w:rsidR="00B562BA">
          <w:rPr>
            <w:noProof/>
            <w:webHidden/>
          </w:rPr>
          <w:tab/>
        </w:r>
        <w:r w:rsidR="00B562BA">
          <w:rPr>
            <w:noProof/>
            <w:webHidden/>
          </w:rPr>
          <w:fldChar w:fldCharType="begin"/>
        </w:r>
        <w:r w:rsidR="00B562BA">
          <w:rPr>
            <w:noProof/>
            <w:webHidden/>
          </w:rPr>
          <w:instrText xml:space="preserve"> PAGEREF _Toc424720281 \h </w:instrText>
        </w:r>
        <w:r w:rsidR="00B562BA">
          <w:rPr>
            <w:noProof/>
            <w:webHidden/>
          </w:rPr>
        </w:r>
        <w:r w:rsidR="00B562BA">
          <w:rPr>
            <w:noProof/>
            <w:webHidden/>
          </w:rPr>
          <w:fldChar w:fldCharType="separate"/>
        </w:r>
        <w:r w:rsidR="00A8218A">
          <w:rPr>
            <w:noProof/>
            <w:webHidden/>
          </w:rPr>
          <w:t>73</w:t>
        </w:r>
        <w:r w:rsidR="00B562BA">
          <w:rPr>
            <w:noProof/>
            <w:webHidden/>
          </w:rPr>
          <w:fldChar w:fldCharType="end"/>
        </w:r>
      </w:hyperlink>
    </w:p>
    <w:p w14:paraId="2EBADCF1" w14:textId="78EA5495" w:rsidR="00B562BA" w:rsidRDefault="004A61E1">
      <w:pPr>
        <w:pStyle w:val="TableofFigures"/>
        <w:tabs>
          <w:tab w:val="right" w:leader="dot" w:pos="9350"/>
        </w:tabs>
        <w:rPr>
          <w:rFonts w:asciiTheme="minorHAnsi" w:eastAsiaTheme="minorEastAsia" w:hAnsiTheme="minorHAnsi"/>
          <w:noProof/>
          <w:szCs w:val="22"/>
        </w:rPr>
      </w:pPr>
      <w:hyperlink w:anchor="_Toc424720282" w:history="1">
        <w:r w:rsidR="00B562BA" w:rsidRPr="00E97D75">
          <w:rPr>
            <w:rStyle w:val="Hyperlink"/>
            <w:noProof/>
          </w:rPr>
          <w:t xml:space="preserve">Table 32. First-Year Demand-Side EE Costs (billions 2011$) </w:t>
        </w:r>
        <w:r w:rsidR="00B562BA" w:rsidRPr="00E97D75">
          <w:rPr>
            <w:rStyle w:val="Hyperlink"/>
            <w:rFonts w:cs="Times New Roman"/>
            <w:noProof/>
          </w:rPr>
          <w:t>(Continental U.S.)</w:t>
        </w:r>
        <w:r w:rsidR="00B562BA">
          <w:rPr>
            <w:noProof/>
            <w:webHidden/>
          </w:rPr>
          <w:tab/>
        </w:r>
        <w:r w:rsidR="00B562BA">
          <w:rPr>
            <w:noProof/>
            <w:webHidden/>
          </w:rPr>
          <w:fldChar w:fldCharType="begin"/>
        </w:r>
        <w:r w:rsidR="00B562BA">
          <w:rPr>
            <w:noProof/>
            <w:webHidden/>
          </w:rPr>
          <w:instrText xml:space="preserve"> PAGEREF _Toc424720282 \h </w:instrText>
        </w:r>
        <w:r w:rsidR="00B562BA">
          <w:rPr>
            <w:noProof/>
            <w:webHidden/>
          </w:rPr>
        </w:r>
        <w:r w:rsidR="00B562BA">
          <w:rPr>
            <w:noProof/>
            <w:webHidden/>
          </w:rPr>
          <w:fldChar w:fldCharType="separate"/>
        </w:r>
        <w:r w:rsidR="00A8218A">
          <w:rPr>
            <w:noProof/>
            <w:webHidden/>
          </w:rPr>
          <w:t>74</w:t>
        </w:r>
        <w:r w:rsidR="00B562BA">
          <w:rPr>
            <w:noProof/>
            <w:webHidden/>
          </w:rPr>
          <w:fldChar w:fldCharType="end"/>
        </w:r>
      </w:hyperlink>
    </w:p>
    <w:p w14:paraId="51BAD5D4" w14:textId="50BBDB7A" w:rsidR="00B562BA" w:rsidRDefault="004A61E1">
      <w:pPr>
        <w:pStyle w:val="TableofFigures"/>
        <w:tabs>
          <w:tab w:val="right" w:leader="dot" w:pos="9350"/>
        </w:tabs>
        <w:rPr>
          <w:rFonts w:asciiTheme="minorHAnsi" w:eastAsiaTheme="minorEastAsia" w:hAnsiTheme="minorHAnsi"/>
          <w:noProof/>
          <w:szCs w:val="22"/>
        </w:rPr>
      </w:pPr>
      <w:hyperlink w:anchor="_Toc424720283" w:history="1">
        <w:r w:rsidR="00B562BA" w:rsidRPr="00E97D75">
          <w:rPr>
            <w:rStyle w:val="Hyperlink"/>
            <w:noProof/>
          </w:rPr>
          <w:t>Table 33. Annualized Demand-Side EE Costs (3% discount rate, billions 2011$) (Continental U.S.)</w:t>
        </w:r>
        <w:r w:rsidR="00B562BA">
          <w:rPr>
            <w:noProof/>
            <w:webHidden/>
          </w:rPr>
          <w:tab/>
        </w:r>
        <w:r w:rsidR="00B562BA">
          <w:rPr>
            <w:noProof/>
            <w:webHidden/>
          </w:rPr>
          <w:fldChar w:fldCharType="begin"/>
        </w:r>
        <w:r w:rsidR="00B562BA">
          <w:rPr>
            <w:noProof/>
            <w:webHidden/>
          </w:rPr>
          <w:instrText xml:space="preserve"> PAGEREF _Toc424720283 \h </w:instrText>
        </w:r>
        <w:r w:rsidR="00B562BA">
          <w:rPr>
            <w:noProof/>
            <w:webHidden/>
          </w:rPr>
        </w:r>
        <w:r w:rsidR="00B562BA">
          <w:rPr>
            <w:noProof/>
            <w:webHidden/>
          </w:rPr>
          <w:fldChar w:fldCharType="separate"/>
        </w:r>
        <w:r w:rsidR="00A8218A">
          <w:rPr>
            <w:noProof/>
            <w:webHidden/>
          </w:rPr>
          <w:t>74</w:t>
        </w:r>
        <w:r w:rsidR="00B562BA">
          <w:rPr>
            <w:noProof/>
            <w:webHidden/>
          </w:rPr>
          <w:fldChar w:fldCharType="end"/>
        </w:r>
      </w:hyperlink>
    </w:p>
    <w:p w14:paraId="07A9FC69" w14:textId="51DFC131" w:rsidR="00B562BA" w:rsidRDefault="004A61E1">
      <w:pPr>
        <w:pStyle w:val="TableofFigures"/>
        <w:tabs>
          <w:tab w:val="right" w:leader="dot" w:pos="9350"/>
        </w:tabs>
        <w:rPr>
          <w:rFonts w:asciiTheme="minorHAnsi" w:eastAsiaTheme="minorEastAsia" w:hAnsiTheme="minorHAnsi"/>
          <w:noProof/>
          <w:szCs w:val="22"/>
        </w:rPr>
      </w:pPr>
      <w:hyperlink w:anchor="_Toc424720284" w:history="1">
        <w:r w:rsidR="00B562BA" w:rsidRPr="00E97D75">
          <w:rPr>
            <w:rStyle w:val="Hyperlink"/>
            <w:noProof/>
          </w:rPr>
          <w:t>Table 34. Levelized Cost of Saved Energy (3% discount rate, 2011$/MWh) (Continental U.S.)</w:t>
        </w:r>
        <w:r w:rsidR="00B562BA">
          <w:rPr>
            <w:noProof/>
            <w:webHidden/>
          </w:rPr>
          <w:tab/>
        </w:r>
        <w:r w:rsidR="00B562BA">
          <w:rPr>
            <w:noProof/>
            <w:webHidden/>
          </w:rPr>
          <w:fldChar w:fldCharType="begin"/>
        </w:r>
        <w:r w:rsidR="00B562BA">
          <w:rPr>
            <w:noProof/>
            <w:webHidden/>
          </w:rPr>
          <w:instrText xml:space="preserve"> PAGEREF _Toc424720284 \h </w:instrText>
        </w:r>
        <w:r w:rsidR="00B562BA">
          <w:rPr>
            <w:noProof/>
            <w:webHidden/>
          </w:rPr>
        </w:r>
        <w:r w:rsidR="00B562BA">
          <w:rPr>
            <w:noProof/>
            <w:webHidden/>
          </w:rPr>
          <w:fldChar w:fldCharType="separate"/>
        </w:r>
        <w:r w:rsidR="00A8218A">
          <w:rPr>
            <w:noProof/>
            <w:webHidden/>
          </w:rPr>
          <w:t>74</w:t>
        </w:r>
        <w:r w:rsidR="00B562BA">
          <w:rPr>
            <w:noProof/>
            <w:webHidden/>
          </w:rPr>
          <w:fldChar w:fldCharType="end"/>
        </w:r>
      </w:hyperlink>
    </w:p>
    <w:p w14:paraId="1F450C2F" w14:textId="100367E5" w:rsidR="00B562BA" w:rsidRDefault="004A61E1">
      <w:pPr>
        <w:pStyle w:val="TableofFigures"/>
        <w:tabs>
          <w:tab w:val="right" w:leader="dot" w:pos="9350"/>
        </w:tabs>
        <w:rPr>
          <w:rFonts w:asciiTheme="minorHAnsi" w:eastAsiaTheme="minorEastAsia" w:hAnsiTheme="minorHAnsi"/>
          <w:noProof/>
          <w:szCs w:val="22"/>
        </w:rPr>
      </w:pPr>
      <w:hyperlink w:anchor="_Toc424720285" w:history="1">
        <w:r w:rsidR="00B562BA" w:rsidRPr="00E97D75">
          <w:rPr>
            <w:rStyle w:val="Hyperlink"/>
            <w:noProof/>
          </w:rPr>
          <w:t>Table 35. Annual Growth Rates of Demand-Side EE Program Spending – Historic and Demand-Side EE Plan Scenario</w:t>
        </w:r>
        <w:r w:rsidR="00B562BA">
          <w:rPr>
            <w:noProof/>
            <w:webHidden/>
          </w:rPr>
          <w:tab/>
        </w:r>
        <w:r w:rsidR="00B562BA">
          <w:rPr>
            <w:noProof/>
            <w:webHidden/>
          </w:rPr>
          <w:fldChar w:fldCharType="begin"/>
        </w:r>
        <w:r w:rsidR="00B562BA">
          <w:rPr>
            <w:noProof/>
            <w:webHidden/>
          </w:rPr>
          <w:instrText xml:space="preserve"> PAGEREF _Toc424720285 \h </w:instrText>
        </w:r>
        <w:r w:rsidR="00B562BA">
          <w:rPr>
            <w:noProof/>
            <w:webHidden/>
          </w:rPr>
        </w:r>
        <w:r w:rsidR="00B562BA">
          <w:rPr>
            <w:noProof/>
            <w:webHidden/>
          </w:rPr>
          <w:fldChar w:fldCharType="separate"/>
        </w:r>
        <w:r w:rsidR="00A8218A">
          <w:rPr>
            <w:noProof/>
            <w:webHidden/>
          </w:rPr>
          <w:t>75</w:t>
        </w:r>
        <w:r w:rsidR="00B562BA">
          <w:rPr>
            <w:noProof/>
            <w:webHidden/>
          </w:rPr>
          <w:fldChar w:fldCharType="end"/>
        </w:r>
      </w:hyperlink>
    </w:p>
    <w:p w14:paraId="0FCADCD6" w14:textId="4977D3AF" w:rsidR="003F5688" w:rsidRDefault="00CA6576" w:rsidP="0091274B">
      <w:r>
        <w:fldChar w:fldCharType="end"/>
      </w:r>
    </w:p>
    <w:p w14:paraId="346FA606" w14:textId="77777777" w:rsidR="003F5688" w:rsidRPr="003F5688" w:rsidRDefault="003F5688" w:rsidP="003F5688"/>
    <w:p w14:paraId="0B55D0B5" w14:textId="3A40FC30" w:rsidR="003F5688" w:rsidRPr="003F5688" w:rsidRDefault="003F5688" w:rsidP="003F5688"/>
    <w:p w14:paraId="6A178644" w14:textId="2386CDD3" w:rsidR="003F5688" w:rsidRDefault="003F5688" w:rsidP="003F5688"/>
    <w:p w14:paraId="0592D971" w14:textId="77777777" w:rsidR="00003324" w:rsidRPr="003F5688" w:rsidRDefault="00003324" w:rsidP="003F5688">
      <w:pPr>
        <w:sectPr w:rsidR="00003324" w:rsidRPr="003F5688" w:rsidSect="0097443E">
          <w:headerReference w:type="even" r:id="rId15"/>
          <w:headerReference w:type="default" r:id="rId16"/>
          <w:footerReference w:type="even" r:id="rId17"/>
          <w:footerReference w:type="default" r:id="rId18"/>
          <w:headerReference w:type="first" r:id="rId19"/>
          <w:footerReference w:type="first" r:id="rId20"/>
          <w:endnotePr>
            <w:numFmt w:val="lowerLetter"/>
            <w:numRestart w:val="eachSect"/>
          </w:endnotePr>
          <w:pgSz w:w="12240" w:h="15840" w:code="1"/>
          <w:pgMar w:top="1440" w:right="1440" w:bottom="1440" w:left="1440" w:header="720" w:footer="720" w:gutter="0"/>
          <w:pgNumType w:fmt="lowerRoman"/>
          <w:cols w:space="720"/>
          <w:titlePg/>
          <w:docGrid w:linePitch="360"/>
        </w:sectPr>
      </w:pPr>
    </w:p>
    <w:p w14:paraId="4FEBAA75" w14:textId="4BEBBD22" w:rsidR="00810FAC" w:rsidRDefault="00810FAC" w:rsidP="004448A6">
      <w:pPr>
        <w:pStyle w:val="Heading1"/>
      </w:pPr>
      <w:bookmarkStart w:id="5" w:name="_Toc424675652"/>
      <w:bookmarkStart w:id="6" w:name="_Toc424721526"/>
      <w:r w:rsidRPr="00D33008">
        <w:lastRenderedPageBreak/>
        <w:t>Introduction</w:t>
      </w:r>
      <w:bookmarkEnd w:id="5"/>
      <w:bookmarkEnd w:id="6"/>
    </w:p>
    <w:p w14:paraId="1EF72C5D" w14:textId="77777777" w:rsidR="00810FAC" w:rsidRDefault="00810FAC" w:rsidP="00810FAC">
      <w:pPr>
        <w:pStyle w:val="CH5BodyText"/>
      </w:pPr>
      <w:r w:rsidRPr="00D33008">
        <w:t xml:space="preserve">This </w:t>
      </w:r>
      <w:r>
        <w:t xml:space="preserve">chapter </w:t>
      </w:r>
      <w:r w:rsidRPr="00D33008">
        <w:t xml:space="preserve">provides information on demand-side energy efficiency (EE) as </w:t>
      </w:r>
      <w:r>
        <w:t xml:space="preserve">a </w:t>
      </w:r>
      <w:r w:rsidRPr="00D33008">
        <w:t xml:space="preserve">measure </w:t>
      </w:r>
      <w:r>
        <w:t xml:space="preserve">for </w:t>
      </w:r>
      <w:r w:rsidRPr="00D33008">
        <w:t>reducing carbon dioxide (CO</w:t>
      </w:r>
      <w:r w:rsidRPr="00D33008">
        <w:rPr>
          <w:vertAlign w:val="subscript"/>
        </w:rPr>
        <w:t>2</w:t>
      </w:r>
      <w:r w:rsidRPr="00D33008">
        <w:t xml:space="preserve">) emissions from fossil fuel-fired electric generating units (EGUs). Specifically, this </w:t>
      </w:r>
      <w:r>
        <w:t>chapter supports the discussion of demand-side EE as a non-BSER compliance measure in section V, “The Best System of Emission Reduction (BSER) and Associated Building Blocks,” and section VIII, “State Plans,” of the preamble. In addition, support is provided for the magnitude, timing, and cost of demand-side EE measures included in the illustrative demand-side EE plan scenario developed as a basis for the Regulatory Impact Analysis (RIA) and related discussion in section X, “Impacts of this Action,” of the preamble.</w:t>
      </w:r>
    </w:p>
    <w:p w14:paraId="0B6DA7CE" w14:textId="77777777" w:rsidR="00810FAC" w:rsidRDefault="00810FAC" w:rsidP="00810FAC">
      <w:pPr>
        <w:pStyle w:val="CH5BodyText"/>
      </w:pPr>
      <w:r w:rsidRPr="00D33008">
        <w:t>Th</w:t>
      </w:r>
      <w:r>
        <w:t xml:space="preserve">e chapter </w:t>
      </w:r>
      <w:r w:rsidRPr="00D33008">
        <w:t>is organized as follows:</w:t>
      </w:r>
    </w:p>
    <w:p w14:paraId="08CB5046" w14:textId="2DC3AC47" w:rsidR="00810FAC" w:rsidRPr="003F01E1" w:rsidRDefault="00810FAC" w:rsidP="00E4432E">
      <w:pPr>
        <w:pStyle w:val="CH5BodyText"/>
      </w:pPr>
      <w:r>
        <w:t xml:space="preserve">2. </w:t>
      </w:r>
      <w:r w:rsidRPr="003F01E1">
        <w:t>Background</w:t>
      </w:r>
    </w:p>
    <w:p w14:paraId="7AD33703" w14:textId="46B4DAFC" w:rsidR="00810FAC" w:rsidRPr="003F01E1" w:rsidRDefault="00810FAC" w:rsidP="00E4432E">
      <w:pPr>
        <w:pStyle w:val="CH5BodyText"/>
      </w:pPr>
      <w:r w:rsidRPr="003F01E1">
        <w:t>3</w:t>
      </w:r>
      <w:r>
        <w:t>.</w:t>
      </w:r>
      <w:r w:rsidRPr="003F01E1">
        <w:t xml:space="preserve"> History of EE Policies</w:t>
      </w:r>
      <w:r>
        <w:t xml:space="preserve"> in the United States</w:t>
      </w:r>
    </w:p>
    <w:p w14:paraId="13F26707" w14:textId="2341E26B" w:rsidR="00810FAC" w:rsidRPr="003F01E1" w:rsidRDefault="00810FAC" w:rsidP="00E4432E">
      <w:pPr>
        <w:pStyle w:val="CH5BodyText"/>
      </w:pPr>
      <w:r w:rsidRPr="003F01E1">
        <w:t>4</w:t>
      </w:r>
      <w:r>
        <w:t>.</w:t>
      </w:r>
      <w:r w:rsidRPr="003F01E1">
        <w:t xml:space="preserve"> EE Programs</w:t>
      </w:r>
    </w:p>
    <w:p w14:paraId="5567319D" w14:textId="3197F9CA" w:rsidR="00810FAC" w:rsidRPr="003F01E1" w:rsidRDefault="00810FAC" w:rsidP="00E4432E">
      <w:pPr>
        <w:pStyle w:val="CH5BodyText"/>
      </w:pPr>
      <w:r w:rsidRPr="003F01E1">
        <w:t>5</w:t>
      </w:r>
      <w:r>
        <w:t>.</w:t>
      </w:r>
      <w:r w:rsidRPr="003F01E1">
        <w:t xml:space="preserve"> Other EE Strategies</w:t>
      </w:r>
    </w:p>
    <w:p w14:paraId="72E7251B" w14:textId="2E5688D6" w:rsidR="00810FAC" w:rsidRPr="003F01E1" w:rsidRDefault="00810FAC" w:rsidP="00E4432E">
      <w:pPr>
        <w:pStyle w:val="CH5BodyText"/>
      </w:pPr>
      <w:r>
        <w:t>6. Utility Business Models</w:t>
      </w:r>
    </w:p>
    <w:p w14:paraId="28876B2E" w14:textId="48CC3409" w:rsidR="00810FAC" w:rsidRPr="003F01E1" w:rsidRDefault="00810FAC" w:rsidP="00E4432E">
      <w:pPr>
        <w:pStyle w:val="CH5BodyText"/>
      </w:pPr>
      <w:r>
        <w:t xml:space="preserve">7. </w:t>
      </w:r>
      <w:r w:rsidRPr="003F01E1">
        <w:t xml:space="preserve">Experience with </w:t>
      </w:r>
      <w:r>
        <w:t xml:space="preserve">EE </w:t>
      </w:r>
      <w:r w:rsidRPr="003F01E1">
        <w:t>Certificates</w:t>
      </w:r>
    </w:p>
    <w:p w14:paraId="6E278C9D" w14:textId="5CF5233F" w:rsidR="00810FAC" w:rsidRPr="003F01E1" w:rsidRDefault="00810FAC" w:rsidP="00E4432E">
      <w:pPr>
        <w:pStyle w:val="CH5BodyText"/>
      </w:pPr>
      <w:r>
        <w:t xml:space="preserve">8. </w:t>
      </w:r>
      <w:r w:rsidRPr="003F01E1">
        <w:t xml:space="preserve">Demand-Side </w:t>
      </w:r>
      <w:r>
        <w:t xml:space="preserve">EE </w:t>
      </w:r>
      <w:r w:rsidRPr="003F01E1">
        <w:t>Plan Scenario: Magnitude and Timing of Savings</w:t>
      </w:r>
    </w:p>
    <w:p w14:paraId="7E4A591E" w14:textId="435609E5" w:rsidR="00810FAC" w:rsidRPr="003F01E1" w:rsidRDefault="00810FAC" w:rsidP="00E4432E">
      <w:pPr>
        <w:pStyle w:val="CH5BodyText"/>
      </w:pPr>
      <w:r>
        <w:t xml:space="preserve">9. </w:t>
      </w:r>
      <w:r w:rsidRPr="003F01E1">
        <w:t xml:space="preserve">Demand-Side </w:t>
      </w:r>
      <w:r>
        <w:t>EE</w:t>
      </w:r>
      <w:r w:rsidRPr="003F01E1">
        <w:t xml:space="preserve"> Plan Scenario: Assessment of Costs</w:t>
      </w:r>
    </w:p>
    <w:p w14:paraId="0549DE4B" w14:textId="56C66025" w:rsidR="00810FAC" w:rsidRDefault="00810FAC" w:rsidP="00E4432E">
      <w:pPr>
        <w:pStyle w:val="CH5BodyText"/>
      </w:pPr>
      <w:r>
        <w:t xml:space="preserve">10. </w:t>
      </w:r>
      <w:r w:rsidRPr="003F01E1">
        <w:t>Analysis Considerations</w:t>
      </w:r>
    </w:p>
    <w:p w14:paraId="7DE1A99A" w14:textId="1736A301" w:rsidR="00810FAC" w:rsidRDefault="00810FAC" w:rsidP="004448A6">
      <w:pPr>
        <w:pStyle w:val="CH5BodyText"/>
      </w:pPr>
      <w:r>
        <w:t>Sections 2 through 7 provide support for both the preamble sections cited above as well as background for the illustrative demand-side EE plan scenario presented in sections 8 and 9. Sections 8 and 9 provide details on the approach, inputs, calculations, and results for the magnitude and timing of savings and the assessment of associated costs for the demand-side EE plan scenario. Lastly, section 10 discusses considerations relevant to sections 8 and 9.</w:t>
      </w:r>
    </w:p>
    <w:p w14:paraId="5534684A" w14:textId="77777777" w:rsidR="00810FAC" w:rsidRPr="00D33008" w:rsidRDefault="00810FAC" w:rsidP="00810FAC">
      <w:pPr>
        <w:pStyle w:val="Heading1"/>
      </w:pPr>
      <w:bookmarkStart w:id="7" w:name="_Toc424675653"/>
      <w:bookmarkStart w:id="8" w:name="_Toc424721527"/>
      <w:r w:rsidRPr="00D33008">
        <w:t>Background</w:t>
      </w:r>
      <w:bookmarkEnd w:id="7"/>
      <w:bookmarkEnd w:id="8"/>
    </w:p>
    <w:p w14:paraId="5691B5B9" w14:textId="12763666" w:rsidR="00810FAC" w:rsidRPr="00D33008" w:rsidRDefault="00810FAC" w:rsidP="00810FAC">
      <w:pPr>
        <w:pStyle w:val="CH5BodyText"/>
      </w:pPr>
      <w:r>
        <w:t>D</w:t>
      </w:r>
      <w:r w:rsidRPr="00D33008">
        <w:t xml:space="preserve">emand-side </w:t>
      </w:r>
      <w:r>
        <w:t xml:space="preserve">EE </w:t>
      </w:r>
      <w:r w:rsidRPr="00D33008">
        <w:t xml:space="preserve">policies and programmatic efforts have existed for decades and are now used in all 50 states. These strategies are intended to help states achieve energy savings goals, </w:t>
      </w:r>
      <w:r w:rsidRPr="00D33008">
        <w:lastRenderedPageBreak/>
        <w:t>reduce the environmental impacts (including CO</w:t>
      </w:r>
      <w:r w:rsidRPr="00D33008">
        <w:rPr>
          <w:vertAlign w:val="subscript"/>
        </w:rPr>
        <w:t>2</w:t>
      </w:r>
      <w:r w:rsidRPr="00D33008">
        <w:t xml:space="preserve"> emissions) of meeting energy service needs, save energy and money for consumers, and provide a significant resource for meeting power system capacity requirements</w:t>
      </w:r>
      <w:r>
        <w:t xml:space="preserve"> (EPA 2015)</w:t>
      </w:r>
      <w:r w:rsidRPr="00D33008">
        <w:t xml:space="preserve">. EE policies currently in place are </w:t>
      </w:r>
      <w:r w:rsidR="00275F68">
        <w:t xml:space="preserve">generally </w:t>
      </w:r>
      <w:r w:rsidRPr="00D33008">
        <w:t>considered by states to be cost-effective strategies for contributing to these policy objectives.</w:t>
      </w:r>
      <w:r w:rsidRPr="00D33008">
        <w:rPr>
          <w:rStyle w:val="FootnoteReference"/>
        </w:rPr>
        <w:footnoteReference w:id="1"/>
      </w:r>
      <w:r w:rsidRPr="00D33008">
        <w:t xml:space="preserve"> Moreover, states – through their utilities, primarily – have been rapidly increasing their funding of EE programs in recent years, more than tripling budgets in the five years from 2006 to 2011, from $1.6 billion to $5.9 billion</w:t>
      </w:r>
      <w:r>
        <w:t xml:space="preserve"> (ACEEE 2014c)</w:t>
      </w:r>
      <w:r w:rsidRPr="00D33008">
        <w:t xml:space="preserve">. In 2012, the </w:t>
      </w:r>
      <w:r w:rsidR="00275F68">
        <w:t xml:space="preserve">utility-reported </w:t>
      </w:r>
      <w:r w:rsidRPr="00D33008">
        <w:t>cumulative impacts of these programs represented a 3.7% reduction in national electricity demand</w:t>
      </w:r>
      <w:r>
        <w:t xml:space="preserve"> (EIA 2012a)</w:t>
      </w:r>
      <w:r w:rsidRPr="00D33008">
        <w:t>. And, EE spending is projected to continue to grow at a substantial rate. A recent study by Lawrence Berkeley National Laboratory (LBNL) projects EE program spending to reach $8.1 billion to $12.2 billion (“Medium Case” and “High Case,” respectively)</w:t>
      </w:r>
      <w:r>
        <w:t xml:space="preserve"> </w:t>
      </w:r>
      <w:r w:rsidRPr="00D33008">
        <w:t xml:space="preserve">in 2025 </w:t>
      </w:r>
      <w:r>
        <w:t>(</w:t>
      </w:r>
      <w:r w:rsidR="00CC2BC1">
        <w:t>Barbose et al. 2013</w:t>
      </w:r>
      <w:r>
        <w:t>)</w:t>
      </w:r>
      <w:r w:rsidRPr="00D33008">
        <w:t xml:space="preserve">. </w:t>
      </w:r>
    </w:p>
    <w:p w14:paraId="2EF5680E" w14:textId="77777777" w:rsidR="00810FAC" w:rsidRPr="00BA6BCA" w:rsidRDefault="00810FAC" w:rsidP="00810FAC">
      <w:pPr>
        <w:pStyle w:val="Heading2"/>
      </w:pPr>
      <w:bookmarkStart w:id="9" w:name="_Toc424675654"/>
      <w:bookmarkStart w:id="10" w:name="_Toc424721528"/>
      <w:r w:rsidRPr="00BA6BCA">
        <w:t>EE Technologies and Practices</w:t>
      </w:r>
      <w:bookmarkEnd w:id="9"/>
      <w:bookmarkEnd w:id="10"/>
    </w:p>
    <w:p w14:paraId="17A59F81" w14:textId="4F3BD674" w:rsidR="00810FAC" w:rsidRPr="00D33008" w:rsidRDefault="00810FAC" w:rsidP="00810FAC">
      <w:pPr>
        <w:pStyle w:val="CH5BodyText"/>
      </w:pPr>
      <w:r>
        <w:t xml:space="preserve">EE </w:t>
      </w:r>
      <w:r w:rsidRPr="00D33008">
        <w:t xml:space="preserve">is using less energy to provide the same or greater level of service. Demand-side </w:t>
      </w:r>
      <w:r>
        <w:t>EE</w:t>
      </w:r>
      <w:r w:rsidRPr="00D33008">
        <w:t xml:space="preserve"> refers to an extensive array of technologies, practices and measures that are applied throughout all sectors of the economy to reduce energy demand while providing the same, </w:t>
      </w:r>
      <w:r w:rsidR="00275F68">
        <w:t xml:space="preserve">or </w:t>
      </w:r>
      <w:r w:rsidRPr="00D33008">
        <w:t>better, level and quality of service. Utilities employ a</w:t>
      </w:r>
      <w:r>
        <w:t>n</w:t>
      </w:r>
      <w:r w:rsidRPr="00D33008">
        <w:t xml:space="preserve"> array of strategies in implementing </w:t>
      </w:r>
      <w:r>
        <w:t xml:space="preserve">EE </w:t>
      </w:r>
      <w:r w:rsidRPr="00D33008">
        <w:t xml:space="preserve">programs, these include financial incentives such as rebates and loans, technical services such as audits and retrofits, and educational campaigns about the benefits of </w:t>
      </w:r>
      <w:r>
        <w:t xml:space="preserve">EE </w:t>
      </w:r>
      <w:r w:rsidRPr="00D33008">
        <w:t xml:space="preserve">improvements. The purpose of these EE programs is to induce EE investments and practices that would not otherwise occur </w:t>
      </w:r>
      <w:r w:rsidR="00275F68">
        <w:t xml:space="preserve">due to </w:t>
      </w:r>
      <w:r w:rsidRPr="00D33008">
        <w:t xml:space="preserve">market failures and behavioral impediments. In the residential sector, examples of EE activities include the purchase of more efficient products and equipment (e.g., ENERGY STAR labeled), the upgrading of insulation in attics and walls, sealing of air leaks, and undertaking home energy audits leading to customized whole home retrofits. Opportunities for cost-effective EE in commercial buildings </w:t>
      </w:r>
      <w:r w:rsidR="00442527">
        <w:t xml:space="preserve">can </w:t>
      </w:r>
      <w:r w:rsidRPr="00D33008">
        <w:t>include optimization of heating, ventilation, and air conditioning (HVAC) systems, upgrades of windows, and use of more efficient office equipment at replacement. In the industrial sector key EE strategies include motor upgrades and maintenance programs, recovery of waste heat streams, and optimization of processes through modern instrumentation and controls systems.</w:t>
      </w:r>
    </w:p>
    <w:p w14:paraId="47E4D71A" w14:textId="69A5E14C" w:rsidR="00810FAC" w:rsidRPr="00D33008" w:rsidRDefault="00810FAC" w:rsidP="00810FAC">
      <w:pPr>
        <w:pStyle w:val="CH5BodyText"/>
      </w:pPr>
      <w:r w:rsidRPr="00D33008">
        <w:lastRenderedPageBreak/>
        <w:t xml:space="preserve">The opportunity presented for economic investment in EE is dynamic, growing over time as technologies and practices advance, as populations grow, and as investment occurs in the construction of new homes, buildings, and industrial facilities. After decades of experience implementing policies to accelerate investment in cost-effective </w:t>
      </w:r>
      <w:r>
        <w:t>EE</w:t>
      </w:r>
      <w:r w:rsidRPr="00D33008">
        <w:t>, states are finding renewed opportunities as they develop more sophisticated and effective strategies, evolving from a focus on individual end-uses and products to whole-building and systems-based strategies that account for the interactions between the many energy end-uses in buildings and industry</w:t>
      </w:r>
      <w:r>
        <w:t xml:space="preserve"> (ACEEE 2013)</w:t>
      </w:r>
      <w:r w:rsidRPr="00D33008">
        <w:t>. As will be discussed, the experience in the U.S. has been that</w:t>
      </w:r>
      <w:r>
        <w:t>,</w:t>
      </w:r>
      <w:r w:rsidRPr="00D33008">
        <w:t xml:space="preserve"> on balance, a persistent and large potential for achievable and cost-effective EE </w:t>
      </w:r>
      <w:r w:rsidR="00442527">
        <w:t xml:space="preserve">is expected to </w:t>
      </w:r>
      <w:r w:rsidRPr="00D33008">
        <w:t>remain even as the impact of past and ongoing efforts have accumulated.</w:t>
      </w:r>
    </w:p>
    <w:p w14:paraId="311CE5F9" w14:textId="77777777" w:rsidR="00810FAC" w:rsidRPr="00D33008" w:rsidRDefault="00810FAC" w:rsidP="00810FAC">
      <w:pPr>
        <w:pStyle w:val="Heading2"/>
      </w:pPr>
      <w:bookmarkStart w:id="11" w:name="_Toc424675655"/>
      <w:bookmarkStart w:id="12" w:name="_Toc424721529"/>
      <w:r w:rsidRPr="00D33008">
        <w:t xml:space="preserve">Barriers to </w:t>
      </w:r>
      <w:r>
        <w:t>EE</w:t>
      </w:r>
      <w:r w:rsidRPr="00D33008">
        <w:t xml:space="preserve"> Investment</w:t>
      </w:r>
      <w:bookmarkEnd w:id="11"/>
      <w:bookmarkEnd w:id="12"/>
    </w:p>
    <w:p w14:paraId="3CAF6004" w14:textId="6B51427A" w:rsidR="00810FAC" w:rsidRPr="00D33008" w:rsidRDefault="00810FAC" w:rsidP="00810FAC">
      <w:pPr>
        <w:pStyle w:val="CH5BodyText"/>
      </w:pPr>
      <w:r w:rsidRPr="00D33008">
        <w:t xml:space="preserve">Despite the persistent and large potential for electricity savings through investment in EE technologies and practices, market failures, as well as non-market </w:t>
      </w:r>
      <w:r>
        <w:t>barriers and behavioral impediments</w:t>
      </w:r>
      <w:r w:rsidRPr="00D33008">
        <w:t xml:space="preserve">, limit the realization of the many benefits of these investments. Several market failures that lead to inefficiencies in </w:t>
      </w:r>
      <w:r w:rsidR="00442527">
        <w:t xml:space="preserve">the investment in </w:t>
      </w:r>
      <w:r w:rsidRPr="00D33008">
        <w:t xml:space="preserve">energy </w:t>
      </w:r>
      <w:r w:rsidR="00442527">
        <w:t xml:space="preserve">efficiency </w:t>
      </w:r>
      <w:r w:rsidRPr="00D33008">
        <w:t xml:space="preserve">are </w:t>
      </w:r>
      <w:r>
        <w:t>widely</w:t>
      </w:r>
      <w:r w:rsidRPr="00D33008">
        <w:t xml:space="preserve"> recognized by analysts and practitioners, and are discussed extensively in the literature</w:t>
      </w:r>
      <w:r>
        <w:t xml:space="preserve"> (Levine et al. 1995; Gillingham et al. 2009;</w:t>
      </w:r>
      <w:r w:rsidR="001A7D56">
        <w:t>Gerarden et al. 2015</w:t>
      </w:r>
      <w:r>
        <w:t>)</w:t>
      </w:r>
      <w:r w:rsidRPr="00D33008">
        <w:t>.</w:t>
      </w:r>
      <w:r>
        <w:t xml:space="preserve"> </w:t>
      </w:r>
      <w:r w:rsidRPr="005476DC">
        <w:t xml:space="preserve">In the presence of market failures, users of electricity, or those making </w:t>
      </w:r>
      <w:r>
        <w:t>EE</w:t>
      </w:r>
      <w:r w:rsidRPr="005476DC">
        <w:t xml:space="preserve"> investments, face prices or incentives that prevent them from weighing the </w:t>
      </w:r>
      <w:r>
        <w:t xml:space="preserve">full </w:t>
      </w:r>
      <w:r w:rsidRPr="005476DC">
        <w:t xml:space="preserve">social benefits and costs of their investments and thus under-invest in approaches to reduce electricity consumption. The behavioral impediments </w:t>
      </w:r>
      <w:r w:rsidR="00442527">
        <w:t xml:space="preserve">provide another </w:t>
      </w:r>
      <w:r w:rsidRPr="005476DC">
        <w:t>expla</w:t>
      </w:r>
      <w:r w:rsidR="00442527">
        <w:t>nation for</w:t>
      </w:r>
      <w:r w:rsidRPr="005476DC">
        <w:t xml:space="preserve"> why individuals do not always make </w:t>
      </w:r>
      <w:r>
        <w:t>EE</w:t>
      </w:r>
      <w:r w:rsidRPr="005476DC">
        <w:t xml:space="preserve"> investments that are seemingly in their own best interest</w:t>
      </w:r>
      <w:r>
        <w:t xml:space="preserve">. </w:t>
      </w:r>
      <w:r w:rsidRPr="00D33008">
        <w:t>Some of the most common examples of these market failures include:</w:t>
      </w:r>
      <w:r>
        <w:t xml:space="preserve"> </w:t>
      </w:r>
    </w:p>
    <w:p w14:paraId="2F035C23" w14:textId="77777777" w:rsidR="00810FAC" w:rsidRPr="00D33008" w:rsidRDefault="00810FAC" w:rsidP="00810FAC">
      <w:pPr>
        <w:pStyle w:val="CH5BulletList"/>
      </w:pPr>
      <w:r w:rsidRPr="00D33008">
        <w:rPr>
          <w:i/>
        </w:rPr>
        <w:t xml:space="preserve">Pollution externalities. </w:t>
      </w:r>
      <w:r>
        <w:t>Fossil e</w:t>
      </w:r>
      <w:r w:rsidRPr="00D33008">
        <w:t>nergy consumption is associated with negative externalities, such as emissions of CO</w:t>
      </w:r>
      <w:r w:rsidRPr="00D33008">
        <w:rPr>
          <w:vertAlign w:val="subscript"/>
        </w:rPr>
        <w:t>2</w:t>
      </w:r>
      <w:r w:rsidRPr="00D33008">
        <w:t>, SO</w:t>
      </w:r>
      <w:r w:rsidRPr="00D33008">
        <w:rPr>
          <w:vertAlign w:val="subscript"/>
        </w:rPr>
        <w:t>2</w:t>
      </w:r>
      <w:r w:rsidRPr="00D33008">
        <w:t>, and NO</w:t>
      </w:r>
      <w:r w:rsidRPr="00D33008">
        <w:rPr>
          <w:vertAlign w:val="subscript"/>
        </w:rPr>
        <w:t>x</w:t>
      </w:r>
      <w:r w:rsidRPr="00D33008">
        <w:t xml:space="preserve"> that cause human health and environmental damages. Energy prices that do not correctly reflect the externalities </w:t>
      </w:r>
      <w:r>
        <w:t xml:space="preserve">associated with energy use would </w:t>
      </w:r>
      <w:r w:rsidRPr="00D33008">
        <w:t xml:space="preserve">lead to investments in </w:t>
      </w:r>
      <w:r>
        <w:t>EE</w:t>
      </w:r>
      <w:r w:rsidRPr="00D33008">
        <w:t xml:space="preserve"> below the socially optimal levels. </w:t>
      </w:r>
    </w:p>
    <w:p w14:paraId="2EF266A9" w14:textId="77777777" w:rsidR="00810FAC" w:rsidRPr="00D33008" w:rsidRDefault="00810FAC" w:rsidP="00810FAC">
      <w:pPr>
        <w:pStyle w:val="CH5BulletList"/>
        <w:rPr>
          <w:i/>
        </w:rPr>
      </w:pPr>
      <w:r w:rsidRPr="00D33008">
        <w:rPr>
          <w:i/>
        </w:rPr>
        <w:t xml:space="preserve">Imperfect information. </w:t>
      </w:r>
      <w:r w:rsidRPr="00D33008">
        <w:t xml:space="preserve">Energy users often lack accurate information about energy savings and other attributes of energy efficient products or practices to understand the costs and benefits of EE investments. </w:t>
      </w:r>
    </w:p>
    <w:p w14:paraId="245920DC" w14:textId="169920D2" w:rsidR="00810FAC" w:rsidRPr="00D33008" w:rsidRDefault="00810FAC" w:rsidP="00810FAC">
      <w:pPr>
        <w:pStyle w:val="CH5BulletList"/>
      </w:pPr>
      <w:r w:rsidRPr="00D33008">
        <w:rPr>
          <w:i/>
        </w:rPr>
        <w:lastRenderedPageBreak/>
        <w:t xml:space="preserve">Split incentives (or the “principal-agent problem”). </w:t>
      </w:r>
      <w:r w:rsidRPr="00D33008">
        <w:t>Incentives of individuals who make EE investment decisions are not always aligned with incentives of those who use and pay for energy. Examples include misalignment between landlords and tenants, between builders and homeowners</w:t>
      </w:r>
      <w:r>
        <w:t xml:space="preserve">, and </w:t>
      </w:r>
      <w:r w:rsidRPr="00D33008">
        <w:t>within organizations and institutions</w:t>
      </w:r>
      <w:r>
        <w:t xml:space="preserve"> (DeCanio 1998; McKinsey 2007)</w:t>
      </w:r>
      <w:r w:rsidRPr="00D33008">
        <w:t>.</w:t>
      </w:r>
    </w:p>
    <w:p w14:paraId="0A4E6BFF" w14:textId="77777777" w:rsidR="00810FAC" w:rsidRPr="00D33008" w:rsidRDefault="00810FAC" w:rsidP="00810FAC">
      <w:pPr>
        <w:pStyle w:val="CH5BulletList"/>
      </w:pPr>
      <w:r w:rsidRPr="00D33008">
        <w:rPr>
          <w:i/>
        </w:rPr>
        <w:t>Credit constraints</w:t>
      </w:r>
      <w:r w:rsidRPr="00D33008">
        <w:t xml:space="preserve">. Limited access to credit may prevent some consumers, especially low-income consumers, from making cost-effective EE improvement </w:t>
      </w:r>
      <w:r>
        <w:t xml:space="preserve">with </w:t>
      </w:r>
      <w:r w:rsidRPr="00D33008">
        <w:t xml:space="preserve">higher upfront cost. </w:t>
      </w:r>
    </w:p>
    <w:p w14:paraId="7D91C177" w14:textId="0B8CC540" w:rsidR="00810FAC" w:rsidRPr="00D33008" w:rsidRDefault="00810FAC" w:rsidP="00810FAC">
      <w:pPr>
        <w:pStyle w:val="CH5BulletList"/>
      </w:pPr>
      <w:r w:rsidRPr="00D33008">
        <w:rPr>
          <w:i/>
        </w:rPr>
        <w:t xml:space="preserve">Under-provision of research and development (R&amp;D). </w:t>
      </w:r>
      <w:r w:rsidRPr="00D33008">
        <w:t>Because of the public good nature of knowledge, firms involved in technology development may be less willing to invest in R&amp;D, leading to sub-optimal levels of EE investments from a social perspective</w:t>
      </w:r>
      <w:r>
        <w:t xml:space="preserve"> (Jaffe et al. 2003)</w:t>
      </w:r>
      <w:r w:rsidRPr="00D33008">
        <w:t>.</w:t>
      </w:r>
    </w:p>
    <w:p w14:paraId="5BB7FC66" w14:textId="157065FD" w:rsidR="00810FAC" w:rsidRPr="00D33008" w:rsidRDefault="00810FAC" w:rsidP="00810FAC">
      <w:pPr>
        <w:pStyle w:val="CH5BulletList"/>
      </w:pPr>
      <w:r w:rsidRPr="00D33008">
        <w:rPr>
          <w:i/>
        </w:rPr>
        <w:t xml:space="preserve">Supply market imperfections. </w:t>
      </w:r>
      <w:r w:rsidRPr="00D33008">
        <w:t>Market</w:t>
      </w:r>
      <w:r w:rsidR="00442527">
        <w:t>s</w:t>
      </w:r>
      <w:r w:rsidRPr="00D33008">
        <w:t xml:space="preserve"> for energy efficient products </w:t>
      </w:r>
      <w:r w:rsidR="00442527">
        <w:t>are often</w:t>
      </w:r>
      <w:r w:rsidRPr="00D33008">
        <w:t xml:space="preserve"> incomplete</w:t>
      </w:r>
      <w:r>
        <w:t xml:space="preserve"> </w:t>
      </w:r>
      <w:r>
        <w:rPr>
          <w:szCs w:val="24"/>
        </w:rPr>
        <w:t>and fragmented, leading to underinvestment in innovation and limited EE supplied by the manufacturers</w:t>
      </w:r>
      <w:r w:rsidRPr="00D33008">
        <w:t>. In addition, supply chain fragmentation may also add complexity to the purchase and installation of otherwise economically rational investments, thereby slowing the adoption of EE technologies</w:t>
      </w:r>
      <w:r>
        <w:t xml:space="preserve"> (Fischer 2005)</w:t>
      </w:r>
      <w:r w:rsidRPr="00D33008">
        <w:t>.</w:t>
      </w:r>
    </w:p>
    <w:p w14:paraId="3C5AACCC" w14:textId="77777777" w:rsidR="00810FAC" w:rsidRPr="00D33008" w:rsidRDefault="00810FAC" w:rsidP="00810FAC">
      <w:pPr>
        <w:pStyle w:val="CH5BulletListlast"/>
      </w:pPr>
      <w:r w:rsidRPr="00D33008">
        <w:rPr>
          <w:i/>
        </w:rPr>
        <w:t>Behavioral impediments</w:t>
      </w:r>
      <w:r w:rsidRPr="00D33008">
        <w:t xml:space="preserve">. Behavioral economics and psychology have identified potential behavioral phenomena that lead to consumers to deviate from the standard theory of welfare maximizing in consumption and other decisions, including </w:t>
      </w:r>
      <w:r>
        <w:t xml:space="preserve">EE </w:t>
      </w:r>
      <w:r w:rsidRPr="00D33008">
        <w:t>investments</w:t>
      </w:r>
      <w:r>
        <w:t xml:space="preserve"> (Gillingham and Palmer 2014)</w:t>
      </w:r>
      <w:r w:rsidRPr="00D33008">
        <w:t>.</w:t>
      </w:r>
    </w:p>
    <w:p w14:paraId="7DA3DC7B" w14:textId="1B7E9430" w:rsidR="00810FAC" w:rsidRPr="00D33008" w:rsidRDefault="00810FAC" w:rsidP="00810FAC">
      <w:pPr>
        <w:pStyle w:val="CH5BodyText"/>
      </w:pPr>
      <w:r>
        <w:t>O</w:t>
      </w:r>
      <w:r w:rsidRPr="00D33008">
        <w:t xml:space="preserve">ther factors, such as hidden costs, risk and uncertainty experienced by both consumers and suppliers of energy efficient products, and heterogeneity among consumers, </w:t>
      </w:r>
      <w:r w:rsidR="00442527">
        <w:t xml:space="preserve">may </w:t>
      </w:r>
      <w:r w:rsidRPr="00D33008">
        <w:t>also influence EE investment decisions.</w:t>
      </w:r>
      <w:r w:rsidRPr="00D33008">
        <w:rPr>
          <w:rStyle w:val="FootnoteReference"/>
        </w:rPr>
        <w:footnoteReference w:id="2"/>
      </w:r>
      <w:r w:rsidRPr="00D33008">
        <w:t xml:space="preserve"> Examples of such </w:t>
      </w:r>
      <w:r>
        <w:t>barrier</w:t>
      </w:r>
      <w:r w:rsidRPr="00D33008">
        <w:t>s include:</w:t>
      </w:r>
    </w:p>
    <w:p w14:paraId="124E5ABD" w14:textId="140557E8" w:rsidR="00810FAC" w:rsidRPr="00D33008" w:rsidRDefault="00810FAC" w:rsidP="00810FAC">
      <w:pPr>
        <w:pStyle w:val="CH5BulletList"/>
      </w:pPr>
      <w:r w:rsidRPr="00D33008">
        <w:rPr>
          <w:i/>
        </w:rPr>
        <w:t>Risk and uncertainty</w:t>
      </w:r>
      <w:r w:rsidRPr="00D33008">
        <w:t xml:space="preserve">. Adopting an unfamiliar, typically more expensive EE technology can be an uncertain undertaking given the lack of credible information on </w:t>
      </w:r>
      <w:r w:rsidRPr="00D33008">
        <w:lastRenderedPageBreak/>
        <w:t xml:space="preserve">product performance and future energy prices, and the irreversibility of the investment. Imperfect or asymmetric information can exacerbate the perceived risk of </w:t>
      </w:r>
      <w:r>
        <w:t xml:space="preserve">EE </w:t>
      </w:r>
      <w:r w:rsidRPr="00D33008">
        <w:t xml:space="preserve">investments and help explain why consumers and firms do not always invest in EE measures. Suppliers also face risk and uncertainty, without perfect information of consumer preferences for </w:t>
      </w:r>
      <w:r>
        <w:t>EE</w:t>
      </w:r>
      <w:r w:rsidRPr="00D33008">
        <w:t xml:space="preserve">. In the presence of risk and uncertainties, consumers and suppliers alike will invest </w:t>
      </w:r>
      <w:r w:rsidR="00442527">
        <w:t xml:space="preserve">less </w:t>
      </w:r>
      <w:r w:rsidRPr="00D33008">
        <w:t xml:space="preserve">in EE. </w:t>
      </w:r>
    </w:p>
    <w:p w14:paraId="62FBC878" w14:textId="20DB6BC7" w:rsidR="00810FAC" w:rsidRPr="00D33008" w:rsidRDefault="00810FAC" w:rsidP="00810FAC">
      <w:pPr>
        <w:pStyle w:val="CH5BulletList"/>
      </w:pPr>
      <w:r w:rsidRPr="00D33008">
        <w:rPr>
          <w:i/>
        </w:rPr>
        <w:t>Transaction costs</w:t>
      </w:r>
      <w:r w:rsidRPr="00D33008">
        <w:t xml:space="preserve">. Consumers face transaction costs in searching, assessing and acquiring energy efficient technologies and services. It can be time-consuming and difficult for consumers to estimate lifetime operating costs of a product. The complexity of the search process </w:t>
      </w:r>
      <w:r w:rsidR="00442527">
        <w:t xml:space="preserve">may </w:t>
      </w:r>
      <w:r w:rsidRPr="00D33008">
        <w:t>put m</w:t>
      </w:r>
      <w:r w:rsidR="00442527">
        <w:t>ore</w:t>
      </w:r>
      <w:r w:rsidRPr="00D33008">
        <w:t xml:space="preserve"> efficient products at a disadvantage relative to </w:t>
      </w:r>
      <w:r w:rsidR="00442527">
        <w:t xml:space="preserve">better-known </w:t>
      </w:r>
      <w:r w:rsidRPr="00D33008">
        <w:t>less-efficient products with</w:t>
      </w:r>
      <w:r w:rsidR="004D6F1C">
        <w:t xml:space="preserve">, sometimes, </w:t>
      </w:r>
      <w:r w:rsidRPr="00D33008">
        <w:t xml:space="preserve">lower upfront costs. </w:t>
      </w:r>
    </w:p>
    <w:p w14:paraId="70468C31" w14:textId="77777777" w:rsidR="00810FAC" w:rsidRPr="00D33008" w:rsidRDefault="00810FAC" w:rsidP="00810FAC">
      <w:pPr>
        <w:pStyle w:val="CH5BulletListlast"/>
      </w:pPr>
      <w:r w:rsidRPr="00D33008">
        <w:rPr>
          <w:i/>
        </w:rPr>
        <w:t>Capital market barriers</w:t>
      </w:r>
      <w:r w:rsidRPr="00D33008">
        <w:t xml:space="preserve">. Consumers sometimes face higher interest rates to finance EE investments compared to other investments. Lenders can be reluctant to invest in EE loan portfolios in part because </w:t>
      </w:r>
      <w:r>
        <w:t>EE</w:t>
      </w:r>
      <w:r w:rsidRPr="00D33008">
        <w:t xml:space="preserve"> loans may lack standardization and financial markets have difficulty ascertaining the likely payoff from such investments.</w:t>
      </w:r>
    </w:p>
    <w:p w14:paraId="5D7D2384" w14:textId="77777777" w:rsidR="00810FAC" w:rsidRPr="00D33008" w:rsidRDefault="00810FAC" w:rsidP="00810FAC">
      <w:pPr>
        <w:pStyle w:val="CH5BodyText"/>
      </w:pPr>
      <w:r w:rsidRPr="00D33008">
        <w:t xml:space="preserve">EE policies and programs can play an important role in correcting market failures and addressing the barriers to the investment and adoption of socially beneficial </w:t>
      </w:r>
      <w:r>
        <w:t xml:space="preserve">EE </w:t>
      </w:r>
      <w:r w:rsidRPr="00D33008">
        <w:t xml:space="preserve">opportunities. Examples of effective EE policies and programs include public funding of R&amp;D, information programs (such as energy labeling, the ENERGY STAR </w:t>
      </w:r>
      <w:r>
        <w:t>p</w:t>
      </w:r>
      <w:r w:rsidRPr="00D33008">
        <w:t xml:space="preserve">rogram, and consumer education), rebates for high-efficiency products, product energy performance standards, financing and loan programs, and technical assistance. </w:t>
      </w:r>
    </w:p>
    <w:p w14:paraId="24C87890" w14:textId="77777777" w:rsidR="00810FAC" w:rsidRPr="00D33008" w:rsidRDefault="00810FAC" w:rsidP="00810FAC">
      <w:pPr>
        <w:pStyle w:val="Heading2"/>
      </w:pPr>
      <w:bookmarkStart w:id="13" w:name="_Toc424675656"/>
      <w:bookmarkStart w:id="14" w:name="_Toc424721530"/>
      <w:r w:rsidRPr="00D33008">
        <w:t>EE Policies</w:t>
      </w:r>
      <w:bookmarkEnd w:id="13"/>
      <w:bookmarkEnd w:id="14"/>
    </w:p>
    <w:p w14:paraId="39C5FE96" w14:textId="77777777" w:rsidR="00810FAC" w:rsidRPr="00D33008" w:rsidRDefault="00810FAC" w:rsidP="00810FAC">
      <w:pPr>
        <w:pStyle w:val="Heading3"/>
      </w:pPr>
      <w:bookmarkStart w:id="15" w:name="_Toc424721531"/>
      <w:r w:rsidRPr="00D33008">
        <w:t>Objectives and Role in Reducing CO</w:t>
      </w:r>
      <w:r w:rsidRPr="00D33008">
        <w:rPr>
          <w:vertAlign w:val="subscript"/>
        </w:rPr>
        <w:t>2</w:t>
      </w:r>
      <w:r w:rsidRPr="00D33008">
        <w:t xml:space="preserve"> Emissions from the Power Sector</w:t>
      </w:r>
      <w:bookmarkEnd w:id="15"/>
    </w:p>
    <w:p w14:paraId="7BC484E6" w14:textId="77777777" w:rsidR="00810FAC" w:rsidRPr="00D33008" w:rsidRDefault="00810FAC" w:rsidP="00810FAC">
      <w:pPr>
        <w:pStyle w:val="CH5BodyText"/>
      </w:pPr>
      <w:r w:rsidRPr="00D33008">
        <w:t xml:space="preserve">EE policies are implemented by states to meet a number of closely related policy goals, including: </w:t>
      </w:r>
    </w:p>
    <w:p w14:paraId="3D2B658A" w14:textId="77777777" w:rsidR="00810FAC" w:rsidRPr="00D33008" w:rsidRDefault="00810FAC" w:rsidP="00810FAC">
      <w:pPr>
        <w:pStyle w:val="CH5BulletList"/>
      </w:pPr>
      <w:r w:rsidRPr="00D33008">
        <w:t>Reducing costs to electricity customers,</w:t>
      </w:r>
    </w:p>
    <w:p w14:paraId="44E32DE2" w14:textId="77777777" w:rsidR="00810FAC" w:rsidRPr="00D33008" w:rsidRDefault="00810FAC" w:rsidP="00810FAC">
      <w:pPr>
        <w:pStyle w:val="CH5BulletList"/>
      </w:pPr>
      <w:r w:rsidRPr="00D33008">
        <w:t>Providing a significant resource for meeting power system capacity needs,</w:t>
      </w:r>
    </w:p>
    <w:p w14:paraId="5A640D45" w14:textId="77777777" w:rsidR="00810FAC" w:rsidRPr="00D33008" w:rsidRDefault="00810FAC" w:rsidP="00810FAC">
      <w:pPr>
        <w:pStyle w:val="CH5BulletList"/>
      </w:pPr>
      <w:r w:rsidRPr="00D33008">
        <w:t>Meeting energy savings goals,</w:t>
      </w:r>
    </w:p>
    <w:p w14:paraId="4B5DE58F" w14:textId="1CC27388" w:rsidR="00810FAC" w:rsidRPr="00D33008" w:rsidRDefault="00810FAC" w:rsidP="00810FAC">
      <w:pPr>
        <w:pStyle w:val="CH5BulletList"/>
      </w:pPr>
      <w:r w:rsidRPr="00D33008">
        <w:lastRenderedPageBreak/>
        <w:t xml:space="preserve">Stimulating local economic development and new jobs, </w:t>
      </w:r>
    </w:p>
    <w:p w14:paraId="676EB446" w14:textId="77777777" w:rsidR="004D6F1C" w:rsidRDefault="00810FAC" w:rsidP="00810FAC">
      <w:pPr>
        <w:pStyle w:val="CH5BulletListlast"/>
      </w:pPr>
      <w:r w:rsidRPr="00D33008">
        <w:t>Reducing the environmental impacts of meeting electricity service needs</w:t>
      </w:r>
      <w:r w:rsidR="004D6F1C">
        <w:t>, and</w:t>
      </w:r>
    </w:p>
    <w:p w14:paraId="6C3C8274" w14:textId="2B641D07" w:rsidR="00810FAC" w:rsidRPr="00D33008" w:rsidRDefault="004D6F1C" w:rsidP="00810FAC">
      <w:pPr>
        <w:pStyle w:val="CH5BulletListlast"/>
      </w:pPr>
      <w:r>
        <w:t>Improving the health of lower-income households</w:t>
      </w:r>
      <w:r w:rsidR="00810FAC">
        <w:t xml:space="preserve"> (EPA and DOE 2006; EPA 2015)</w:t>
      </w:r>
      <w:r w:rsidR="00810FAC" w:rsidRPr="00D33008">
        <w:t>.</w:t>
      </w:r>
    </w:p>
    <w:p w14:paraId="68657E5F" w14:textId="6AD6F1C2" w:rsidR="00810FAC" w:rsidRPr="00D33008" w:rsidRDefault="00810FAC" w:rsidP="00810FAC">
      <w:pPr>
        <w:pStyle w:val="CH5BodyText"/>
      </w:pPr>
      <w:r w:rsidRPr="00D33008">
        <w:t>EE policies currently in place are considered by states to be cost-effective strategies for contributing to each of these policy objectives</w:t>
      </w:r>
      <w:r>
        <w:t xml:space="preserve"> (EPA and DOE 2006)</w:t>
      </w:r>
      <w:r w:rsidRPr="00D33008">
        <w:t xml:space="preserve">. While each of these objectives, and others, contribute to the motivation of policymakers </w:t>
      </w:r>
      <w:r>
        <w:t xml:space="preserve">and utilities </w:t>
      </w:r>
      <w:r w:rsidRPr="00D33008">
        <w:t>to pursue EE policies</w:t>
      </w:r>
      <w:r>
        <w:t xml:space="preserve"> </w:t>
      </w:r>
      <w:r w:rsidR="0089615D">
        <w:t xml:space="preserve">and </w:t>
      </w:r>
      <w:r>
        <w:t>programs</w:t>
      </w:r>
      <w:r w:rsidRPr="00D33008">
        <w:t xml:space="preserve">, reducing energy costs </w:t>
      </w:r>
      <w:r>
        <w:t xml:space="preserve">to consumers </w:t>
      </w:r>
      <w:r w:rsidRPr="00D33008">
        <w:t xml:space="preserve">over the long term is </w:t>
      </w:r>
      <w:r>
        <w:t xml:space="preserve">a primary purpose </w:t>
      </w:r>
      <w:r w:rsidRPr="00D33008">
        <w:t>in pursuing these policies. In addition, EE policies are central to meeting state objectives for reducing CO</w:t>
      </w:r>
      <w:r w:rsidRPr="00D33008">
        <w:rPr>
          <w:vertAlign w:val="subscript"/>
        </w:rPr>
        <w:t xml:space="preserve">2 </w:t>
      </w:r>
      <w:r w:rsidRPr="00D33008">
        <w:t>emissions from the power sector. EE policies are a leading tool for achieving CO</w:t>
      </w:r>
      <w:r w:rsidRPr="00D33008">
        <w:rPr>
          <w:vertAlign w:val="subscript"/>
        </w:rPr>
        <w:t>2</w:t>
      </w:r>
      <w:r w:rsidRPr="00D33008">
        <w:t xml:space="preserve"> reductions from power plants, accounting for 35% to 70% of reductions of sector emissions in ten states</w:t>
      </w:r>
      <w:r>
        <w:t xml:space="preserve"> </w:t>
      </w:r>
      <w:r w:rsidRPr="00D33008">
        <w:t>with statutory requirements for greenhouse gas reduction</w:t>
      </w:r>
      <w:r>
        <w:t>s (EPA 2015).</w:t>
      </w:r>
      <w:r w:rsidRPr="00D33008">
        <w:rPr>
          <w:rStyle w:val="FootnoteReference"/>
        </w:rPr>
        <w:footnoteReference w:id="3"/>
      </w:r>
      <w:r>
        <w:t xml:space="preserve"> </w:t>
      </w:r>
      <w:r w:rsidR="0089615D">
        <w:t>Many</w:t>
      </w:r>
      <w:r w:rsidR="00E6074E">
        <w:t xml:space="preserve"> </w:t>
      </w:r>
      <w:r w:rsidRPr="008051CE">
        <w:t xml:space="preserve">evaluations of the economic potential for carbon dioxide reductions from the United States’ power sector identify demand-side </w:t>
      </w:r>
      <w:r>
        <w:t>EE</w:t>
      </w:r>
      <w:r w:rsidRPr="008051CE">
        <w:t xml:space="preserve"> as the lowest cost strategy (typically, as noted above, with positive net present value) as well as the strategy having the greatest reduction potential.  For example, McKinsey found that EE accounted for more than 60% of their mid-range potential for greenhouse gas reductions from the U.S. power sector and that it was available at positive net present value if “persistent barriers to market efficiency” could be addressed</w:t>
      </w:r>
      <w:r>
        <w:t xml:space="preserve"> (McKinsey 2007)</w:t>
      </w:r>
      <w:r w:rsidRPr="008051CE">
        <w:t>.</w:t>
      </w:r>
    </w:p>
    <w:p w14:paraId="18ADE173" w14:textId="53059902" w:rsidR="00810FAC" w:rsidRPr="00D33008" w:rsidRDefault="00810FAC" w:rsidP="00810FAC">
      <w:pPr>
        <w:pStyle w:val="CH5BodyText"/>
      </w:pPr>
      <w:r>
        <w:t>Similarly, e</w:t>
      </w:r>
      <w:r w:rsidRPr="00D33008">
        <w:t xml:space="preserve">conomy-wide studies of climate mitigation scenarios confirm that </w:t>
      </w:r>
      <w:r>
        <w:t xml:space="preserve">EE </w:t>
      </w:r>
      <w:r w:rsidR="00C17B4E">
        <w:t>can play</w:t>
      </w:r>
      <w:r w:rsidR="00C17B4E" w:rsidRPr="00D33008">
        <w:t xml:space="preserve"> </w:t>
      </w:r>
      <w:r w:rsidRPr="00D33008">
        <w:t>a critical role in reducing the costs and enhancing the flexibility of meeting long-term climate stabilization targets</w:t>
      </w:r>
      <w:r>
        <w:t xml:space="preserve"> (Clarke et al. 2014; Kriegler et al. 2014)</w:t>
      </w:r>
      <w:r w:rsidRPr="00D33008">
        <w:t>. A</w:t>
      </w:r>
      <w:r w:rsidR="0089615D">
        <w:t>n a</w:t>
      </w:r>
      <w:r w:rsidRPr="00D33008">
        <w:t xml:space="preserve">nalysis by the International Energy Agency (IEA) suggested that in order to stabilize </w:t>
      </w:r>
      <w:r w:rsidR="0089615D">
        <w:t xml:space="preserve">the </w:t>
      </w:r>
      <w:r w:rsidRPr="00D33008">
        <w:t xml:space="preserve">carbon concentration in the atmosphere at 450 ppm, as much as 44% of the estimated global abatement potential in 2035 derives from greater </w:t>
      </w:r>
      <w:r>
        <w:t xml:space="preserve">EE </w:t>
      </w:r>
      <w:r w:rsidRPr="00D33008">
        <w:t>in the world economy</w:t>
      </w:r>
      <w:r>
        <w:t xml:space="preserve"> (IEA 2012b)</w:t>
      </w:r>
      <w:r w:rsidRPr="00D33008">
        <w:t>. Several recent Energy Modeling Forum (EMF) studies have investigated the role of technology in achieving climate policy objectives in the U.S. (“EMF 24” and “EMF 25” studies) and globally (“EMF 27” study).</w:t>
      </w:r>
      <w:r w:rsidRPr="00D33008">
        <w:rPr>
          <w:vertAlign w:val="superscript"/>
        </w:rPr>
        <w:footnoteReference w:id="4"/>
      </w:r>
      <w:r>
        <w:t xml:space="preserve"> </w:t>
      </w:r>
      <w:r w:rsidRPr="00D33008">
        <w:lastRenderedPageBreak/>
        <w:t xml:space="preserve">These studies concluded that compared to business-as-usual </w:t>
      </w:r>
      <w:r>
        <w:t>EE</w:t>
      </w:r>
      <w:r w:rsidRPr="00D33008">
        <w:t xml:space="preserve">, improvements in </w:t>
      </w:r>
      <w:r>
        <w:t xml:space="preserve">EE </w:t>
      </w:r>
      <w:r w:rsidRPr="00D33008">
        <w:t>in various economic sectors would slow the increases of GHG emissions in the short run, substantially reduce the costs of GHG mitigation (on average, by about 50%), and ease the technology transformation pathways to achieve long-term carbon reduction goals</w:t>
      </w:r>
      <w:r>
        <w:t xml:space="preserve"> (Kriegler et al. 2014; Kyle et al. 2011)</w:t>
      </w:r>
      <w:r w:rsidRPr="00D33008">
        <w:t>.</w:t>
      </w:r>
    </w:p>
    <w:p w14:paraId="61AEB192" w14:textId="73012B95" w:rsidR="00810FAC" w:rsidRPr="00D33008" w:rsidRDefault="00810FAC" w:rsidP="00810FAC">
      <w:pPr>
        <w:pStyle w:val="CH5BodyText"/>
      </w:pPr>
      <w:r w:rsidRPr="00D33008">
        <w:t>Several</w:t>
      </w:r>
      <w:r w:rsidRPr="00D33008">
        <w:rPr>
          <w:lang w:eastAsia="zh-CN"/>
        </w:rPr>
        <w:t xml:space="preserve"> economic studies (including EMF25 studies) examined the role of </w:t>
      </w:r>
      <w:r>
        <w:rPr>
          <w:lang w:eastAsia="zh-CN"/>
        </w:rPr>
        <w:t xml:space="preserve">EE </w:t>
      </w:r>
      <w:r w:rsidRPr="00D33008">
        <w:rPr>
          <w:lang w:eastAsia="zh-CN"/>
        </w:rPr>
        <w:t xml:space="preserve">policies (such as </w:t>
      </w:r>
      <w:r>
        <w:rPr>
          <w:lang w:eastAsia="zh-CN"/>
        </w:rPr>
        <w:t xml:space="preserve">EE </w:t>
      </w:r>
      <w:r w:rsidRPr="00D33008">
        <w:rPr>
          <w:lang w:eastAsia="zh-CN"/>
        </w:rPr>
        <w:t xml:space="preserve">standards and subsidies) in relation to other climate policy instruments (such as carbon taxes). These studies found that when </w:t>
      </w:r>
      <w:r>
        <w:rPr>
          <w:lang w:eastAsia="zh-CN"/>
        </w:rPr>
        <w:t xml:space="preserve">EE </w:t>
      </w:r>
      <w:r w:rsidRPr="00D33008">
        <w:rPr>
          <w:lang w:eastAsia="zh-CN"/>
        </w:rPr>
        <w:t>policies address market failures, they are welfare improving and can complement climate policy</w:t>
      </w:r>
      <w:r>
        <w:rPr>
          <w:lang w:eastAsia="zh-CN"/>
        </w:rPr>
        <w:t xml:space="preserve"> (Comstock and Boedecker 2011; Fischer 2005; RFF 2010)</w:t>
      </w:r>
      <w:r w:rsidRPr="00D33008">
        <w:rPr>
          <w:lang w:eastAsia="zh-CN"/>
        </w:rPr>
        <w:t xml:space="preserve">. </w:t>
      </w:r>
      <w:r w:rsidRPr="00D33008">
        <w:t>In addition, EE policies are recognized to be an appropriate response to demonstrated market failures and behavioral impediments, particularly in contexts where these failures have broader societal implications such as environmental externalities</w:t>
      </w:r>
      <w:r>
        <w:t xml:space="preserve"> (Gillingham et al. 2009)</w:t>
      </w:r>
      <w:r w:rsidRPr="00D33008">
        <w:t>.</w:t>
      </w:r>
    </w:p>
    <w:p w14:paraId="05DF221B" w14:textId="18CBD38C" w:rsidR="00810FAC" w:rsidRPr="00D33008" w:rsidRDefault="00810FAC" w:rsidP="00810FAC">
      <w:pPr>
        <w:pStyle w:val="CH5BodyText"/>
      </w:pPr>
      <w:r w:rsidRPr="00D33008">
        <w:t xml:space="preserve">In addition to providing cost-effective opportunities for reducing GHG emissions, </w:t>
      </w:r>
      <w:r>
        <w:t xml:space="preserve">EE </w:t>
      </w:r>
      <w:r w:rsidRPr="00D33008">
        <w:t>is recognized to provide other co-benefits, including air quality and public health benefits, waste reduction from energy generation, energy security, energy system reliability, community economic and social development, and consumer amenities</w:t>
      </w:r>
      <w:r>
        <w:t xml:space="preserve"> (RAP 2012)</w:t>
      </w:r>
      <w:r w:rsidRPr="00D33008">
        <w:t xml:space="preserve">. </w:t>
      </w:r>
      <w:r>
        <w:t xml:space="preserve">EE </w:t>
      </w:r>
      <w:r w:rsidRPr="00D33008">
        <w:t xml:space="preserve">investments and policies </w:t>
      </w:r>
      <w:r w:rsidR="0089615D">
        <w:t xml:space="preserve">that apply to industry have been </w:t>
      </w:r>
      <w:r w:rsidRPr="00D33008">
        <w:t>found to spur productivity growth, technology learning and innovation</w:t>
      </w:r>
      <w:r>
        <w:t xml:space="preserve"> (Boyd and Pang 2000; Worrell et al. 2003). </w:t>
      </w:r>
      <w:r w:rsidRPr="00D33008">
        <w:t>Recently, more attention has been paid to developing methods for recognizing these co-benefits and integrating them into the cost-benefit analysis framework used by state utility commissions and administrators of EE programs. These co-benefits have not been fully accounted for in the EPA analysis.</w:t>
      </w:r>
    </w:p>
    <w:p w14:paraId="5C2C2725" w14:textId="77777777" w:rsidR="00810FAC" w:rsidRPr="00D33008" w:rsidRDefault="00810FAC" w:rsidP="00810FAC">
      <w:pPr>
        <w:pStyle w:val="Heading3"/>
      </w:pPr>
      <w:bookmarkStart w:id="16" w:name="_Toc424721532"/>
      <w:r w:rsidRPr="00D33008">
        <w:t>Policy Types</w:t>
      </w:r>
      <w:bookmarkEnd w:id="16"/>
    </w:p>
    <w:p w14:paraId="24E69F45" w14:textId="312C0C3F" w:rsidR="00810FAC" w:rsidRPr="00D33008" w:rsidRDefault="00810FAC" w:rsidP="00810FAC">
      <w:pPr>
        <w:pStyle w:val="CH5BodyText"/>
      </w:pPr>
      <w:r w:rsidRPr="00D33008">
        <w:t>EE policies come in many forms. The most prominent and impactful EE policies in most states include those that drive development and funding of EE programs</w:t>
      </w:r>
      <w:r>
        <w:t>,</w:t>
      </w:r>
      <w:r w:rsidRPr="00D33008" w:rsidDel="00625C99">
        <w:rPr>
          <w:rStyle w:val="FootnoteReference"/>
        </w:rPr>
        <w:t xml:space="preserve"> </w:t>
      </w:r>
      <w:r w:rsidRPr="00D33008">
        <w:t xml:space="preserve"> and building energy codes. Other policies that are leading to significant impacts </w:t>
      </w:r>
      <w:r w:rsidR="006A7247">
        <w:t xml:space="preserve">in some states </w:t>
      </w:r>
      <w:r w:rsidRPr="00D33008">
        <w:t xml:space="preserve">include state appliance and equipment standards, </w:t>
      </w:r>
      <w:r>
        <w:t>“lead by example” strategies targeting energy use in state operations through energy services performance contracting, and “volt-VAR optimization.”</w:t>
      </w:r>
      <w:r w:rsidRPr="00D33008">
        <w:t xml:space="preserve"> </w:t>
      </w:r>
      <w:r>
        <w:t xml:space="preserve">See section 5 for further description of these policies, their history, and potential for achieving significant electricity savings. </w:t>
      </w:r>
      <w:r w:rsidRPr="00D33008">
        <w:t>Comparing the relative impact (potential</w:t>
      </w:r>
      <w:r>
        <w:t xml:space="preserve"> or achieved</w:t>
      </w:r>
      <w:r w:rsidRPr="00D33008">
        <w:t xml:space="preserve">) of the different policy </w:t>
      </w:r>
      <w:r w:rsidRPr="00D33008">
        <w:lastRenderedPageBreak/>
        <w:t>types is challenging, particularly to do so comprehensively, across all states, and at the national level. EE programs are the only state EE approach that has comprehensive and detailed reporting of impacts, costs, and other characteristics from all 50 states.</w:t>
      </w:r>
      <w:r w:rsidRPr="00D33008">
        <w:rPr>
          <w:rStyle w:val="FootnoteReference"/>
        </w:rPr>
        <w:footnoteReference w:id="5"/>
      </w:r>
      <w:r w:rsidRPr="00D33008">
        <w:t xml:space="preserve"> This information is generally based upon measurement and verification studies submitted annually, most commonly to state utility commissions, and reported to the Energy Information Administration (EIA) for all program administrator types (</w:t>
      </w:r>
      <w:r>
        <w:t xml:space="preserve">including </w:t>
      </w:r>
      <w:r w:rsidRPr="00D33008">
        <w:t>all utility types, third-parties, and government agencies). EE program data reported to EIA includes</w:t>
      </w:r>
      <w:r>
        <w:t>:</w:t>
      </w:r>
      <w:r w:rsidRPr="00D33008">
        <w:t xml:space="preserve"> incremental </w:t>
      </w:r>
      <w:r>
        <w:t xml:space="preserve">savings (also referred to as “first-year” savings), cumulative savings, </w:t>
      </w:r>
      <w:r w:rsidRPr="00D33008">
        <w:t xml:space="preserve">peak demand savings, program costs broken down by component, and composition by end-use sector (residential, commercial, industrial). </w:t>
      </w:r>
      <w:r>
        <w:t xml:space="preserve">As of 2013 EIA ended their collection of cumulative savings data. </w:t>
      </w:r>
      <w:r w:rsidRPr="00D33008">
        <w:t>In 201</w:t>
      </w:r>
      <w:r>
        <w:t>3</w:t>
      </w:r>
      <w:r w:rsidRPr="00D33008">
        <w:t xml:space="preserve">, utilities and other program administrators in </w:t>
      </w:r>
      <w:r>
        <w:t xml:space="preserve">all 50 states and the District of Columbia </w:t>
      </w:r>
      <w:r w:rsidRPr="00D33008">
        <w:t>states reported savings from EE programs to EIA through form EIA-861. At a national level, the EPA is not aware of a comprehensive dataset reported by states of the achieved impacts of strategies other than those that lead to investment in EE programs. However, state and regional-level information does exist. For example, the Northwest Power and Conservation Council (NPCC) has been compiling the impacts of EE policies (including utility and third-party EE programs, state building energy codes, and federal appliance standards) across their member states (ID, MT, OR, WA) for more than three decades. For the past decade, EE programs have accounted for more than 75% of the cumulative energy savings from state EE policies for NPCC, with building energy codes accounting for the remaining savings</w:t>
      </w:r>
      <w:r>
        <w:t xml:space="preserve"> (NPCC 2010)</w:t>
      </w:r>
      <w:r w:rsidRPr="00D33008">
        <w:t>.</w:t>
      </w:r>
      <w:r>
        <w:t xml:space="preserve"> </w:t>
      </w:r>
    </w:p>
    <w:p w14:paraId="3E78D1F7" w14:textId="5E7F51F6" w:rsidR="00810FAC" w:rsidRPr="00D33008" w:rsidRDefault="00810FAC" w:rsidP="00810FAC">
      <w:pPr>
        <w:pStyle w:val="CH5BodyText"/>
      </w:pPr>
      <w:r w:rsidRPr="00D33008">
        <w:t xml:space="preserve">Another representation of the relative opportunity provided by different state EE strategies is presented by evaluations of EE achievable potential or projections of the impacts of EE policies. The results from two recent evaluations at a national level are presented in Table 1. EE programs account for 77% and 82% of achievable savings in </w:t>
      </w:r>
      <w:r>
        <w:t xml:space="preserve">studies by </w:t>
      </w:r>
      <w:r w:rsidRPr="00D33008">
        <w:t>ACEEE</w:t>
      </w:r>
      <w:r>
        <w:t xml:space="preserve"> </w:t>
      </w:r>
      <w:r w:rsidRPr="00D33008">
        <w:t>and Georgia Tech, respectively</w:t>
      </w:r>
      <w:r>
        <w:t xml:space="preserve"> (ACEEE 2014a; Wang and Brown 2013)</w:t>
      </w:r>
      <w:r w:rsidRPr="00D33008">
        <w:t xml:space="preserve">. These studies indicate that the substantial majority of potential savings from state EE efforts are available through EE programs, and that state and local building energy codes can make a significant additional </w:t>
      </w:r>
      <w:r w:rsidRPr="00D33008">
        <w:lastRenderedPageBreak/>
        <w:t>contribution. Massachusetts provides a state example of the impacts of EE programs relative to other state EE policies. The Massachusetts Global Warming Solutions Act of 2008 established statewide limits on greenhouse gas (GHG) emissions of 25 percent below 1990 levels by 2020. To achieve this target, Massachusetts is relying upon an integrated portfolio of clean energy policies. State EE policies are expected to provide the largest contribution to meeting the 25 percent target with utility</w:t>
      </w:r>
      <w:r w:rsidR="006A7247">
        <w:t>-</w:t>
      </w:r>
      <w:r w:rsidRPr="00D33008">
        <w:t>sponsored EE programs and state building energy codes accounting for 76% and 17%, respectively, of those policies</w:t>
      </w:r>
      <w:r>
        <w:t xml:space="preserve"> (Massachusetts EOEEA 2010)</w:t>
      </w:r>
      <w:r w:rsidRPr="00D33008">
        <w:t>. In their 2013 progress report, Massachusetts indicates that they are generally on track for meeting or exceeding these projections</w:t>
      </w:r>
      <w:r>
        <w:t xml:space="preserve"> (Massachusetts EOEEA 2013)</w:t>
      </w:r>
      <w:r w:rsidRPr="00D33008">
        <w:t>.</w:t>
      </w:r>
    </w:p>
    <w:p w14:paraId="3C1BB78A" w14:textId="0DCD5CE7" w:rsidR="00810FAC" w:rsidRPr="00D33008" w:rsidRDefault="00810FAC" w:rsidP="004448A6">
      <w:pPr>
        <w:pStyle w:val="CH5TableTitle"/>
      </w:pPr>
      <w:bookmarkStart w:id="17" w:name="_Toc424720251"/>
      <w:r w:rsidRPr="00D33008">
        <w:t>T</w:t>
      </w:r>
      <w:r>
        <w:t>able</w:t>
      </w:r>
      <w:r w:rsidRPr="00D33008">
        <w:t xml:space="preserve"> 1</w:t>
      </w:r>
      <w:r>
        <w:t xml:space="preserve">. </w:t>
      </w:r>
      <w:r w:rsidRPr="00D33008">
        <w:t>Relative Opportunities Provided by Key EE Programs and Building Codes</w:t>
      </w:r>
      <w:bookmarkEnd w:id="17"/>
      <w:r w:rsidRPr="00D33008">
        <w:t xml:space="preserve"> </w:t>
      </w:r>
    </w:p>
    <w:tbl>
      <w:tblPr>
        <w:tblStyle w:val="TableGrid"/>
        <w:tblW w:w="0" w:type="auto"/>
        <w:tblLook w:val="04A0" w:firstRow="1" w:lastRow="0" w:firstColumn="1" w:lastColumn="0" w:noHBand="0" w:noVBand="1"/>
      </w:tblPr>
      <w:tblGrid>
        <w:gridCol w:w="1918"/>
        <w:gridCol w:w="1661"/>
        <w:gridCol w:w="1993"/>
        <w:gridCol w:w="1932"/>
        <w:gridCol w:w="1846"/>
      </w:tblGrid>
      <w:tr w:rsidR="00810FAC" w:rsidRPr="00D33008" w14:paraId="1663C946" w14:textId="77777777" w:rsidTr="0091274B">
        <w:tc>
          <w:tcPr>
            <w:tcW w:w="1962" w:type="dxa"/>
            <w:shd w:val="clear" w:color="auto" w:fill="D9D9D9" w:themeFill="background1" w:themeFillShade="D9"/>
          </w:tcPr>
          <w:p w14:paraId="0E5CF590" w14:textId="77777777" w:rsidR="00810FAC" w:rsidRPr="00CA3789" w:rsidRDefault="00810FAC" w:rsidP="00810FAC">
            <w:pPr>
              <w:pStyle w:val="CH5TableText"/>
              <w:rPr>
                <w:b/>
              </w:rPr>
            </w:pPr>
            <w:r w:rsidRPr="00CA3789">
              <w:rPr>
                <w:b/>
              </w:rPr>
              <w:t>Study</w:t>
            </w:r>
          </w:p>
        </w:tc>
        <w:tc>
          <w:tcPr>
            <w:tcW w:w="1707" w:type="dxa"/>
            <w:shd w:val="clear" w:color="auto" w:fill="D9D9D9" w:themeFill="background1" w:themeFillShade="D9"/>
          </w:tcPr>
          <w:p w14:paraId="1F455348" w14:textId="77777777" w:rsidR="00810FAC" w:rsidRPr="00CA3789" w:rsidRDefault="00810FAC" w:rsidP="00810FAC">
            <w:pPr>
              <w:pStyle w:val="CH5TableText"/>
              <w:rPr>
                <w:b/>
              </w:rPr>
            </w:pPr>
            <w:r w:rsidRPr="00CA3789">
              <w:rPr>
                <w:b/>
              </w:rPr>
              <w:t xml:space="preserve">Year </w:t>
            </w:r>
          </w:p>
        </w:tc>
        <w:tc>
          <w:tcPr>
            <w:tcW w:w="2035" w:type="dxa"/>
            <w:shd w:val="clear" w:color="auto" w:fill="D9D9D9" w:themeFill="background1" w:themeFillShade="D9"/>
          </w:tcPr>
          <w:p w14:paraId="4198ACF3" w14:textId="77777777" w:rsidR="00810FAC" w:rsidRPr="00CA3789" w:rsidRDefault="00810FAC" w:rsidP="00810FAC">
            <w:pPr>
              <w:pStyle w:val="CH5TableText"/>
              <w:rPr>
                <w:b/>
              </w:rPr>
            </w:pPr>
            <w:r w:rsidRPr="00CA3789">
              <w:rPr>
                <w:b/>
              </w:rPr>
              <w:t>EE Programs</w:t>
            </w:r>
          </w:p>
        </w:tc>
        <w:tc>
          <w:tcPr>
            <w:tcW w:w="1976" w:type="dxa"/>
            <w:shd w:val="clear" w:color="auto" w:fill="D9D9D9" w:themeFill="background1" w:themeFillShade="D9"/>
          </w:tcPr>
          <w:p w14:paraId="192FBE2C" w14:textId="77777777" w:rsidR="00810FAC" w:rsidRPr="00CA3789" w:rsidRDefault="00810FAC" w:rsidP="00810FAC">
            <w:pPr>
              <w:pStyle w:val="CH5TableText"/>
              <w:rPr>
                <w:b/>
              </w:rPr>
            </w:pPr>
            <w:r w:rsidRPr="00CA3789">
              <w:rPr>
                <w:b/>
              </w:rPr>
              <w:t>Building Codes</w:t>
            </w:r>
          </w:p>
        </w:tc>
        <w:tc>
          <w:tcPr>
            <w:tcW w:w="1896" w:type="dxa"/>
            <w:shd w:val="clear" w:color="auto" w:fill="D9D9D9" w:themeFill="background1" w:themeFillShade="D9"/>
          </w:tcPr>
          <w:p w14:paraId="579F53EE" w14:textId="77777777" w:rsidR="00810FAC" w:rsidRPr="00CA3789" w:rsidRDefault="00810FAC" w:rsidP="00810FAC">
            <w:pPr>
              <w:pStyle w:val="CH5TableText"/>
              <w:rPr>
                <w:b/>
              </w:rPr>
            </w:pPr>
            <w:r w:rsidRPr="00CA3789">
              <w:rPr>
                <w:b/>
              </w:rPr>
              <w:t>Other</w:t>
            </w:r>
          </w:p>
        </w:tc>
      </w:tr>
      <w:tr w:rsidR="00810FAC" w:rsidRPr="00D33008" w14:paraId="022A908D" w14:textId="77777777" w:rsidTr="00810FAC">
        <w:tc>
          <w:tcPr>
            <w:tcW w:w="1962" w:type="dxa"/>
          </w:tcPr>
          <w:p w14:paraId="0D2D46EB" w14:textId="77777777" w:rsidR="00810FAC" w:rsidRPr="00CA3789" w:rsidRDefault="00810FAC" w:rsidP="00810FAC">
            <w:pPr>
              <w:pStyle w:val="CH5TableText"/>
              <w:rPr>
                <w:b/>
              </w:rPr>
            </w:pPr>
            <w:r w:rsidRPr="00CA3789">
              <w:rPr>
                <w:b/>
              </w:rPr>
              <w:t>ACEEE</w:t>
            </w:r>
          </w:p>
        </w:tc>
        <w:tc>
          <w:tcPr>
            <w:tcW w:w="1707" w:type="dxa"/>
          </w:tcPr>
          <w:p w14:paraId="1D065999" w14:textId="77777777" w:rsidR="00810FAC" w:rsidRPr="00D33008" w:rsidRDefault="00810FAC" w:rsidP="00810FAC">
            <w:pPr>
              <w:pStyle w:val="CH5TableText"/>
            </w:pPr>
            <w:r w:rsidRPr="00D33008">
              <w:t>2030</w:t>
            </w:r>
          </w:p>
        </w:tc>
        <w:tc>
          <w:tcPr>
            <w:tcW w:w="2035" w:type="dxa"/>
          </w:tcPr>
          <w:p w14:paraId="17A80D37" w14:textId="77777777" w:rsidR="00810FAC" w:rsidRPr="00D33008" w:rsidRDefault="00810FAC" w:rsidP="00810FAC">
            <w:pPr>
              <w:pStyle w:val="CH5TableText"/>
            </w:pPr>
            <w:r w:rsidRPr="00D33008">
              <w:t>77%</w:t>
            </w:r>
          </w:p>
        </w:tc>
        <w:tc>
          <w:tcPr>
            <w:tcW w:w="1976" w:type="dxa"/>
          </w:tcPr>
          <w:p w14:paraId="250FA729" w14:textId="77777777" w:rsidR="00810FAC" w:rsidRPr="00D33008" w:rsidRDefault="00810FAC" w:rsidP="00810FAC">
            <w:pPr>
              <w:pStyle w:val="CH5TableText"/>
            </w:pPr>
            <w:r w:rsidRPr="00D33008">
              <w:t>13%</w:t>
            </w:r>
          </w:p>
        </w:tc>
        <w:tc>
          <w:tcPr>
            <w:tcW w:w="1896" w:type="dxa"/>
          </w:tcPr>
          <w:p w14:paraId="648CA1DD" w14:textId="77777777" w:rsidR="00810FAC" w:rsidRPr="00D33008" w:rsidRDefault="00810FAC" w:rsidP="00810FAC">
            <w:pPr>
              <w:pStyle w:val="CH5TableText"/>
            </w:pPr>
            <w:r w:rsidRPr="00D33008">
              <w:t>10%</w:t>
            </w:r>
          </w:p>
        </w:tc>
      </w:tr>
      <w:tr w:rsidR="00810FAC" w:rsidRPr="00D33008" w14:paraId="26F15F27" w14:textId="77777777" w:rsidTr="00810FAC">
        <w:tc>
          <w:tcPr>
            <w:tcW w:w="1962" w:type="dxa"/>
          </w:tcPr>
          <w:p w14:paraId="35F82EF7" w14:textId="77777777" w:rsidR="00810FAC" w:rsidRPr="00CA3789" w:rsidRDefault="00810FAC" w:rsidP="00810FAC">
            <w:pPr>
              <w:pStyle w:val="CH5TableText"/>
              <w:rPr>
                <w:b/>
              </w:rPr>
            </w:pPr>
            <w:r w:rsidRPr="00CA3789">
              <w:rPr>
                <w:b/>
              </w:rPr>
              <w:t>Georgia Tech</w:t>
            </w:r>
          </w:p>
        </w:tc>
        <w:tc>
          <w:tcPr>
            <w:tcW w:w="1707" w:type="dxa"/>
          </w:tcPr>
          <w:p w14:paraId="0D2E86FD" w14:textId="77777777" w:rsidR="00810FAC" w:rsidRPr="00D33008" w:rsidRDefault="00810FAC" w:rsidP="00810FAC">
            <w:pPr>
              <w:pStyle w:val="CH5TableText"/>
            </w:pPr>
            <w:r w:rsidRPr="00D33008">
              <w:t>2035</w:t>
            </w:r>
          </w:p>
        </w:tc>
        <w:tc>
          <w:tcPr>
            <w:tcW w:w="2035" w:type="dxa"/>
          </w:tcPr>
          <w:p w14:paraId="4CFD4671" w14:textId="77777777" w:rsidR="00810FAC" w:rsidRPr="00D33008" w:rsidRDefault="00810FAC" w:rsidP="00810FAC">
            <w:pPr>
              <w:pStyle w:val="CH5TableText"/>
            </w:pPr>
            <w:r w:rsidRPr="00D33008">
              <w:t>82%</w:t>
            </w:r>
          </w:p>
        </w:tc>
        <w:tc>
          <w:tcPr>
            <w:tcW w:w="1976" w:type="dxa"/>
          </w:tcPr>
          <w:p w14:paraId="2B842F2C" w14:textId="77777777" w:rsidR="00810FAC" w:rsidRPr="00D33008" w:rsidRDefault="00810FAC" w:rsidP="00810FAC">
            <w:pPr>
              <w:pStyle w:val="CH5TableText"/>
            </w:pPr>
            <w:r w:rsidRPr="00D33008">
              <w:t>18%</w:t>
            </w:r>
          </w:p>
        </w:tc>
        <w:tc>
          <w:tcPr>
            <w:tcW w:w="1896" w:type="dxa"/>
          </w:tcPr>
          <w:p w14:paraId="091287D3" w14:textId="77777777" w:rsidR="00810FAC" w:rsidRPr="00D33008" w:rsidRDefault="00810FAC" w:rsidP="00810FAC">
            <w:pPr>
              <w:pStyle w:val="CH5TableText"/>
            </w:pPr>
            <w:r w:rsidRPr="00D33008">
              <w:t>0%</w:t>
            </w:r>
          </w:p>
        </w:tc>
      </w:tr>
    </w:tbl>
    <w:p w14:paraId="14DC292C" w14:textId="77777777" w:rsidR="00810FAC" w:rsidRPr="00D33008" w:rsidRDefault="00810FAC" w:rsidP="00CF0D49">
      <w:pPr>
        <w:pStyle w:val="CH5TableSource"/>
      </w:pPr>
      <w:r>
        <w:t>Source: ACEEE 2014a, and Wang and Brown 2013</w:t>
      </w:r>
    </w:p>
    <w:p w14:paraId="5D2433D5" w14:textId="77777777" w:rsidR="00810FAC" w:rsidRDefault="00810FAC" w:rsidP="00810FAC">
      <w:pPr>
        <w:pStyle w:val="CH5BodyText"/>
      </w:pPr>
      <w:r>
        <w:t>The next section reviews the lengthy history of EE policies in the U.S. In the following section, the focus returns to the EE programs highlighted here for an in-depth review of this important strategy.</w:t>
      </w:r>
      <w:r w:rsidRPr="00D33008" w:rsidDel="00BB3A28">
        <w:t xml:space="preserve"> </w:t>
      </w:r>
    </w:p>
    <w:p w14:paraId="50E54AB8" w14:textId="77777777" w:rsidR="00810FAC" w:rsidRDefault="00810FAC" w:rsidP="00810FAC">
      <w:pPr>
        <w:pStyle w:val="Heading1"/>
      </w:pPr>
      <w:bookmarkStart w:id="18" w:name="_Toc424675657"/>
      <w:bookmarkStart w:id="19" w:name="_Toc424721533"/>
      <w:r>
        <w:t>History of EE Policies in the United States</w:t>
      </w:r>
      <w:bookmarkEnd w:id="18"/>
      <w:bookmarkEnd w:id="19"/>
    </w:p>
    <w:p w14:paraId="0770549B" w14:textId="77777777" w:rsidR="00810FAC" w:rsidRDefault="00810FAC" w:rsidP="009148E2">
      <w:pPr>
        <w:pStyle w:val="CH5BodyText"/>
      </w:pPr>
      <w:r>
        <w:t xml:space="preserve">Demand-side EE </w:t>
      </w:r>
      <w:r w:rsidRPr="0090711D">
        <w:t xml:space="preserve">has been </w:t>
      </w:r>
      <w:r>
        <w:t>repeatedly</w:t>
      </w:r>
      <w:r w:rsidRPr="0090711D">
        <w:t xml:space="preserve"> supported through federal policies </w:t>
      </w:r>
      <w:r>
        <w:t xml:space="preserve">and </w:t>
      </w:r>
      <w:r w:rsidRPr="0090711D">
        <w:t>market innovations over the past four decades</w:t>
      </w:r>
      <w:r>
        <w:t>, in recognition of</w:t>
      </w:r>
      <w:r w:rsidRPr="0090711D">
        <w:t xml:space="preserve"> its multiple benefits, including </w:t>
      </w:r>
      <w:r>
        <w:t xml:space="preserve">increased energy security, </w:t>
      </w:r>
      <w:r w:rsidRPr="0090711D">
        <w:t xml:space="preserve">reduced emissions from the power sector, lower customer energy bills, enhanced economic development and job creation, and improved reliability and resiliency of the electricity system. </w:t>
      </w:r>
      <w:r>
        <w:t xml:space="preserve">Following the 1973 Organization of Petroleum Exporting Countries (OPEC) oil embargo, the Nixon administrated established the Federal Energy Administration, imposed oil price regulations, and created Project Independence to put the U.S. back on the path toward improved energy security. </w:t>
      </w:r>
    </w:p>
    <w:p w14:paraId="7B6A7707" w14:textId="1AC602FC" w:rsidR="00810FAC" w:rsidRDefault="00810FAC" w:rsidP="009148E2">
      <w:pPr>
        <w:pStyle w:val="CH5BodyText"/>
      </w:pPr>
      <w:r>
        <w:t>The 94</w:t>
      </w:r>
      <w:r w:rsidRPr="00DB7747">
        <w:rPr>
          <w:vertAlign w:val="superscript"/>
        </w:rPr>
        <w:t>th</w:t>
      </w:r>
      <w:r>
        <w:t xml:space="preserve"> Congress took the first major U.S. legislative action on energy through the 1975 Energy Policy and Conservation Act (EPCA).</w:t>
      </w:r>
      <w:r w:rsidRPr="0090711D">
        <w:t xml:space="preserve"> </w:t>
      </w:r>
      <w:r>
        <w:t xml:space="preserve">Among other provisions, EPCA </w:t>
      </w:r>
      <w:r w:rsidRPr="0090711D">
        <w:t xml:space="preserve">authorized the creation of </w:t>
      </w:r>
      <w:r>
        <w:t xml:space="preserve">vehicle fuel economy standards, and labeling requirements and </w:t>
      </w:r>
      <w:r w:rsidRPr="0090711D">
        <w:t>efficiency standards for major household appliances</w:t>
      </w:r>
      <w:r>
        <w:t xml:space="preserve"> (Congress</w:t>
      </w:r>
      <w:r w:rsidRPr="00196931">
        <w:t xml:space="preserve"> 1975</w:t>
      </w:r>
      <w:r>
        <w:t>). Also i</w:t>
      </w:r>
      <w:r w:rsidRPr="0090711D">
        <w:t xml:space="preserve">n 1975, the American Society of </w:t>
      </w:r>
      <w:r w:rsidRPr="0090711D">
        <w:lastRenderedPageBreak/>
        <w:t xml:space="preserve">Heating, Refrigerating, and Air-conditioning Engineers (ASHRAE) </w:t>
      </w:r>
      <w:r>
        <w:t xml:space="preserve">developed </w:t>
      </w:r>
      <w:r w:rsidRPr="0090711D">
        <w:t xml:space="preserve">the first national </w:t>
      </w:r>
      <w:r>
        <w:t xml:space="preserve">model </w:t>
      </w:r>
      <w:r w:rsidRPr="0090711D">
        <w:t>building energy code, 90-75 “Energy Conservation in New Building Design,”</w:t>
      </w:r>
      <w:r>
        <w:t xml:space="preserve"> </w:t>
      </w:r>
      <w:r w:rsidRPr="0090711D">
        <w:t>for residential and commercial buildings</w:t>
      </w:r>
      <w:r>
        <w:t xml:space="preserve"> (BCAP n.d.)</w:t>
      </w:r>
      <w:r w:rsidRPr="0090711D">
        <w:t>.</w:t>
      </w:r>
    </w:p>
    <w:p w14:paraId="3E6534A4" w14:textId="44DA6C36" w:rsidR="00810FAC" w:rsidRDefault="00810FAC" w:rsidP="009148E2">
      <w:pPr>
        <w:pStyle w:val="CH5BodyText"/>
      </w:pPr>
      <w:r>
        <w:t xml:space="preserve">Continuing this trend of energy policy initiatives, Congress passed </w:t>
      </w:r>
      <w:r w:rsidRPr="0090711D">
        <w:t xml:space="preserve">the Energy Conservation and Production Act </w:t>
      </w:r>
      <w:r>
        <w:t>in 1976, which authorized the creation of mandatory national building energy performance standards (BEPS)</w:t>
      </w:r>
      <w:r w:rsidR="006A7247">
        <w:t>. BEPS,</w:t>
      </w:r>
      <w:r>
        <w:t xml:space="preserve"> which were repealed in the 1980s, </w:t>
      </w:r>
      <w:r w:rsidRPr="0090711D">
        <w:t xml:space="preserve">provided loan guarantees for saving energy in public and commercial buildings, </w:t>
      </w:r>
      <w:r>
        <w:t xml:space="preserve">authorized </w:t>
      </w:r>
      <w:r w:rsidRPr="0090711D">
        <w:t xml:space="preserve">grants to states for low-income weatherization and state energy conservation programs, and </w:t>
      </w:r>
      <w:r>
        <w:t>encouraged</w:t>
      </w:r>
      <w:r w:rsidRPr="0090711D">
        <w:t xml:space="preserve"> the development of electric utility rate structures designed to </w:t>
      </w:r>
      <w:r>
        <w:t xml:space="preserve">save </w:t>
      </w:r>
      <w:r w:rsidRPr="0090711D">
        <w:t>energy.</w:t>
      </w:r>
    </w:p>
    <w:p w14:paraId="4BA13D09" w14:textId="2D6BBFF0" w:rsidR="00810FAC" w:rsidRDefault="00810FAC" w:rsidP="009148E2">
      <w:pPr>
        <w:pStyle w:val="CH5BodyText"/>
      </w:pPr>
      <w:r>
        <w:t xml:space="preserve">Federal energy efficiency policy action continued during the Carter administration. </w:t>
      </w:r>
      <w:r w:rsidRPr="0090711D">
        <w:t>President Carter</w:t>
      </w:r>
      <w:r>
        <w:t>’s</w:t>
      </w:r>
      <w:r w:rsidRPr="0090711D">
        <w:t xml:space="preserve"> </w:t>
      </w:r>
      <w:r>
        <w:t>1977</w:t>
      </w:r>
      <w:r w:rsidRPr="0090711D">
        <w:t xml:space="preserve"> National Energy Plan</w:t>
      </w:r>
      <w:r>
        <w:t xml:space="preserve"> </w:t>
      </w:r>
      <w:r w:rsidRPr="0090711D">
        <w:t xml:space="preserve">included energy efficiency </w:t>
      </w:r>
      <w:r>
        <w:t>as</w:t>
      </w:r>
      <w:r w:rsidRPr="0090711D">
        <w:t xml:space="preserve"> “the quickest, cheapest, and m</w:t>
      </w:r>
      <w:r>
        <w:t xml:space="preserve">ost practical source of energy In the same year President Carter also issued the </w:t>
      </w:r>
      <w:r w:rsidRPr="0090711D">
        <w:t>first executive order</w:t>
      </w:r>
      <w:r>
        <w:t xml:space="preserve"> on energy efficiency, </w:t>
      </w:r>
      <w:r w:rsidRPr="0090711D">
        <w:t>Energy Policy and Conservation E.O. 12003</w:t>
      </w:r>
      <w:r>
        <w:t xml:space="preserve"> </w:t>
      </w:r>
      <w:r w:rsidRPr="0090711D">
        <w:t>requiring federal agencies to develop energy conservation plans</w:t>
      </w:r>
      <w:r>
        <w:t xml:space="preserve"> (</w:t>
      </w:r>
      <w:r w:rsidRPr="002D2D32">
        <w:t>Woolley</w:t>
      </w:r>
      <w:r>
        <w:t xml:space="preserve"> and Peters</w:t>
      </w:r>
      <w:r w:rsidRPr="002D2D32">
        <w:t xml:space="preserve"> </w:t>
      </w:r>
      <w:r>
        <w:t>n.d.</w:t>
      </w:r>
      <w:r w:rsidRPr="003F01E1">
        <w:t>)</w:t>
      </w:r>
      <w:r w:rsidRPr="0090711D">
        <w:t xml:space="preserve">.  </w:t>
      </w:r>
      <w:r>
        <w:t xml:space="preserve">Other policy actions in 1977 included the creation of the </w:t>
      </w:r>
      <w:r w:rsidRPr="0090711D">
        <w:t>U.S. Department of Energy,</w:t>
      </w:r>
      <w:r>
        <w:t xml:space="preserve"> thereby</w:t>
      </w:r>
      <w:r w:rsidRPr="0090711D">
        <w:t xml:space="preserve"> consolidating multiple federal agencies and programs, including many that support energy efficiency, into one cabinet-level department.  </w:t>
      </w:r>
      <w:r>
        <w:t xml:space="preserve"> </w:t>
      </w:r>
    </w:p>
    <w:p w14:paraId="03AF6AB9" w14:textId="70E1C86B" w:rsidR="00810FAC" w:rsidRDefault="00810FAC" w:rsidP="009148E2">
      <w:pPr>
        <w:pStyle w:val="CH5BodyText"/>
      </w:pPr>
      <w:r w:rsidRPr="0090711D">
        <w:t xml:space="preserve">In 1978, </w:t>
      </w:r>
      <w:r>
        <w:t xml:space="preserve">partly in response to the Administration’s new energy plan, </w:t>
      </w:r>
      <w:r w:rsidRPr="0090711D">
        <w:t xml:space="preserve">Congress enacted the National Energy Act, </w:t>
      </w:r>
      <w:r>
        <w:t>including</w:t>
      </w:r>
      <w:r w:rsidRPr="0090711D">
        <w:t xml:space="preserve"> the National Energy Conservation Policy Act (NE</w:t>
      </w:r>
      <w:r>
        <w:t>CP</w:t>
      </w:r>
      <w:r w:rsidRPr="0090711D">
        <w:t>A)</w:t>
      </w:r>
      <w:r>
        <w:t xml:space="preserve">, which made EPCA’s </w:t>
      </w:r>
      <w:r w:rsidRPr="0090711D">
        <w:t>provisions for federal efficiency standards</w:t>
      </w:r>
      <w:r>
        <w:t xml:space="preserve"> mandatory and pre-emptive of state law; established the Residential Conservation Service (RCS), which required utilities to provide home energy audits; and authorized the Institutional Conservation Program (ICP), a grant program for schools and hospitals</w:t>
      </w:r>
      <w:r w:rsidRPr="0090711D">
        <w:t>. NE</w:t>
      </w:r>
      <w:r>
        <w:t>CP</w:t>
      </w:r>
      <w:r w:rsidRPr="0090711D">
        <w:t xml:space="preserve">A also </w:t>
      </w:r>
      <w:r>
        <w:t>provides</w:t>
      </w:r>
      <w:r w:rsidRPr="0090711D">
        <w:t xml:space="preserve"> the core authority for </w:t>
      </w:r>
      <w:r>
        <w:t xml:space="preserve">the </w:t>
      </w:r>
      <w:r w:rsidRPr="0090711D">
        <w:t xml:space="preserve">federal </w:t>
      </w:r>
      <w:r>
        <w:t xml:space="preserve">government’s </w:t>
      </w:r>
      <w:r w:rsidRPr="0090711D">
        <w:t xml:space="preserve">energy management goals and requirements, </w:t>
      </w:r>
      <w:r>
        <w:t>which have</w:t>
      </w:r>
      <w:r w:rsidRPr="0090711D">
        <w:t xml:space="preserve"> been updated and amended since 1978</w:t>
      </w:r>
      <w:r>
        <w:t xml:space="preserve"> (Congress 1978a)</w:t>
      </w:r>
      <w:r w:rsidRPr="0090711D">
        <w:t>.</w:t>
      </w:r>
      <w:r>
        <w:t xml:space="preserve"> Congress also passed the Public Utility Regulatory Policies Act (PURPA) in 1978 which, among other provisions, introduced competition into generation markets, and required state utility commissions to consider ratemaking practices that encourage energy efficiency (Congress 1978b). As state commissions pursued PURPA-related requirements as well as their own related policy interests, integrated resource planning became more widely used, and the concept of demand-side management (DSM) emerged, in which </w:t>
      </w:r>
      <w:r>
        <w:lastRenderedPageBreak/>
        <w:t>utilities implement programs to influence customer loads through energy efficiency and other demand-side initiatives (RAP 2011).</w:t>
      </w:r>
    </w:p>
    <w:p w14:paraId="7B9DF69F" w14:textId="77777777" w:rsidR="00810FAC" w:rsidRPr="0090711D" w:rsidRDefault="00810FAC" w:rsidP="009148E2">
      <w:pPr>
        <w:pStyle w:val="CH5BodyText"/>
      </w:pPr>
      <w:r w:rsidRPr="0090711D">
        <w:t xml:space="preserve">The energy service company (ESCO) business model </w:t>
      </w:r>
      <w:r>
        <w:t xml:space="preserve">also </w:t>
      </w:r>
      <w:r w:rsidRPr="0090711D">
        <w:t xml:space="preserve">emerged during </w:t>
      </w:r>
      <w:r>
        <w:t>the 1970s and 1980s. Leaders in the Federal Energy Administration, such as Roger Sant, defined the term “energy services” in the 1970s as the services people want from energy, such as lighting and comfort, and distinct from energy commodities such as fuels and electricity. This concept gave rise to the energy services business, in which ESCOs could reduce energy service costs through energy efficiency. The ESCO industry’s growth was</w:t>
      </w:r>
      <w:r w:rsidRPr="0090711D">
        <w:t xml:space="preserve"> supported by utilities paying ESCOs for services such as </w:t>
      </w:r>
      <w:r>
        <w:t xml:space="preserve">utility-supported </w:t>
      </w:r>
      <w:r w:rsidRPr="0090711D">
        <w:t>energy audits, and</w:t>
      </w:r>
      <w:r>
        <w:t xml:space="preserve"> by helping federal agencies </w:t>
      </w:r>
      <w:r w:rsidRPr="0090711D">
        <w:t>implementing federal energy management goals</w:t>
      </w:r>
      <w:r>
        <w:t xml:space="preserve"> (NAESCO 2011)</w:t>
      </w:r>
      <w:r w:rsidRPr="0090711D">
        <w:t xml:space="preserve">. </w:t>
      </w:r>
      <w:r>
        <w:t xml:space="preserve">ESCOs also succeeded in contracting with state and local and institutional customers, whose limited ability to finance energy improvements matched up well with ESCOs’ ability to bring private capital to energy improvement projects. </w:t>
      </w:r>
    </w:p>
    <w:p w14:paraId="760B3389" w14:textId="58504AF5" w:rsidR="00810FAC" w:rsidRPr="0090711D" w:rsidRDefault="00810FAC" w:rsidP="009148E2">
      <w:pPr>
        <w:pStyle w:val="CH5BodyText"/>
      </w:pPr>
      <w:r w:rsidRPr="0090711D">
        <w:t xml:space="preserve">Federal policy support for energy efficiency </w:t>
      </w:r>
      <w:r>
        <w:t>declined dramatically in</w:t>
      </w:r>
      <w:r w:rsidRPr="0090711D">
        <w:t xml:space="preserve"> the 1980s</w:t>
      </w:r>
      <w:r>
        <w:t xml:space="preserve"> under the Reagan Administration</w:t>
      </w:r>
      <w:r w:rsidRPr="0090711D">
        <w:t xml:space="preserve"> as energy </w:t>
      </w:r>
      <w:r>
        <w:t xml:space="preserve">supplies improved, </w:t>
      </w:r>
      <w:r w:rsidRPr="0090711D">
        <w:t>prices stabilized</w:t>
      </w:r>
      <w:r>
        <w:t>, and a less favorable climate for federal regulation emerged. The BEPS and RCS programs were repealed, and a “no-standard” standard was issued under NECPA appliance standards authority.</w:t>
      </w:r>
      <w:r w:rsidRPr="0090711D">
        <w:t xml:space="preserve">  </w:t>
      </w:r>
      <w:r>
        <w:t xml:space="preserve">Some states acted to fill these policy vacuums, enacting their own building codes, appliance standards, and utility programs.  Appliance manufacturers, concerned about the proliferation of multiple, different state standards, supported a compromised effort that resulted in the </w:t>
      </w:r>
      <w:r w:rsidRPr="0090711D">
        <w:t>1987</w:t>
      </w:r>
      <w:r>
        <w:t xml:space="preserve"> </w:t>
      </w:r>
      <w:r w:rsidRPr="0090711D">
        <w:t>National Appliance Energy Conservation Act (NAECA)</w:t>
      </w:r>
      <w:r w:rsidR="007A3569" w:rsidRPr="007A3569">
        <w:t xml:space="preserve"> </w:t>
      </w:r>
      <w:r w:rsidR="007A3569">
        <w:t>(Congress</w:t>
      </w:r>
      <w:r w:rsidR="007A3569" w:rsidRPr="002D2D32">
        <w:t xml:space="preserve"> 1987</w:t>
      </w:r>
      <w:r w:rsidR="007A3569" w:rsidRPr="004062CD">
        <w:t>)</w:t>
      </w:r>
      <w:r>
        <w:t xml:space="preserve">. NAECA, </w:t>
      </w:r>
      <w:r w:rsidRPr="0090711D">
        <w:t>which was further amended in 1988</w:t>
      </w:r>
      <w:r>
        <w:t xml:space="preserve">, </w:t>
      </w:r>
      <w:r w:rsidRPr="0090711D">
        <w:t xml:space="preserve">established the first national home appliance efficiency standards </w:t>
      </w:r>
      <w:r>
        <w:t>by amending NECPA</w:t>
      </w:r>
      <w:r w:rsidRPr="004062CD">
        <w:t>.</w:t>
      </w:r>
      <w:r>
        <w:t xml:space="preserve"> </w:t>
      </w:r>
      <w:r w:rsidRPr="0090711D">
        <w:t xml:space="preserve">During the 1980s, </w:t>
      </w:r>
      <w:r>
        <w:t xml:space="preserve">state and local </w:t>
      </w:r>
      <w:r w:rsidRPr="0090711D">
        <w:t xml:space="preserve">residential and commercial building energy codes were also </w:t>
      </w:r>
      <w:r>
        <w:t>adopted</w:t>
      </w:r>
      <w:r w:rsidRPr="0090711D">
        <w:t xml:space="preserve"> to achieve greater energy savings in new constructio</w:t>
      </w:r>
      <w:r>
        <w:t>n (BCAP n.d.)</w:t>
      </w:r>
      <w:r w:rsidRPr="0090711D">
        <w:t>.</w:t>
      </w:r>
    </w:p>
    <w:p w14:paraId="26C4FFB0" w14:textId="77777777" w:rsidR="00810FAC" w:rsidRPr="0090711D" w:rsidRDefault="00810FAC" w:rsidP="009148E2">
      <w:pPr>
        <w:pStyle w:val="CH5BodyText"/>
      </w:pPr>
      <w:r>
        <w:t>As integrated resource planning and DSM practices continued to spread in the 1980s</w:t>
      </w:r>
      <w:r w:rsidRPr="0090711D">
        <w:t>,</w:t>
      </w:r>
      <w:r>
        <w:t xml:space="preserve"> and</w:t>
      </w:r>
      <w:r w:rsidRPr="0090711D">
        <w:t xml:space="preserve"> electric utilit</w:t>
      </w:r>
      <w:r>
        <w:t xml:space="preserve">ies </w:t>
      </w:r>
      <w:r w:rsidRPr="0090711D">
        <w:t xml:space="preserve">began to offer customers </w:t>
      </w:r>
      <w:r>
        <w:t>DSM</w:t>
      </w:r>
      <w:r w:rsidRPr="0090711D">
        <w:t xml:space="preserve"> programs</w:t>
      </w:r>
      <w:r>
        <w:t xml:space="preserve"> under formal regulatory processes</w:t>
      </w:r>
      <w:r w:rsidRPr="0090711D">
        <w:t xml:space="preserve">, including programs to incentivize more efficient technologies and practices.  These </w:t>
      </w:r>
      <w:r>
        <w:t xml:space="preserve">DSM </w:t>
      </w:r>
      <w:r w:rsidRPr="0090711D">
        <w:t xml:space="preserve">programs </w:t>
      </w:r>
      <w:r>
        <w:t>sometimes resembled</w:t>
      </w:r>
      <w:r w:rsidRPr="0090711D">
        <w:t xml:space="preserve"> utility conservation programs </w:t>
      </w:r>
      <w:r>
        <w:t>launched in</w:t>
      </w:r>
      <w:r w:rsidRPr="0090711D">
        <w:t xml:space="preserve"> the 1970s, but signified a </w:t>
      </w:r>
      <w:r>
        <w:t xml:space="preserve">larger </w:t>
      </w:r>
      <w:r w:rsidRPr="0090711D">
        <w:t xml:space="preserve">shift to integrate energy efficiency into broader </w:t>
      </w:r>
      <w:r>
        <w:t xml:space="preserve">utility </w:t>
      </w:r>
      <w:r w:rsidRPr="0090711D">
        <w:t>planning and operations</w:t>
      </w:r>
      <w:r>
        <w:t xml:space="preserve"> (ACEEE 2012b)</w:t>
      </w:r>
      <w:r w:rsidRPr="0090711D">
        <w:t>.</w:t>
      </w:r>
      <w:r w:rsidRPr="0090711D">
        <w:rPr>
          <w:rStyle w:val="FootnoteReference"/>
        </w:rPr>
        <w:t xml:space="preserve"> </w:t>
      </w:r>
      <w:r w:rsidRPr="0090711D">
        <w:t xml:space="preserve"> </w:t>
      </w:r>
      <w:r>
        <w:t xml:space="preserve">The rapid growth of DSM in the 1980s was the result of the 1970s’ increased energy prices, energy security concerns, and the environmental consequences of electricity </w:t>
      </w:r>
      <w:r>
        <w:lastRenderedPageBreak/>
        <w:t>generation. Rising power plant capital and fuel costs resulted in rate increases, rising customer dissatisfaction, and new requirements for utilities to pursue IRP</w:t>
      </w:r>
      <w:r w:rsidRPr="0090711D">
        <w:t xml:space="preserve"> to manage electricity demand, supply and risk</w:t>
      </w:r>
      <w:r>
        <w:t xml:space="preserve"> (LBNL 1996)</w:t>
      </w:r>
      <w:r w:rsidRPr="0090711D">
        <w:t>.</w:t>
      </w:r>
      <w:r>
        <w:t xml:space="preserve"> </w:t>
      </w:r>
      <w:r w:rsidRPr="0090711D">
        <w:t>By the end of the decade, 41 states had made some progress towards implementing a rule to require integrated resource planning by electric utilities</w:t>
      </w:r>
      <w:r>
        <w:t xml:space="preserve"> (Synapse 2011)</w:t>
      </w:r>
      <w:r w:rsidRPr="0090711D">
        <w:t>.</w:t>
      </w:r>
      <w:r>
        <w:t xml:space="preserve"> </w:t>
      </w:r>
      <w:r w:rsidRPr="0090711D">
        <w:t xml:space="preserve">Utilities </w:t>
      </w:r>
      <w:r>
        <w:t>also played</w:t>
      </w:r>
      <w:r w:rsidRPr="0090711D">
        <w:t xml:space="preserve"> a key role in </w:t>
      </w:r>
      <w:r>
        <w:t xml:space="preserve">supporting </w:t>
      </w:r>
      <w:r w:rsidRPr="0090711D">
        <w:t>ESCO projects</w:t>
      </w:r>
      <w:r>
        <w:t xml:space="preserve"> into the 1990s</w:t>
      </w:r>
      <w:r w:rsidRPr="0090711D">
        <w:t xml:space="preserve"> by </w:t>
      </w:r>
      <w:r>
        <w:t>providing incentives that offset</w:t>
      </w:r>
      <w:r w:rsidRPr="0090711D">
        <w:t xml:space="preserve"> energy efficiency project costs</w:t>
      </w:r>
      <w:r>
        <w:t xml:space="preserve">, as integrated resource plans found that investments in energy efficiency were lower-cost alternative to </w:t>
      </w:r>
      <w:r w:rsidRPr="0090711D">
        <w:t>new power plants.</w:t>
      </w:r>
    </w:p>
    <w:p w14:paraId="6E91D295" w14:textId="77777777" w:rsidR="00810FAC" w:rsidRPr="0090711D" w:rsidRDefault="00810FAC" w:rsidP="009148E2">
      <w:pPr>
        <w:pStyle w:val="CH5BodyText"/>
      </w:pPr>
      <w:r w:rsidRPr="0090711D">
        <w:t>The 1990s began with the Clean Air Act Amendments</w:t>
      </w:r>
      <w:r>
        <w:t xml:space="preserve"> and the Pollution Prevention Act</w:t>
      </w:r>
      <w:r w:rsidRPr="0090711D">
        <w:t xml:space="preserve"> of 1990</w:t>
      </w:r>
      <w:r>
        <w:t>, each of which in their own ways</w:t>
      </w:r>
      <w:r w:rsidRPr="0090711D">
        <w:t xml:space="preserve"> recogniz</w:t>
      </w:r>
      <w:r>
        <w:t>ed</w:t>
      </w:r>
      <w:r w:rsidRPr="0090711D">
        <w:t xml:space="preserve"> the role energy efficiency </w:t>
      </w:r>
      <w:r>
        <w:t xml:space="preserve">can </w:t>
      </w:r>
      <w:r w:rsidRPr="0090711D">
        <w:t>play in protecting human health and the environment.</w:t>
      </w:r>
      <w:r>
        <w:t xml:space="preserve"> </w:t>
      </w:r>
      <w:r w:rsidRPr="0090711D">
        <w:t>The</w:t>
      </w:r>
      <w:r>
        <w:t xml:space="preserve"> Clean Air Act </w:t>
      </w:r>
      <w:r w:rsidRPr="0090711D">
        <w:t xml:space="preserve">amendments provided </w:t>
      </w:r>
      <w:r>
        <w:t>the</w:t>
      </w:r>
      <w:r w:rsidRPr="0090711D">
        <w:t xml:space="preserve"> authority to </w:t>
      </w:r>
      <w:r>
        <w:t>use</w:t>
      </w:r>
      <w:r w:rsidRPr="0090711D">
        <w:t xml:space="preserve"> demand-side energy efficiency </w:t>
      </w:r>
      <w:r>
        <w:t xml:space="preserve">as a compliance option </w:t>
      </w:r>
      <w:r w:rsidRPr="0090711D">
        <w:t xml:space="preserve">that gives utilities flexibility to obtain needed </w:t>
      </w:r>
      <w:r>
        <w:t xml:space="preserve">sulfur dioxide </w:t>
      </w:r>
      <w:r w:rsidRPr="0090711D">
        <w:t>emission reductions through programs that encourage customers to conserve energy.</w:t>
      </w:r>
      <w:r>
        <w:t xml:space="preserve"> </w:t>
      </w:r>
      <w:r w:rsidRPr="0090711D">
        <w:t xml:space="preserve">In 1992, EPA introduced the ENERGY STAR label for office products which manufacturers voluntarily design to perform at superior levels of energy savings. President Clinton signed Executive Order 12845 in 1993 requiring federal agencies to purchase ENERGY STAR qualified products. </w:t>
      </w:r>
      <w:r>
        <w:t>The Pollution Prevention Act gave EPA new authority to reduce emissions via voluntary and other approaches that reduce pollution sources.</w:t>
      </w:r>
    </w:p>
    <w:p w14:paraId="6B48A18D" w14:textId="2A7722F0" w:rsidR="00810FAC" w:rsidRPr="0090711D" w:rsidRDefault="00810FAC" w:rsidP="009148E2">
      <w:pPr>
        <w:pStyle w:val="CH5BodyText"/>
      </w:pPr>
      <w:r>
        <w:t>T</w:t>
      </w:r>
      <w:r w:rsidRPr="0090711D">
        <w:t>he Energy Policy Act</w:t>
      </w:r>
      <w:r w:rsidR="00BA7869">
        <w:t xml:space="preserve"> (EPAct)</w:t>
      </w:r>
      <w:r w:rsidRPr="0090711D">
        <w:t xml:space="preserve"> of 1992 also advanced energy efficiency through a broad suite of policies, including federal </w:t>
      </w:r>
      <w:r>
        <w:t xml:space="preserve">appliance and </w:t>
      </w:r>
      <w:r w:rsidRPr="0090711D">
        <w:t>equipment efficiency standards,</w:t>
      </w:r>
      <w:r>
        <w:t xml:space="preserve"> requirements for states and the Department of Energy on</w:t>
      </w:r>
      <w:r w:rsidRPr="0090711D">
        <w:t xml:space="preserve"> model building codes,</w:t>
      </w:r>
      <w:r>
        <w:t xml:space="preserve"> new requirements for</w:t>
      </w:r>
      <w:r w:rsidRPr="0090711D">
        <w:t xml:space="preserve"> federal energy management, </w:t>
      </w:r>
      <w:r>
        <w:t xml:space="preserve">new provisions on </w:t>
      </w:r>
      <w:r w:rsidRPr="0090711D">
        <w:t xml:space="preserve">least-cost planning for federal electric utilities, and </w:t>
      </w:r>
      <w:r>
        <w:t xml:space="preserve">new </w:t>
      </w:r>
      <w:r w:rsidRPr="0090711D">
        <w:t>research and development</w:t>
      </w:r>
      <w:r>
        <w:t xml:space="preserve"> authorizations</w:t>
      </w:r>
      <w:r w:rsidRPr="0090711D">
        <w:t>.</w:t>
      </w:r>
      <w:r>
        <w:t xml:space="preserve"> </w:t>
      </w:r>
      <w:r w:rsidRPr="0090711D">
        <w:t>EPAct 1992 also included provisions to encourage states to adopt policies to support energy savings</w:t>
      </w:r>
      <w:r>
        <w:t xml:space="preserve"> through</w:t>
      </w:r>
      <w:r w:rsidRPr="0090711D">
        <w:t xml:space="preserve"> electric utility regulatory reforms</w:t>
      </w:r>
      <w:r>
        <w:t xml:space="preserve"> (</w:t>
      </w:r>
      <w:r w:rsidR="00BA7869">
        <w:t>Congress</w:t>
      </w:r>
      <w:r>
        <w:t xml:space="preserve"> 1992)</w:t>
      </w:r>
      <w:r w:rsidRPr="0090711D">
        <w:t xml:space="preserve">. </w:t>
      </w:r>
      <w:r>
        <w:t xml:space="preserve"> </w:t>
      </w:r>
      <w:r w:rsidRPr="0090711D">
        <w:t>In 199</w:t>
      </w:r>
      <w:r>
        <w:t>6</w:t>
      </w:r>
      <w:r w:rsidRPr="0090711D">
        <w:t xml:space="preserve">, DOE </w:t>
      </w:r>
      <w:r>
        <w:t xml:space="preserve">and </w:t>
      </w:r>
      <w:r w:rsidRPr="0090711D">
        <w:t>EPA</w:t>
      </w:r>
      <w:r>
        <w:t xml:space="preserve"> signed a joint Memorandum of Understanding to cooperate</w:t>
      </w:r>
      <w:r w:rsidRPr="0090711D">
        <w:t xml:space="preserve"> in delivering the </w:t>
      </w:r>
      <w:r>
        <w:t xml:space="preserve">growing suite of </w:t>
      </w:r>
      <w:r w:rsidRPr="0090711D">
        <w:t>ENERGY STAR program</w:t>
      </w:r>
      <w:r>
        <w:t>s</w:t>
      </w:r>
      <w:r w:rsidRPr="0090711D">
        <w:t>, increasing the number of products</w:t>
      </w:r>
      <w:r>
        <w:t xml:space="preserve"> and markets</w:t>
      </w:r>
      <w:r w:rsidRPr="0090711D">
        <w:t xml:space="preserve"> covered and leveraging expertise and resources across the federal government.</w:t>
      </w:r>
    </w:p>
    <w:p w14:paraId="5C6A8F23" w14:textId="20D2B69F" w:rsidR="00810FAC" w:rsidRPr="0090711D" w:rsidRDefault="00810FAC" w:rsidP="009148E2">
      <w:pPr>
        <w:pStyle w:val="CH5BodyText"/>
      </w:pPr>
      <w:r w:rsidRPr="0090711D">
        <w:t xml:space="preserve">During the early 1990s, electric utility </w:t>
      </w:r>
      <w:r>
        <w:t>DSM</w:t>
      </w:r>
      <w:r w:rsidRPr="0090711D">
        <w:t xml:space="preserve"> programs </w:t>
      </w:r>
      <w:r>
        <w:t>grew rapidly</w:t>
      </w:r>
      <w:r w:rsidRPr="0090711D">
        <w:t>, with energy savings exceeding 50 billion kilowatt-hours (kWh) and utility spending at $2.7 billion in 1994</w:t>
      </w:r>
      <w:r>
        <w:t xml:space="preserve"> (ACEEE 2000)</w:t>
      </w:r>
      <w:r w:rsidRPr="0090711D">
        <w:t>.</w:t>
      </w:r>
      <w:r>
        <w:t xml:space="preserve"> </w:t>
      </w:r>
      <w:r w:rsidRPr="0090711D">
        <w:t xml:space="preserve">About 95 percent of the reported energy savings, though only slightly over half of the </w:t>
      </w:r>
      <w:r w:rsidRPr="0090711D">
        <w:lastRenderedPageBreak/>
        <w:t>spending, was attributed to programs reported as targeting energy efficiency</w:t>
      </w:r>
      <w:r>
        <w:t xml:space="preserve"> (ACEEE 2000)</w:t>
      </w:r>
      <w:r w:rsidRPr="0090711D">
        <w:t>.</w:t>
      </w:r>
      <w:r>
        <w:t xml:space="preserve"> </w:t>
      </w:r>
      <w:r w:rsidRPr="0090711D">
        <w:t>These utility programs accelerated the commercialization of advanced energy efficiency technologies, often by partnering with federal energy efficiency programs like ENERGY STAR</w:t>
      </w:r>
      <w:r>
        <w:t xml:space="preserve"> (ENERGY STAR 2012a, 2012b)</w:t>
      </w:r>
      <w:r w:rsidRPr="0090711D">
        <w:t xml:space="preserve">. By the late 1990s, funding for utility-sponsored energy efficiency programs </w:t>
      </w:r>
      <w:r>
        <w:t xml:space="preserve">fell to less than one-third of its 1994 peak, as </w:t>
      </w:r>
      <w:r w:rsidRPr="0090711D">
        <w:t xml:space="preserve">about half of the states </w:t>
      </w:r>
      <w:r>
        <w:t xml:space="preserve">from a wave of electricity restructuring policies, accompanied by </w:t>
      </w:r>
      <w:r w:rsidRPr="0090711D">
        <w:t xml:space="preserve"> increased political and regulatory pressures to hold down electricity prices</w:t>
      </w:r>
      <w:r>
        <w:t xml:space="preserve"> (EPA and DOE 2006)</w:t>
      </w:r>
      <w:r w:rsidRPr="0090711D">
        <w:t>.</w:t>
      </w:r>
      <w:r>
        <w:t xml:space="preserve"> Some</w:t>
      </w:r>
      <w:r w:rsidRPr="0090711D">
        <w:t xml:space="preserve"> restructured electric utilities shifted their focus away from </w:t>
      </w:r>
      <w:r>
        <w:t>regulated DSM</w:t>
      </w:r>
      <w:r w:rsidRPr="0090711D">
        <w:t xml:space="preserve"> programs to </w:t>
      </w:r>
      <w:r>
        <w:t>unregulated</w:t>
      </w:r>
      <w:r w:rsidRPr="0090711D">
        <w:t xml:space="preserve"> </w:t>
      </w:r>
      <w:r>
        <w:t xml:space="preserve">power marketing and </w:t>
      </w:r>
      <w:r w:rsidRPr="0090711D">
        <w:t>ESCO</w:t>
      </w:r>
      <w:r>
        <w:t xml:space="preserve"> businesse</w:t>
      </w:r>
      <w:r w:rsidRPr="0090711D">
        <w:t xml:space="preserve">s to deliver energy </w:t>
      </w:r>
      <w:r>
        <w:t xml:space="preserve">sales and </w:t>
      </w:r>
      <w:r w:rsidRPr="0090711D">
        <w:t>services directly to customers.</w:t>
      </w:r>
      <w:r>
        <w:t xml:space="preserve"> </w:t>
      </w:r>
      <w:r w:rsidRPr="0090711D">
        <w:t xml:space="preserve">However, the business model for these market-based ESCOs limited </w:t>
      </w:r>
      <w:r>
        <w:t>their ability to reach all but the largest</w:t>
      </w:r>
      <w:r w:rsidRPr="0090711D">
        <w:t xml:space="preserve"> industrial, commercial and institutional customers.</w:t>
      </w:r>
      <w:r>
        <w:t xml:space="preserve"> Recognizing the limits of private-market delivery of EE, and seeking to preserve the benefits of EE programs, as the more states restructured their electricity markets in the 1990s, some 20</w:t>
      </w:r>
      <w:r w:rsidRPr="0090711D">
        <w:t xml:space="preserve"> states adopted public benefit fund</w:t>
      </w:r>
      <w:r>
        <w:t>s (PBFs)</w:t>
      </w:r>
      <w:r w:rsidRPr="0090711D">
        <w:t xml:space="preserve"> to ensure continuation of ratepayer-funded programs.</w:t>
      </w:r>
      <w:r>
        <w:t xml:space="preserve"> </w:t>
      </w:r>
      <w:r w:rsidRPr="0090711D">
        <w:t xml:space="preserve">Several states and local governments also </w:t>
      </w:r>
      <w:r>
        <w:t xml:space="preserve">expanded the </w:t>
      </w:r>
      <w:r w:rsidRPr="0090711D">
        <w:t>authorized use of ESCO services in public facilities via lead-by-example policies.</w:t>
      </w:r>
    </w:p>
    <w:p w14:paraId="7F0227B9" w14:textId="6062EC07" w:rsidR="00810FAC" w:rsidRPr="0090711D" w:rsidRDefault="00810FAC" w:rsidP="009148E2">
      <w:pPr>
        <w:pStyle w:val="CH5BodyText"/>
      </w:pPr>
      <w:r>
        <w:t>Following the year</w:t>
      </w:r>
      <w:r w:rsidRPr="0090711D">
        <w:t xml:space="preserve"> 2000, energy efficiency policies and programs gained increased attention and, supported by</w:t>
      </w:r>
      <w:r>
        <w:t xml:space="preserve"> </w:t>
      </w:r>
      <w:r w:rsidRPr="0090711D">
        <w:t xml:space="preserve">decades of implementation experience, began to be widely recognized as a legitimate, measureable, and low-cost option to </w:t>
      </w:r>
      <w:r>
        <w:t>serve</w:t>
      </w:r>
      <w:r w:rsidRPr="0090711D">
        <w:t xml:space="preserve"> the nation’s </w:t>
      </w:r>
      <w:r>
        <w:t>energy and environmental goals</w:t>
      </w:r>
      <w:r w:rsidRPr="0090711D">
        <w:t>.</w:t>
      </w:r>
      <w:r>
        <w:t xml:space="preserve"> Congress displayed a strong commitment to energy efficiency in t</w:t>
      </w:r>
      <w:r w:rsidRPr="0090711D">
        <w:t xml:space="preserve">he Energy Policy Act </w:t>
      </w:r>
      <w:r w:rsidR="007A3569">
        <w:t>(</w:t>
      </w:r>
      <w:r w:rsidR="00BA7869">
        <w:t>EPAct</w:t>
      </w:r>
      <w:r w:rsidR="007A3569">
        <w:t>)</w:t>
      </w:r>
      <w:r w:rsidR="00BA7869">
        <w:t xml:space="preserve"> </w:t>
      </w:r>
      <w:r w:rsidRPr="0090711D">
        <w:t>of 2005</w:t>
      </w:r>
      <w:r>
        <w:t>, which</w:t>
      </w:r>
      <w:r w:rsidRPr="0090711D">
        <w:t xml:space="preserve"> included sweeping energy efficiency provisions</w:t>
      </w:r>
      <w:r>
        <w:t>: it authorized</w:t>
      </w:r>
      <w:r w:rsidRPr="0090711D">
        <w:t xml:space="preserve"> $250 million over five years to provide energy efficiency appliance rebates, $1.</w:t>
      </w:r>
      <w:r>
        <w:t>8</w:t>
      </w:r>
      <w:r w:rsidRPr="0090711D">
        <w:t xml:space="preserve"> billion over three years for weatherization services, included </w:t>
      </w:r>
      <w:r>
        <w:t xml:space="preserve">direct enactment of </w:t>
      </w:r>
      <w:r w:rsidRPr="0090711D">
        <w:t>federal efficiency standards, and</w:t>
      </w:r>
      <w:r>
        <w:t xml:space="preserve"> authorized a national</w:t>
      </w:r>
      <w:r w:rsidRPr="0090711D">
        <w:t xml:space="preserve"> consumer education </w:t>
      </w:r>
      <w:r>
        <w:t>campaign</w:t>
      </w:r>
      <w:r w:rsidRPr="0090711D">
        <w:t xml:space="preserve"> on energy efficiency</w:t>
      </w:r>
      <w:r>
        <w:t xml:space="preserve"> (</w:t>
      </w:r>
      <w:r w:rsidR="00BA7869">
        <w:t>Congress</w:t>
      </w:r>
      <w:r>
        <w:t xml:space="preserve"> 2005)</w:t>
      </w:r>
      <w:r w:rsidRPr="0090711D">
        <w:t>.</w:t>
      </w:r>
      <w:r>
        <w:t xml:space="preserve"> </w:t>
      </w:r>
      <w:r w:rsidRPr="0090711D">
        <w:t xml:space="preserve"> </w:t>
      </w:r>
      <w:r>
        <w:t>At the same time</w:t>
      </w:r>
      <w:r w:rsidRPr="0090711D">
        <w:t>, however, the ESCO market declined due to</w:t>
      </w:r>
      <w:r>
        <w:t xml:space="preserve"> an authorization lapse for the federal Energy Savings Performance Contracting (ESPC) program </w:t>
      </w:r>
      <w:r w:rsidRPr="0090711D">
        <w:t>and</w:t>
      </w:r>
      <w:r>
        <w:t xml:space="preserve"> loss of</w:t>
      </w:r>
      <w:r w:rsidRPr="0090711D">
        <w:t xml:space="preserve"> market confidence for industrial financing mechanisms</w:t>
      </w:r>
      <w:r>
        <w:t xml:space="preserve"> (NAESCO 2011)</w:t>
      </w:r>
      <w:r w:rsidRPr="0090711D">
        <w:t>.</w:t>
      </w:r>
      <w:r>
        <w:t xml:space="preserve"> </w:t>
      </w:r>
      <w:r w:rsidRPr="0090711D">
        <w:t>This trend was soon reversed as ESCO</w:t>
      </w:r>
      <w:r>
        <w:t>s</w:t>
      </w:r>
      <w:r w:rsidRPr="0090711D">
        <w:t xml:space="preserve"> increased focus on state and local public buildings and innovated in order to provide customers new technologies and financial </w:t>
      </w:r>
      <w:r w:rsidRPr="004657F8">
        <w:t>models.</w:t>
      </w:r>
      <w:r>
        <w:t xml:space="preserve"> Eventual resolution of the ESPC authorization program, and e</w:t>
      </w:r>
      <w:r w:rsidRPr="004657F8">
        <w:t xml:space="preserve">xecutive </w:t>
      </w:r>
      <w:r>
        <w:t>o</w:t>
      </w:r>
      <w:r w:rsidRPr="004657F8">
        <w:t xml:space="preserve">rders by both President Bush and President Obama </w:t>
      </w:r>
      <w:r w:rsidRPr="004657F8">
        <w:lastRenderedPageBreak/>
        <w:t xml:space="preserve">have also required more aggressive energy savings in federal </w:t>
      </w:r>
      <w:r w:rsidRPr="00EF0B54">
        <w:t>facilities (</w:t>
      </w:r>
      <w:r>
        <w:t>White House</w:t>
      </w:r>
      <w:r w:rsidRPr="002D2D32">
        <w:t xml:space="preserve"> 2007, 2009, 2015</w:t>
      </w:r>
      <w:r w:rsidRPr="00EF0B54">
        <w:t>).</w:t>
      </w:r>
    </w:p>
    <w:p w14:paraId="10BAE7A2" w14:textId="77777777" w:rsidR="00810FAC" w:rsidRDefault="00810FAC" w:rsidP="009148E2">
      <w:pPr>
        <w:pStyle w:val="CH5BodyText"/>
      </w:pPr>
      <w:r w:rsidRPr="0090711D">
        <w:t>By the mid-2000s, the electric utility and regional electricity markets also solidified the validity of rate-payer funded energy efficiency programs as system resources. In 2006, the National Action Plan for Energy Efficiency Leadership Group of more than 60 leading gas and electric utilities, state agencies, energy consumers, energy service providers, environmental groups, and energy efficiency organizations released five policy recommendations recognizing energy efficiency as a high-priority energy resource.</w:t>
      </w:r>
      <w:r>
        <w:t xml:space="preserve"> </w:t>
      </w:r>
      <w:r w:rsidRPr="0090711D">
        <w:t>States, utilities, and key stakeholders across 49 states</w:t>
      </w:r>
      <w:r>
        <w:t xml:space="preserve"> joined</w:t>
      </w:r>
      <w:r w:rsidRPr="0090711D">
        <w:t xml:space="preserve"> in making aggressive commitments to energy efficiency and endorsing the Action Plan recommendations</w:t>
      </w:r>
      <w:r>
        <w:t xml:space="preserve"> (EPA and DOE 2006)</w:t>
      </w:r>
      <w:r w:rsidRPr="0090711D">
        <w:t>.</w:t>
      </w:r>
    </w:p>
    <w:p w14:paraId="6D54FC67" w14:textId="77777777" w:rsidR="00810FAC" w:rsidRPr="0090711D" w:rsidRDefault="00810FAC" w:rsidP="009148E2">
      <w:pPr>
        <w:pStyle w:val="CH5BodyText"/>
      </w:pPr>
      <w:r>
        <w:t xml:space="preserve">In the years following the Action Plan’s efforts, about half the states enacted Energy Efficiency Resource Standards (EERS), which are long-term, quantified energy savings targets designed to drive ratepayer-funded program plans. </w:t>
      </w:r>
      <w:r w:rsidRPr="0090711D">
        <w:t xml:space="preserve">These policy drivers lead to the evaluation, planning, and adoption of EE programs and associated budgets, which are supported through different funding mechanisms. Funding for utility </w:t>
      </w:r>
      <w:r>
        <w:t xml:space="preserve">electricity </w:t>
      </w:r>
      <w:r w:rsidRPr="0090711D">
        <w:t>energy efficiency programs has in turn increased rapidly, from $1.6 billion in 2006 to $6.3 billion in 2013</w:t>
      </w:r>
      <w:r>
        <w:t xml:space="preserve"> (ACEEE 2014c)</w:t>
      </w:r>
      <w:r w:rsidRPr="0090711D">
        <w:t>.</w:t>
      </w:r>
    </w:p>
    <w:p w14:paraId="7063F15A" w14:textId="55783BBC" w:rsidR="00810FAC" w:rsidRPr="0090711D" w:rsidRDefault="00810FAC" w:rsidP="009148E2">
      <w:pPr>
        <w:pStyle w:val="CH5BodyText"/>
      </w:pPr>
      <w:r w:rsidRPr="0090711D">
        <w:t xml:space="preserve">At the regional level, the wholesale electricity market operator in New England began to allow energy efficiency to participate in regional capacity markets as part of a </w:t>
      </w:r>
      <w:r>
        <w:t xml:space="preserve">2006 </w:t>
      </w:r>
      <w:r w:rsidRPr="0090711D">
        <w:t xml:space="preserve">settlement agreement with their regulator, </w:t>
      </w:r>
      <w:r>
        <w:t xml:space="preserve">the </w:t>
      </w:r>
      <w:r w:rsidRPr="0090711D">
        <w:t>Federal Energy Regulatory Commission</w:t>
      </w:r>
      <w:r>
        <w:t xml:space="preserve"> (FERC)</w:t>
      </w:r>
      <w:r w:rsidRPr="0090711D">
        <w:t>.</w:t>
      </w:r>
      <w:r>
        <w:t xml:space="preserve"> </w:t>
      </w:r>
      <w:r w:rsidRPr="0090711D">
        <w:t xml:space="preserve">Since 2009, energy efficiency </w:t>
      </w:r>
      <w:r w:rsidR="00EE6C2D">
        <w:t xml:space="preserve">providers </w:t>
      </w:r>
      <w:r w:rsidRPr="0090711D">
        <w:t>ha</w:t>
      </w:r>
      <w:r w:rsidR="00EE6C2D">
        <w:t>ve</w:t>
      </w:r>
      <w:r w:rsidRPr="0090711D">
        <w:t xml:space="preserve"> been compensated for its measureable contribution to meeting New England’s regional capacity needs, helping to ensure sufficient electricity will be available in the future to reliably meet demand across the region.</w:t>
      </w:r>
      <w:r>
        <w:t xml:space="preserve"> </w:t>
      </w:r>
      <w:r w:rsidRPr="0090711D">
        <w:t>PJM, the wholesale electricity market operator across 13 states around the Mid-Atlantic region, also integrated energy efficiency into this capacity market rules in 2009</w:t>
      </w:r>
      <w:r>
        <w:t xml:space="preserve"> (Booz Allen 2012)</w:t>
      </w:r>
      <w:r w:rsidRPr="0090711D">
        <w:t>.</w:t>
      </w:r>
    </w:p>
    <w:p w14:paraId="452F064D" w14:textId="41F16486" w:rsidR="00810FAC" w:rsidRPr="0090711D" w:rsidRDefault="00810FAC" w:rsidP="009148E2">
      <w:pPr>
        <w:pStyle w:val="CH5BodyText"/>
      </w:pPr>
      <w:r w:rsidRPr="0090711D">
        <w:t>In 2007, the Energy Independence and Security Act (EISA) passed due to growing concerns over both energy prices and climate change.</w:t>
      </w:r>
      <w:r>
        <w:t xml:space="preserve"> </w:t>
      </w:r>
      <w:r w:rsidRPr="0090711D">
        <w:t>EISA included several new, and strengthened existing, appliance and equipment standards</w:t>
      </w:r>
      <w:r>
        <w:t xml:space="preserve"> including a major incandescent lamp </w:t>
      </w:r>
      <w:r w:rsidRPr="0090711D">
        <w:t xml:space="preserve">efficiency standard, authorized industrial energy efficiency programs, and included </w:t>
      </w:r>
      <w:r w:rsidR="00EE6C2D">
        <w:t xml:space="preserve">a </w:t>
      </w:r>
      <w:r w:rsidRPr="0090711D">
        <w:t>provision for states to consider adopting policies to support greater energy efficiency.</w:t>
      </w:r>
      <w:r>
        <w:t xml:space="preserve"> </w:t>
      </w:r>
      <w:r w:rsidRPr="0090711D">
        <w:t xml:space="preserve">EISA also enacted the federal agency savings goals of President Bush’s 2007 Executive Order 13423, Strengthening </w:t>
      </w:r>
      <w:r w:rsidRPr="0090711D">
        <w:lastRenderedPageBreak/>
        <w:t>Federal Environmental, Energy and Transportation Management, which required even more aggressive building energy savings than previous Executive Orders.</w:t>
      </w:r>
      <w:r>
        <w:t xml:space="preserve"> </w:t>
      </w:r>
    </w:p>
    <w:p w14:paraId="38119483" w14:textId="77777777" w:rsidR="00810FAC" w:rsidRPr="0090711D" w:rsidRDefault="00810FAC" w:rsidP="009148E2">
      <w:pPr>
        <w:pStyle w:val="CH5BodyText"/>
      </w:pPr>
      <w:r w:rsidRPr="0090711D">
        <w:t>The American Recovery and Reinvestment Act of 2009 (ARRA 2009) recognized energy efficiency for its economic benefits, including job creation, bill savings and economic development.</w:t>
      </w:r>
      <w:r>
        <w:t xml:space="preserve"> </w:t>
      </w:r>
      <w:r w:rsidRPr="0090711D">
        <w:t>ARRA 2009 allocated</w:t>
      </w:r>
      <w:r>
        <w:t xml:space="preserve"> DOE around</w:t>
      </w:r>
      <w:r w:rsidRPr="0090711D">
        <w:t xml:space="preserve"> $</w:t>
      </w:r>
      <w:r>
        <w:t xml:space="preserve">16 </w:t>
      </w:r>
      <w:r w:rsidRPr="0090711D">
        <w:t>billion for energy efficiency programs, including appliance rebates, grants to local governments, state energy programs, weatherization assistance, and smart grid grants</w:t>
      </w:r>
      <w:r>
        <w:t xml:space="preserve"> (</w:t>
      </w:r>
      <w:r w:rsidRPr="002D2D32">
        <w:t>DOE</w:t>
      </w:r>
      <w:r>
        <w:t xml:space="preserve"> 2012c)</w:t>
      </w:r>
      <w:r w:rsidRPr="0090711D">
        <w:t>.</w:t>
      </w:r>
      <w:r w:rsidRPr="0090711D" w:rsidDel="00FE6006">
        <w:rPr>
          <w:rStyle w:val="FootnoteReference"/>
        </w:rPr>
        <w:t xml:space="preserve"> </w:t>
      </w:r>
      <w:r>
        <w:t>These investments brought results: for example, ARRA’s weatherization program helped more than 650,000 low-income families nationwide, exceeding the original target of 600,000 homes. These retrofits improved the energy efficiency of the homes, saving families an average of $437 a year on their energy bills (DOE 2012c).</w:t>
      </w:r>
    </w:p>
    <w:p w14:paraId="157B2595" w14:textId="77777777" w:rsidR="00810FAC" w:rsidRPr="00D33008" w:rsidRDefault="00810FAC" w:rsidP="009148E2">
      <w:pPr>
        <w:pStyle w:val="Heading1"/>
      </w:pPr>
      <w:bookmarkStart w:id="20" w:name="_Toc424675658"/>
      <w:bookmarkStart w:id="21" w:name="_Toc424721534"/>
      <w:r>
        <w:t>EE Programs</w:t>
      </w:r>
      <w:bookmarkEnd w:id="20"/>
      <w:bookmarkEnd w:id="21"/>
    </w:p>
    <w:p w14:paraId="305D7D40" w14:textId="77777777" w:rsidR="00810FAC" w:rsidRPr="00D33008" w:rsidRDefault="00810FAC" w:rsidP="009148E2">
      <w:pPr>
        <w:pStyle w:val="Heading2"/>
      </w:pPr>
      <w:bookmarkStart w:id="22" w:name="_Toc424675659"/>
      <w:bookmarkStart w:id="23" w:name="_Toc424721535"/>
      <w:r w:rsidRPr="00D33008">
        <w:t>EE Programs</w:t>
      </w:r>
      <w:bookmarkEnd w:id="22"/>
      <w:bookmarkEnd w:id="23"/>
    </w:p>
    <w:p w14:paraId="0D9ADBF7" w14:textId="0F8A9171" w:rsidR="00810FAC" w:rsidRDefault="00810FAC" w:rsidP="004448A6">
      <w:pPr>
        <w:pStyle w:val="CH5BodyText"/>
        <w:rPr>
          <w:rFonts w:eastAsia="Times New Roman" w:cs="Arial"/>
          <w:b/>
          <w:szCs w:val="20"/>
        </w:rPr>
      </w:pPr>
      <w:r>
        <w:t xml:space="preserve">Portfolios of </w:t>
      </w:r>
      <w:r w:rsidRPr="00D33008">
        <w:t xml:space="preserve">EE </w:t>
      </w:r>
      <w:r>
        <w:t xml:space="preserve">programs </w:t>
      </w:r>
      <w:r w:rsidRPr="00D33008">
        <w:t>are comprised of numerous measures and measure types that are applied across all sectors of electricity end-users. Figure 1 illustrates the multi-level composition and breadth of EE program portfolios</w:t>
      </w:r>
      <w:r>
        <w:t xml:space="preserve"> (LBNL 2013b)</w:t>
      </w:r>
      <w:r w:rsidRPr="00D33008">
        <w:t>. The diversity represented by a typical portfolio of EE programs implemented by a utility (or other program administrator) is an important characteristic relevant to analysis of EE policies. Every detailed program type (as illustrated in the lower half of the figure) represents a unique set of characteristics including costs of energy saved, ratio of program to participant costs, investment life, scale, M&amp;V approach, etc.</w:t>
      </w:r>
      <w:r w:rsidRPr="00D33008">
        <w:rPr>
          <w:rStyle w:val="FootnoteReference"/>
        </w:rPr>
        <w:footnoteReference w:id="6"/>
      </w:r>
    </w:p>
    <w:p w14:paraId="08F552CC" w14:textId="0A794357" w:rsidR="00810FAC" w:rsidRDefault="00810FAC" w:rsidP="00E06161">
      <w:pPr>
        <w:pStyle w:val="CH5FigureTitle"/>
      </w:pPr>
      <w:bookmarkStart w:id="24" w:name="_Toc424720246"/>
      <w:r w:rsidRPr="00D33008">
        <w:lastRenderedPageBreak/>
        <w:t>F</w:t>
      </w:r>
      <w:r>
        <w:t>igure</w:t>
      </w:r>
      <w:r w:rsidRPr="00D33008">
        <w:t xml:space="preserve"> </w:t>
      </w:r>
      <w:r w:rsidR="004A61E1">
        <w:fldChar w:fldCharType="begin"/>
      </w:r>
      <w:r w:rsidR="004A61E1">
        <w:instrText xml:space="preserve"> SEQ Figur</w:instrText>
      </w:r>
      <w:r w:rsidR="004A61E1">
        <w:instrText xml:space="preserve">e \* ARABIC </w:instrText>
      </w:r>
      <w:r w:rsidR="004A61E1">
        <w:fldChar w:fldCharType="separate"/>
      </w:r>
      <w:r w:rsidR="00A8218A">
        <w:rPr>
          <w:noProof/>
        </w:rPr>
        <w:t>1</w:t>
      </w:r>
      <w:r w:rsidR="004A61E1">
        <w:rPr>
          <w:noProof/>
        </w:rPr>
        <w:fldChar w:fldCharType="end"/>
      </w:r>
      <w:r>
        <w:t>. EE</w:t>
      </w:r>
      <w:r w:rsidRPr="00D33008">
        <w:t xml:space="preserve"> </w:t>
      </w:r>
      <w:r w:rsidRPr="00AB6A31">
        <w:t>Program</w:t>
      </w:r>
      <w:r w:rsidRPr="00D33008">
        <w:t xml:space="preserve"> Portfolio</w:t>
      </w:r>
      <w:r w:rsidRPr="00D33008">
        <w:rPr>
          <w:rStyle w:val="FootnoteReference"/>
          <w:rFonts w:cs="Times New Roman"/>
          <w:szCs w:val="24"/>
        </w:rPr>
        <w:footnoteReference w:id="7"/>
      </w:r>
      <w:bookmarkEnd w:id="24"/>
    </w:p>
    <w:p w14:paraId="46761B33" w14:textId="77777777" w:rsidR="00810FAC" w:rsidRPr="000047CC" w:rsidRDefault="00810FAC" w:rsidP="0091274B">
      <w:pPr>
        <w:rPr>
          <w:b/>
        </w:rPr>
      </w:pPr>
      <w:r w:rsidRPr="0091274B">
        <w:rPr>
          <w:noProof/>
        </w:rPr>
        <w:drawing>
          <wp:inline distT="0" distB="0" distL="0" distR="0" wp14:anchorId="33E619BB" wp14:editId="1D75E69D">
            <wp:extent cx="6448425" cy="3619500"/>
            <wp:effectExtent l="0" t="0" r="9525" b="0"/>
            <wp:docPr id="2" name="Picture 2"/>
            <wp:cNvGraphicFramePr/>
            <a:graphic xmlns:a="http://schemas.openxmlformats.org/drawingml/2006/main">
              <a:graphicData uri="http://schemas.openxmlformats.org/drawingml/2006/picture">
                <pic:pic xmlns:pic="http://schemas.openxmlformats.org/drawingml/2006/picture">
                  <pic:nvPicPr>
                    <pic:cNvPr id="52226"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48425" cy="3619500"/>
                    </a:xfrm>
                    <a:prstGeom prst="rect">
                      <a:avLst/>
                    </a:prstGeom>
                    <a:noFill/>
                    <a:ln w="9525">
                      <a:noFill/>
                      <a:miter lim="800000"/>
                      <a:headEnd/>
                      <a:tailEnd/>
                    </a:ln>
                  </pic:spPr>
                </pic:pic>
              </a:graphicData>
            </a:graphic>
          </wp:inline>
        </w:drawing>
      </w:r>
    </w:p>
    <w:p w14:paraId="3BFE4B1E" w14:textId="691913EE" w:rsidR="00810FAC" w:rsidRPr="000047CC" w:rsidRDefault="00810FAC" w:rsidP="00CF0D49">
      <w:pPr>
        <w:pStyle w:val="CH5TableSource"/>
      </w:pPr>
      <w:r w:rsidRPr="000047CC">
        <w:t xml:space="preserve">Source:  </w:t>
      </w:r>
      <w:r>
        <w:t>LBNL</w:t>
      </w:r>
      <w:r w:rsidRPr="000047CC">
        <w:t xml:space="preserve"> 2013</w:t>
      </w:r>
      <w:r>
        <w:t>b</w:t>
      </w:r>
    </w:p>
    <w:p w14:paraId="2594A4B4" w14:textId="77777777" w:rsidR="00810FAC" w:rsidRPr="00D33008" w:rsidRDefault="00810FAC" w:rsidP="009148E2">
      <w:pPr>
        <w:pStyle w:val="Heading3"/>
      </w:pPr>
      <w:bookmarkStart w:id="25" w:name="_Toc424721536"/>
      <w:r w:rsidRPr="00D33008">
        <w:t>Administrators</w:t>
      </w:r>
      <w:bookmarkEnd w:id="25"/>
    </w:p>
    <w:p w14:paraId="527F48F5" w14:textId="77777777" w:rsidR="00810FAC" w:rsidRPr="00D33008" w:rsidRDefault="00810FAC" w:rsidP="00810FAC">
      <w:pPr>
        <w:pStyle w:val="CH5BodyText"/>
      </w:pPr>
      <w:r w:rsidRPr="00D33008">
        <w:t>EE programs are administered by a variety of entities (“program administrators”) including utilities of all ownership types (investor-owned, municipals, and cooperatives), non-profit and for-profit third-parties (e.g., Vermont Energy Investment Corporation), and state and local government agencies (e.g., NYSERDA). Most EE programs (including all investor-owned utilities which account for more than 75% of reported savings</w:t>
      </w:r>
      <w:r>
        <w:rPr>
          <w:rStyle w:val="FootnoteReference"/>
        </w:rPr>
        <w:footnoteReference w:id="8"/>
      </w:r>
      <w:r w:rsidRPr="00D33008">
        <w:t>) are overseen by state utility commissions, which review and approve program plans, projected impacts, and associated budgets; and establish annual reporting and M&amp;V requirements</w:t>
      </w:r>
      <w:r>
        <w:t xml:space="preserve"> (EIA 2013)</w:t>
      </w:r>
      <w:r w:rsidRPr="00D33008">
        <w:t>.</w:t>
      </w:r>
    </w:p>
    <w:p w14:paraId="781EC85A" w14:textId="77777777" w:rsidR="00810FAC" w:rsidRPr="00D33008" w:rsidRDefault="00810FAC" w:rsidP="009148E2">
      <w:pPr>
        <w:pStyle w:val="Heading3"/>
      </w:pPr>
      <w:bookmarkStart w:id="26" w:name="_Toc424721537"/>
      <w:r w:rsidRPr="00D33008">
        <w:t>Policy Drivers</w:t>
      </w:r>
      <w:bookmarkEnd w:id="26"/>
      <w:r w:rsidRPr="00D33008">
        <w:t xml:space="preserve"> </w:t>
      </w:r>
    </w:p>
    <w:p w14:paraId="4FF90D5F" w14:textId="72CCFD27" w:rsidR="00810FAC" w:rsidRPr="00D33008" w:rsidRDefault="00810FAC" w:rsidP="00810FAC">
      <w:pPr>
        <w:pStyle w:val="CH5BodyText"/>
      </w:pPr>
      <w:r w:rsidRPr="00D33008">
        <w:t>EE programs result from a number of different policy approaches or “drivers.”</w:t>
      </w:r>
      <w:r>
        <w:t xml:space="preserve"> </w:t>
      </w:r>
      <w:r w:rsidRPr="00D33008">
        <w:t xml:space="preserve">These include </w:t>
      </w:r>
      <w:r>
        <w:t>EE</w:t>
      </w:r>
      <w:r w:rsidRPr="00D33008">
        <w:t xml:space="preserve"> resource standards (EERS) (26 states), system benefit charges (14 states), integrated </w:t>
      </w:r>
      <w:r w:rsidRPr="00D33008">
        <w:lastRenderedPageBreak/>
        <w:t xml:space="preserve">resource planning (IRP) requirements (34 states), demand-side management plan or multi-year </w:t>
      </w:r>
      <w:r>
        <w:t xml:space="preserve">EE </w:t>
      </w:r>
      <w:r w:rsidRPr="00D33008">
        <w:t>budget (28 states), and statutory requirement to acquire “all-cost-effective EE” (6 states)</w:t>
      </w:r>
      <w:r>
        <w:t xml:space="preserve"> (ACEEE 2014c; </w:t>
      </w:r>
      <w:r w:rsidR="001A7D56">
        <w:t xml:space="preserve">Barbose et al. </w:t>
      </w:r>
      <w:r>
        <w:t>2013)</w:t>
      </w:r>
      <w:r w:rsidRPr="00D33008">
        <w:t>.</w:t>
      </w:r>
      <w:r w:rsidRPr="00D33008">
        <w:rPr>
          <w:rStyle w:val="FootnoteReference"/>
        </w:rPr>
        <w:footnoteReference w:id="9"/>
      </w:r>
      <w:r w:rsidRPr="00D33008">
        <w:t xml:space="preserve"> EERS is a more recently developed strategy and has quickly become the leading driver of the rapid growth in EE programs due to their clear goals and proven success as a policy tool</w:t>
      </w:r>
      <w:r>
        <w:t xml:space="preserve"> (ACEEE 2011)</w:t>
      </w:r>
      <w:r w:rsidRPr="00D33008">
        <w:t>. These policy drivers lead to the evaluation, planning, and adoption of EE programs and associated budgets, which are supported through different funding mechanisms.</w:t>
      </w:r>
    </w:p>
    <w:p w14:paraId="2082C5E9" w14:textId="77777777" w:rsidR="00810FAC" w:rsidRPr="00D33008" w:rsidRDefault="00810FAC" w:rsidP="009148E2">
      <w:pPr>
        <w:pStyle w:val="Heading3"/>
      </w:pPr>
      <w:bookmarkStart w:id="27" w:name="_Toc424721538"/>
      <w:r w:rsidRPr="00D33008">
        <w:t>Funding Sources</w:t>
      </w:r>
      <w:bookmarkEnd w:id="27"/>
    </w:p>
    <w:p w14:paraId="53EF51A9" w14:textId="77777777" w:rsidR="00810FAC" w:rsidRDefault="00810FAC" w:rsidP="00810FAC">
      <w:pPr>
        <w:pStyle w:val="CH5BodyText"/>
      </w:pPr>
      <w:r w:rsidRPr="00D33008">
        <w:t>Funding sources for EE programs are varied but for most states are dominated by revenues collected from ratepayers through electricity surcharges, typically ranging from $1 to $4 per megawatt-hour</w:t>
      </w:r>
      <w:r>
        <w:t xml:space="preserve"> (ACEEE 2014c)</w:t>
      </w:r>
      <w:r w:rsidRPr="00D33008">
        <w:t>. More recently adopted funding sources include proceeds from the auction of allowances in the Regional Greenhouse Gas Initiative (RGGI) states and from EE resources bid into the forward capacity market operated by the New England Independent System Operator (NE-ISO). Ratepayer-funding accounts for more than 90% of total EE program support nationally.</w:t>
      </w:r>
    </w:p>
    <w:p w14:paraId="1F1CAE51" w14:textId="77777777" w:rsidR="00810FAC" w:rsidRPr="00D33008" w:rsidRDefault="00810FAC" w:rsidP="009148E2">
      <w:pPr>
        <w:pStyle w:val="Heading2"/>
      </w:pPr>
      <w:bookmarkStart w:id="28" w:name="_Toc424675660"/>
      <w:bookmarkStart w:id="29" w:name="_Toc424721539"/>
      <w:r w:rsidRPr="00D33008">
        <w:t xml:space="preserve">The </w:t>
      </w:r>
      <w:r>
        <w:t xml:space="preserve">Demand-Side EE </w:t>
      </w:r>
      <w:r w:rsidRPr="00D33008">
        <w:t>Opportunity</w:t>
      </w:r>
      <w:bookmarkEnd w:id="28"/>
      <w:bookmarkEnd w:id="29"/>
    </w:p>
    <w:p w14:paraId="2A581ED0" w14:textId="77777777" w:rsidR="00810FAC" w:rsidRPr="00D33008" w:rsidRDefault="00810FAC" w:rsidP="00810FAC">
      <w:pPr>
        <w:pStyle w:val="CH5BodyText"/>
      </w:pPr>
      <w:r w:rsidRPr="00D33008">
        <w:t>As discussed, states are employing a number of EE strategies with EE programs yielding the most significant impacts both historically as well as in terms of future potential. Furthermore, EE programs are unique among state EE strategies in the comprehensiveness and transparency of their reported impacts, funding, and other characteristics. In this section we address the rapid growth in EE programs, estimated impacts of EE programs to-date and projections of the impacts of existing EE programs and trends, and the electricity savings potential achievable through expanded use of EE policies and programs. Finally, we will discuss the costs and cost-effectiveness of EE programs, specifically.</w:t>
      </w:r>
    </w:p>
    <w:p w14:paraId="11A2CCAF" w14:textId="77777777" w:rsidR="00810FAC" w:rsidRPr="00D33008" w:rsidRDefault="00810FAC" w:rsidP="009148E2">
      <w:pPr>
        <w:pStyle w:val="Heading3"/>
      </w:pPr>
      <w:bookmarkStart w:id="30" w:name="_Toc424721540"/>
      <w:r w:rsidRPr="00D33008">
        <w:t xml:space="preserve">Rapid Growth in </w:t>
      </w:r>
      <w:r>
        <w:t>Demand-Side EE</w:t>
      </w:r>
      <w:bookmarkEnd w:id="30"/>
    </w:p>
    <w:p w14:paraId="2D93151D" w14:textId="7E11679B" w:rsidR="00810FAC" w:rsidRPr="00D33008" w:rsidRDefault="00810FAC" w:rsidP="00810FAC">
      <w:pPr>
        <w:pStyle w:val="CH5BodyText"/>
      </w:pPr>
      <w:r w:rsidRPr="00D33008">
        <w:t xml:space="preserve">Funding for EE programs has increased rapidly in recent years driven by recent policy innovations and increasing evidence of the effectiveness of these new strategies. Table 2 presents </w:t>
      </w:r>
      <w:r w:rsidRPr="00D33008">
        <w:lastRenderedPageBreak/>
        <w:t>levels of EE program funding in the U.S. since 2006</w:t>
      </w:r>
      <w:r>
        <w:t xml:space="preserve"> (ACEEE 2014c)</w:t>
      </w:r>
      <w:r w:rsidRPr="00D33008">
        <w:t>. In the previous five years, funding increased by more than 250%, from $1.6 billion in 2006 to $5.9 billion in 2011.</w:t>
      </w:r>
    </w:p>
    <w:p w14:paraId="7E9DD492" w14:textId="7CC08F1B" w:rsidR="00810FAC" w:rsidRPr="00D33008" w:rsidRDefault="00810FAC" w:rsidP="00CA6576">
      <w:pPr>
        <w:pStyle w:val="CH5TableTitle"/>
      </w:pPr>
      <w:bookmarkStart w:id="31" w:name="_Toc424720252"/>
      <w:r w:rsidRPr="00D33008">
        <w:t>T</w:t>
      </w:r>
      <w:r>
        <w:t>able</w:t>
      </w:r>
      <w:r w:rsidRPr="00D33008">
        <w:t xml:space="preserve"> 2</w:t>
      </w:r>
      <w:r>
        <w:t xml:space="preserve">. </w:t>
      </w:r>
      <w:r w:rsidRPr="00D33008">
        <w:t>U.S. Electric Utility EE Program Funding (2006-201</w:t>
      </w:r>
      <w:r>
        <w:t>3</w:t>
      </w:r>
      <w:r w:rsidRPr="00D33008">
        <w:t>)</w:t>
      </w:r>
      <w:bookmarkEnd w:id="31"/>
    </w:p>
    <w:tbl>
      <w:tblPr>
        <w:tblStyle w:val="TableGrid"/>
        <w:tblW w:w="0" w:type="auto"/>
        <w:jc w:val="center"/>
        <w:tblLook w:val="04A0" w:firstRow="1" w:lastRow="0" w:firstColumn="1" w:lastColumn="0" w:noHBand="0" w:noVBand="1"/>
      </w:tblPr>
      <w:tblGrid>
        <w:gridCol w:w="2556"/>
        <w:gridCol w:w="849"/>
        <w:gridCol w:w="849"/>
        <w:gridCol w:w="849"/>
        <w:gridCol w:w="850"/>
        <w:gridCol w:w="849"/>
        <w:gridCol w:w="849"/>
        <w:gridCol w:w="849"/>
        <w:gridCol w:w="850"/>
      </w:tblGrid>
      <w:tr w:rsidR="00810FAC" w:rsidRPr="00D33008" w14:paraId="09501F77" w14:textId="77777777" w:rsidTr="00CA6576">
        <w:trPr>
          <w:jc w:val="center"/>
        </w:trPr>
        <w:tc>
          <w:tcPr>
            <w:tcW w:w="2556" w:type="dxa"/>
            <w:vMerge w:val="restart"/>
            <w:shd w:val="clear" w:color="auto" w:fill="D9D9D9" w:themeFill="background1" w:themeFillShade="D9"/>
            <w:vAlign w:val="center"/>
          </w:tcPr>
          <w:p w14:paraId="07F0D97B" w14:textId="77777777" w:rsidR="00810FAC" w:rsidRPr="00D33008" w:rsidRDefault="00810FAC" w:rsidP="00CA6576">
            <w:pPr>
              <w:keepNext/>
              <w:spacing w:line="360" w:lineRule="auto"/>
              <w:jc w:val="center"/>
              <w:rPr>
                <w:rFonts w:cs="Times New Roman"/>
                <w:sz w:val="24"/>
                <w:szCs w:val="24"/>
              </w:rPr>
            </w:pPr>
          </w:p>
        </w:tc>
        <w:tc>
          <w:tcPr>
            <w:tcW w:w="6794" w:type="dxa"/>
            <w:gridSpan w:val="8"/>
            <w:shd w:val="clear" w:color="auto" w:fill="D9D9D9" w:themeFill="background1" w:themeFillShade="D9"/>
          </w:tcPr>
          <w:p w14:paraId="3DD401A6" w14:textId="77777777" w:rsidR="00810FAC" w:rsidRPr="005863F4" w:rsidRDefault="00810FAC" w:rsidP="00CA6576">
            <w:pPr>
              <w:pStyle w:val="CH5TableText"/>
              <w:keepNext/>
              <w:rPr>
                <w:b/>
              </w:rPr>
            </w:pPr>
            <w:r w:rsidRPr="005863F4">
              <w:rPr>
                <w:b/>
              </w:rPr>
              <w:t>Year</w:t>
            </w:r>
          </w:p>
        </w:tc>
      </w:tr>
      <w:tr w:rsidR="00810FAC" w:rsidRPr="00D33008" w14:paraId="64B07FC4" w14:textId="77777777" w:rsidTr="00CA6576">
        <w:trPr>
          <w:jc w:val="center"/>
        </w:trPr>
        <w:tc>
          <w:tcPr>
            <w:tcW w:w="2556" w:type="dxa"/>
            <w:vMerge/>
            <w:shd w:val="clear" w:color="auto" w:fill="D9D9D9" w:themeFill="background1" w:themeFillShade="D9"/>
            <w:vAlign w:val="center"/>
          </w:tcPr>
          <w:p w14:paraId="61D3C9C2" w14:textId="77777777" w:rsidR="00810FAC" w:rsidRPr="00D33008" w:rsidRDefault="00810FAC" w:rsidP="00CA6576">
            <w:pPr>
              <w:keepNext/>
              <w:spacing w:line="360" w:lineRule="auto"/>
              <w:jc w:val="center"/>
              <w:rPr>
                <w:rFonts w:cs="Times New Roman"/>
                <w:sz w:val="24"/>
                <w:szCs w:val="24"/>
              </w:rPr>
            </w:pPr>
          </w:p>
        </w:tc>
        <w:tc>
          <w:tcPr>
            <w:tcW w:w="849" w:type="dxa"/>
            <w:shd w:val="clear" w:color="auto" w:fill="D9D9D9" w:themeFill="background1" w:themeFillShade="D9"/>
            <w:vAlign w:val="center"/>
          </w:tcPr>
          <w:p w14:paraId="14EFF3CB" w14:textId="77777777" w:rsidR="00810FAC" w:rsidRPr="005863F4" w:rsidRDefault="00810FAC" w:rsidP="00CA6576">
            <w:pPr>
              <w:pStyle w:val="CH5TableText"/>
              <w:keepNext/>
              <w:rPr>
                <w:b/>
              </w:rPr>
            </w:pPr>
            <w:r w:rsidRPr="005863F4">
              <w:rPr>
                <w:b/>
              </w:rPr>
              <w:t>2006</w:t>
            </w:r>
          </w:p>
        </w:tc>
        <w:tc>
          <w:tcPr>
            <w:tcW w:w="849" w:type="dxa"/>
            <w:shd w:val="clear" w:color="auto" w:fill="D9D9D9" w:themeFill="background1" w:themeFillShade="D9"/>
            <w:vAlign w:val="center"/>
          </w:tcPr>
          <w:p w14:paraId="54685DD4" w14:textId="77777777" w:rsidR="00810FAC" w:rsidRPr="005863F4" w:rsidRDefault="00810FAC" w:rsidP="00CA6576">
            <w:pPr>
              <w:pStyle w:val="CH5TableText"/>
              <w:keepNext/>
              <w:rPr>
                <w:b/>
              </w:rPr>
            </w:pPr>
            <w:r w:rsidRPr="005863F4">
              <w:rPr>
                <w:b/>
              </w:rPr>
              <w:t>2007</w:t>
            </w:r>
          </w:p>
        </w:tc>
        <w:tc>
          <w:tcPr>
            <w:tcW w:w="849" w:type="dxa"/>
            <w:shd w:val="clear" w:color="auto" w:fill="D9D9D9" w:themeFill="background1" w:themeFillShade="D9"/>
            <w:vAlign w:val="center"/>
          </w:tcPr>
          <w:p w14:paraId="42E478DD" w14:textId="77777777" w:rsidR="00810FAC" w:rsidRPr="005863F4" w:rsidRDefault="00810FAC" w:rsidP="00CA6576">
            <w:pPr>
              <w:pStyle w:val="CH5TableText"/>
              <w:keepNext/>
              <w:rPr>
                <w:b/>
              </w:rPr>
            </w:pPr>
            <w:r w:rsidRPr="005863F4">
              <w:rPr>
                <w:b/>
              </w:rPr>
              <w:t>2008</w:t>
            </w:r>
          </w:p>
        </w:tc>
        <w:tc>
          <w:tcPr>
            <w:tcW w:w="850" w:type="dxa"/>
            <w:shd w:val="clear" w:color="auto" w:fill="D9D9D9" w:themeFill="background1" w:themeFillShade="D9"/>
            <w:vAlign w:val="center"/>
          </w:tcPr>
          <w:p w14:paraId="51FD90DF" w14:textId="77777777" w:rsidR="00810FAC" w:rsidRPr="005863F4" w:rsidRDefault="00810FAC" w:rsidP="00CA6576">
            <w:pPr>
              <w:pStyle w:val="CH5TableText"/>
              <w:keepNext/>
              <w:rPr>
                <w:b/>
              </w:rPr>
            </w:pPr>
            <w:r w:rsidRPr="005863F4">
              <w:rPr>
                <w:b/>
              </w:rPr>
              <w:t>2009</w:t>
            </w:r>
          </w:p>
        </w:tc>
        <w:tc>
          <w:tcPr>
            <w:tcW w:w="849" w:type="dxa"/>
            <w:shd w:val="clear" w:color="auto" w:fill="D9D9D9" w:themeFill="background1" w:themeFillShade="D9"/>
            <w:vAlign w:val="center"/>
          </w:tcPr>
          <w:p w14:paraId="07ABAC02" w14:textId="77777777" w:rsidR="00810FAC" w:rsidRPr="005863F4" w:rsidRDefault="00810FAC" w:rsidP="00CA6576">
            <w:pPr>
              <w:pStyle w:val="CH5TableText"/>
              <w:keepNext/>
              <w:rPr>
                <w:b/>
              </w:rPr>
            </w:pPr>
            <w:r w:rsidRPr="005863F4">
              <w:rPr>
                <w:b/>
              </w:rPr>
              <w:t>2010</w:t>
            </w:r>
          </w:p>
        </w:tc>
        <w:tc>
          <w:tcPr>
            <w:tcW w:w="849" w:type="dxa"/>
            <w:shd w:val="clear" w:color="auto" w:fill="D9D9D9" w:themeFill="background1" w:themeFillShade="D9"/>
            <w:vAlign w:val="center"/>
          </w:tcPr>
          <w:p w14:paraId="5FF278E7" w14:textId="77777777" w:rsidR="00810FAC" w:rsidRPr="005863F4" w:rsidRDefault="00810FAC" w:rsidP="00CA6576">
            <w:pPr>
              <w:pStyle w:val="CH5TableText"/>
              <w:keepNext/>
              <w:rPr>
                <w:b/>
              </w:rPr>
            </w:pPr>
            <w:r w:rsidRPr="005863F4">
              <w:rPr>
                <w:b/>
              </w:rPr>
              <w:t>2011</w:t>
            </w:r>
          </w:p>
        </w:tc>
        <w:tc>
          <w:tcPr>
            <w:tcW w:w="849" w:type="dxa"/>
            <w:shd w:val="clear" w:color="auto" w:fill="D9D9D9" w:themeFill="background1" w:themeFillShade="D9"/>
            <w:vAlign w:val="center"/>
          </w:tcPr>
          <w:p w14:paraId="74152E40" w14:textId="77777777" w:rsidR="00810FAC" w:rsidRPr="005863F4" w:rsidRDefault="00810FAC" w:rsidP="00CA6576">
            <w:pPr>
              <w:pStyle w:val="CH5TableText"/>
              <w:keepNext/>
              <w:rPr>
                <w:b/>
              </w:rPr>
            </w:pPr>
            <w:r w:rsidRPr="005863F4">
              <w:rPr>
                <w:b/>
              </w:rPr>
              <w:t>2012</w:t>
            </w:r>
          </w:p>
        </w:tc>
        <w:tc>
          <w:tcPr>
            <w:tcW w:w="850" w:type="dxa"/>
            <w:shd w:val="clear" w:color="auto" w:fill="D9D9D9" w:themeFill="background1" w:themeFillShade="D9"/>
            <w:vAlign w:val="center"/>
          </w:tcPr>
          <w:p w14:paraId="6B9C4283" w14:textId="77777777" w:rsidR="00810FAC" w:rsidRPr="005863F4" w:rsidRDefault="00810FAC" w:rsidP="00CA6576">
            <w:pPr>
              <w:pStyle w:val="CH5TableText"/>
              <w:keepNext/>
              <w:rPr>
                <w:b/>
              </w:rPr>
            </w:pPr>
            <w:r>
              <w:rPr>
                <w:b/>
              </w:rPr>
              <w:t>2013</w:t>
            </w:r>
          </w:p>
        </w:tc>
      </w:tr>
      <w:tr w:rsidR="00810FAC" w:rsidRPr="00D33008" w14:paraId="4F7BC50A" w14:textId="77777777" w:rsidTr="00810FAC">
        <w:trPr>
          <w:jc w:val="center"/>
        </w:trPr>
        <w:tc>
          <w:tcPr>
            <w:tcW w:w="2556" w:type="dxa"/>
            <w:vAlign w:val="center"/>
          </w:tcPr>
          <w:p w14:paraId="62227CDC" w14:textId="77777777" w:rsidR="00810FAC" w:rsidRPr="00D33008" w:rsidRDefault="00810FAC" w:rsidP="00CA6576">
            <w:pPr>
              <w:pStyle w:val="CH5TableText"/>
              <w:keepNext/>
            </w:pPr>
            <w:r w:rsidRPr="00D33008">
              <w:t>Electric Efficiency Program Budgets</w:t>
            </w:r>
          </w:p>
          <w:p w14:paraId="601CEB06" w14:textId="77777777" w:rsidR="00810FAC" w:rsidRPr="00D33008" w:rsidRDefault="00810FAC" w:rsidP="00CA6576">
            <w:pPr>
              <w:pStyle w:val="CH5TableText"/>
              <w:keepNext/>
            </w:pPr>
            <w:r w:rsidRPr="00D33008">
              <w:t>(billions of $s, nominal)</w:t>
            </w:r>
          </w:p>
        </w:tc>
        <w:tc>
          <w:tcPr>
            <w:tcW w:w="849" w:type="dxa"/>
            <w:vAlign w:val="center"/>
          </w:tcPr>
          <w:p w14:paraId="50711C9F" w14:textId="77777777" w:rsidR="00810FAC" w:rsidRPr="00D33008" w:rsidRDefault="00810FAC" w:rsidP="00CA6576">
            <w:pPr>
              <w:pStyle w:val="CH5TableText"/>
              <w:keepNext/>
            </w:pPr>
            <w:r w:rsidRPr="00D33008">
              <w:t>1.6</w:t>
            </w:r>
          </w:p>
        </w:tc>
        <w:tc>
          <w:tcPr>
            <w:tcW w:w="849" w:type="dxa"/>
            <w:vAlign w:val="center"/>
          </w:tcPr>
          <w:p w14:paraId="1E63D8A1" w14:textId="77777777" w:rsidR="00810FAC" w:rsidRPr="00D33008" w:rsidRDefault="00810FAC" w:rsidP="00CA6576">
            <w:pPr>
              <w:pStyle w:val="CH5TableText"/>
              <w:keepNext/>
            </w:pPr>
            <w:r w:rsidRPr="00D33008">
              <w:t>2.2</w:t>
            </w:r>
          </w:p>
        </w:tc>
        <w:tc>
          <w:tcPr>
            <w:tcW w:w="849" w:type="dxa"/>
            <w:vAlign w:val="center"/>
          </w:tcPr>
          <w:p w14:paraId="777A5C4C" w14:textId="77777777" w:rsidR="00810FAC" w:rsidRPr="00D33008" w:rsidRDefault="00810FAC" w:rsidP="00CA6576">
            <w:pPr>
              <w:pStyle w:val="CH5TableText"/>
              <w:keepNext/>
            </w:pPr>
            <w:r w:rsidRPr="00D33008">
              <w:t>2.6</w:t>
            </w:r>
          </w:p>
        </w:tc>
        <w:tc>
          <w:tcPr>
            <w:tcW w:w="850" w:type="dxa"/>
            <w:vAlign w:val="center"/>
          </w:tcPr>
          <w:p w14:paraId="2C33B836" w14:textId="77777777" w:rsidR="00810FAC" w:rsidRPr="00D33008" w:rsidRDefault="00810FAC" w:rsidP="00CA6576">
            <w:pPr>
              <w:pStyle w:val="CH5TableText"/>
              <w:keepNext/>
            </w:pPr>
            <w:r w:rsidRPr="00D33008">
              <w:t>3.4</w:t>
            </w:r>
          </w:p>
        </w:tc>
        <w:tc>
          <w:tcPr>
            <w:tcW w:w="849" w:type="dxa"/>
            <w:vAlign w:val="center"/>
          </w:tcPr>
          <w:p w14:paraId="572EB8F9" w14:textId="77777777" w:rsidR="00810FAC" w:rsidRPr="00D33008" w:rsidRDefault="00810FAC" w:rsidP="00CA6576">
            <w:pPr>
              <w:pStyle w:val="CH5TableText"/>
              <w:keepNext/>
            </w:pPr>
            <w:r w:rsidRPr="00D33008">
              <w:t>4.6</w:t>
            </w:r>
          </w:p>
        </w:tc>
        <w:tc>
          <w:tcPr>
            <w:tcW w:w="849" w:type="dxa"/>
            <w:vAlign w:val="center"/>
          </w:tcPr>
          <w:p w14:paraId="367AFBA1" w14:textId="77777777" w:rsidR="00810FAC" w:rsidRPr="00D33008" w:rsidRDefault="00810FAC" w:rsidP="00CA6576">
            <w:pPr>
              <w:pStyle w:val="CH5TableText"/>
              <w:keepNext/>
            </w:pPr>
            <w:r w:rsidRPr="00D33008">
              <w:t>5.9</w:t>
            </w:r>
          </w:p>
        </w:tc>
        <w:tc>
          <w:tcPr>
            <w:tcW w:w="849" w:type="dxa"/>
            <w:vAlign w:val="center"/>
          </w:tcPr>
          <w:p w14:paraId="27141ACB" w14:textId="77777777" w:rsidR="00810FAC" w:rsidRPr="00D33008" w:rsidRDefault="00810FAC" w:rsidP="00CA6576">
            <w:pPr>
              <w:pStyle w:val="CH5TableText"/>
              <w:keepNext/>
            </w:pPr>
            <w:r w:rsidRPr="00D33008">
              <w:t>5.9</w:t>
            </w:r>
          </w:p>
        </w:tc>
        <w:tc>
          <w:tcPr>
            <w:tcW w:w="850" w:type="dxa"/>
            <w:vAlign w:val="center"/>
          </w:tcPr>
          <w:p w14:paraId="4954A647" w14:textId="77777777" w:rsidR="00810FAC" w:rsidRPr="00D33008" w:rsidRDefault="00810FAC" w:rsidP="00CA6576">
            <w:pPr>
              <w:pStyle w:val="CH5TableText"/>
              <w:keepNext/>
            </w:pPr>
            <w:r>
              <w:t>6.3</w:t>
            </w:r>
          </w:p>
        </w:tc>
      </w:tr>
    </w:tbl>
    <w:p w14:paraId="5A42E2E7" w14:textId="77777777" w:rsidR="00810FAC" w:rsidRPr="00D33008" w:rsidRDefault="00810FAC" w:rsidP="00CF0D49">
      <w:pPr>
        <w:pStyle w:val="CH5TableSource"/>
      </w:pPr>
      <w:r>
        <w:t>Source: ACEEE 2014c</w:t>
      </w:r>
    </w:p>
    <w:p w14:paraId="5307A2B1" w14:textId="77777777" w:rsidR="00810FAC" w:rsidRPr="00D33008" w:rsidRDefault="00810FAC" w:rsidP="00810FAC">
      <w:pPr>
        <w:pStyle w:val="CH5BodyText"/>
      </w:pPr>
      <w:r w:rsidRPr="00D33008">
        <w:t xml:space="preserve">Key new state policies that have helped to drive these rapid increases in EE program funding include EERS, electricity savings goals, and “all cost-effective </w:t>
      </w:r>
      <w:r>
        <w:t>EE</w:t>
      </w:r>
      <w:r w:rsidRPr="00D33008">
        <w:t>” requirements. The adoption of EERS, in particular, increased through this period and clearly has been the primary driving force behind the increasing success of and investment in EE programs. Table 3 shows the number of states adopting EERS by year</w:t>
      </w:r>
      <w:r>
        <w:t xml:space="preserve"> (</w:t>
      </w:r>
      <w:r w:rsidRPr="00D2015A">
        <w:t>ACEEE 2014</w:t>
      </w:r>
      <w:r>
        <w:t>c)</w:t>
      </w:r>
      <w:r w:rsidRPr="00D33008">
        <w:t>.</w:t>
      </w:r>
    </w:p>
    <w:p w14:paraId="66F933EB" w14:textId="023EEAEF" w:rsidR="00810FAC" w:rsidRPr="00D33008" w:rsidRDefault="00810FAC" w:rsidP="00E06161">
      <w:pPr>
        <w:pStyle w:val="CH5TableTitle"/>
      </w:pPr>
      <w:bookmarkStart w:id="32" w:name="_Toc424720253"/>
      <w:r w:rsidRPr="00D33008">
        <w:t>T</w:t>
      </w:r>
      <w:r>
        <w:t>able</w:t>
      </w:r>
      <w:r w:rsidRPr="00D33008">
        <w:t xml:space="preserve"> 3</w:t>
      </w:r>
      <w:r>
        <w:t xml:space="preserve">. </w:t>
      </w:r>
      <w:r w:rsidRPr="00D33008">
        <w:t xml:space="preserve">U.S. State Adoption of </w:t>
      </w:r>
      <w:r>
        <w:t xml:space="preserve">EE </w:t>
      </w:r>
      <w:r w:rsidRPr="00D33008">
        <w:t>Resource Standards</w:t>
      </w:r>
      <w:bookmarkEnd w:id="32"/>
      <w:r w:rsidRPr="00D33008">
        <w:t xml:space="preserve"> </w:t>
      </w:r>
    </w:p>
    <w:tbl>
      <w:tblPr>
        <w:tblStyle w:val="TableGrid"/>
        <w:tblW w:w="0" w:type="auto"/>
        <w:tblLook w:val="04A0" w:firstRow="1" w:lastRow="0" w:firstColumn="1" w:lastColumn="0" w:noHBand="0" w:noVBand="1"/>
      </w:tblPr>
      <w:tblGrid>
        <w:gridCol w:w="1435"/>
        <w:gridCol w:w="6480"/>
        <w:gridCol w:w="1435"/>
      </w:tblGrid>
      <w:tr w:rsidR="00810FAC" w:rsidRPr="00D33008" w14:paraId="088B79F6" w14:textId="77777777" w:rsidTr="00CA6576">
        <w:tc>
          <w:tcPr>
            <w:tcW w:w="1435" w:type="dxa"/>
            <w:shd w:val="clear" w:color="auto" w:fill="D9D9D9" w:themeFill="background1" w:themeFillShade="D9"/>
          </w:tcPr>
          <w:p w14:paraId="0149B37D" w14:textId="77777777" w:rsidR="00810FAC" w:rsidRPr="005863F4" w:rsidRDefault="00810FAC" w:rsidP="00810FAC">
            <w:pPr>
              <w:pStyle w:val="CH5TableText"/>
              <w:rPr>
                <w:b/>
              </w:rPr>
            </w:pPr>
            <w:r w:rsidRPr="005863F4">
              <w:rPr>
                <w:b/>
              </w:rPr>
              <w:t>Year</w:t>
            </w:r>
          </w:p>
        </w:tc>
        <w:tc>
          <w:tcPr>
            <w:tcW w:w="6480" w:type="dxa"/>
            <w:shd w:val="clear" w:color="auto" w:fill="D9D9D9" w:themeFill="background1" w:themeFillShade="D9"/>
          </w:tcPr>
          <w:p w14:paraId="03777238" w14:textId="77777777" w:rsidR="00810FAC" w:rsidRPr="005863F4" w:rsidRDefault="00810FAC" w:rsidP="00810FAC">
            <w:pPr>
              <w:pStyle w:val="CH5TableText"/>
              <w:rPr>
                <w:b/>
              </w:rPr>
            </w:pPr>
            <w:r w:rsidRPr="005863F4">
              <w:rPr>
                <w:b/>
              </w:rPr>
              <w:t>States Adopting an EERS</w:t>
            </w:r>
          </w:p>
        </w:tc>
        <w:tc>
          <w:tcPr>
            <w:tcW w:w="1435" w:type="dxa"/>
            <w:shd w:val="clear" w:color="auto" w:fill="D9D9D9" w:themeFill="background1" w:themeFillShade="D9"/>
          </w:tcPr>
          <w:p w14:paraId="18657D7A" w14:textId="77777777" w:rsidR="00810FAC" w:rsidRPr="005863F4" w:rsidRDefault="00810FAC" w:rsidP="00810FAC">
            <w:pPr>
              <w:pStyle w:val="CH5TableText"/>
              <w:rPr>
                <w:b/>
              </w:rPr>
            </w:pPr>
            <w:r w:rsidRPr="005863F4">
              <w:rPr>
                <w:b/>
              </w:rPr>
              <w:t>Total</w:t>
            </w:r>
          </w:p>
        </w:tc>
      </w:tr>
      <w:tr w:rsidR="00810FAC" w:rsidRPr="00D33008" w14:paraId="5778C681" w14:textId="77777777" w:rsidTr="00810FAC">
        <w:tc>
          <w:tcPr>
            <w:tcW w:w="1435" w:type="dxa"/>
          </w:tcPr>
          <w:p w14:paraId="69D29542" w14:textId="77777777" w:rsidR="00810FAC" w:rsidRPr="005863F4" w:rsidRDefault="00810FAC" w:rsidP="00810FAC">
            <w:pPr>
              <w:pStyle w:val="CH5TableText"/>
              <w:rPr>
                <w:b/>
              </w:rPr>
            </w:pPr>
            <w:r w:rsidRPr="005863F4">
              <w:rPr>
                <w:b/>
              </w:rPr>
              <w:t>1997-2004</w:t>
            </w:r>
          </w:p>
        </w:tc>
        <w:tc>
          <w:tcPr>
            <w:tcW w:w="6480" w:type="dxa"/>
          </w:tcPr>
          <w:p w14:paraId="4EB4EE88" w14:textId="77777777" w:rsidR="00810FAC" w:rsidRPr="00D33008" w:rsidRDefault="00810FAC" w:rsidP="00810FAC">
            <w:pPr>
              <w:pStyle w:val="CH5TableText"/>
            </w:pPr>
            <w:r w:rsidRPr="00D33008">
              <w:t>California, Hawaii, Texas, Vermont</w:t>
            </w:r>
          </w:p>
        </w:tc>
        <w:tc>
          <w:tcPr>
            <w:tcW w:w="1435" w:type="dxa"/>
          </w:tcPr>
          <w:p w14:paraId="0E2FB67E" w14:textId="77777777" w:rsidR="00810FAC" w:rsidRPr="005863F4" w:rsidRDefault="00810FAC" w:rsidP="00810FAC">
            <w:pPr>
              <w:pStyle w:val="CH5TableText"/>
              <w:rPr>
                <w:b/>
              </w:rPr>
            </w:pPr>
            <w:r w:rsidRPr="005863F4">
              <w:rPr>
                <w:b/>
              </w:rPr>
              <w:t>4</w:t>
            </w:r>
          </w:p>
        </w:tc>
      </w:tr>
      <w:tr w:rsidR="00810FAC" w:rsidRPr="00D33008" w14:paraId="49759BC8" w14:textId="77777777" w:rsidTr="00810FAC">
        <w:tc>
          <w:tcPr>
            <w:tcW w:w="1435" w:type="dxa"/>
          </w:tcPr>
          <w:p w14:paraId="4F642EAF" w14:textId="77777777" w:rsidR="00810FAC" w:rsidRPr="005863F4" w:rsidRDefault="00810FAC" w:rsidP="00810FAC">
            <w:pPr>
              <w:pStyle w:val="CH5TableText"/>
              <w:rPr>
                <w:b/>
              </w:rPr>
            </w:pPr>
            <w:r w:rsidRPr="005863F4">
              <w:rPr>
                <w:b/>
              </w:rPr>
              <w:t>2005</w:t>
            </w:r>
          </w:p>
        </w:tc>
        <w:tc>
          <w:tcPr>
            <w:tcW w:w="6480" w:type="dxa"/>
          </w:tcPr>
          <w:p w14:paraId="515FD806" w14:textId="77777777" w:rsidR="00810FAC" w:rsidRPr="00D33008" w:rsidRDefault="00810FAC" w:rsidP="00810FAC">
            <w:pPr>
              <w:pStyle w:val="CH5TableText"/>
            </w:pPr>
            <w:r w:rsidRPr="00D33008">
              <w:t>Nevada, Pennsylvania</w:t>
            </w:r>
          </w:p>
        </w:tc>
        <w:tc>
          <w:tcPr>
            <w:tcW w:w="1435" w:type="dxa"/>
          </w:tcPr>
          <w:p w14:paraId="64EF3FF6" w14:textId="77777777" w:rsidR="00810FAC" w:rsidRPr="005863F4" w:rsidRDefault="00810FAC" w:rsidP="00810FAC">
            <w:pPr>
              <w:pStyle w:val="CH5TableText"/>
              <w:rPr>
                <w:b/>
              </w:rPr>
            </w:pPr>
            <w:r w:rsidRPr="005863F4">
              <w:rPr>
                <w:b/>
              </w:rPr>
              <w:t>2</w:t>
            </w:r>
          </w:p>
        </w:tc>
      </w:tr>
      <w:tr w:rsidR="00810FAC" w:rsidRPr="00D33008" w14:paraId="4EB431CA" w14:textId="77777777" w:rsidTr="00810FAC">
        <w:tc>
          <w:tcPr>
            <w:tcW w:w="1435" w:type="dxa"/>
          </w:tcPr>
          <w:p w14:paraId="3FE61236" w14:textId="77777777" w:rsidR="00810FAC" w:rsidRPr="005863F4" w:rsidRDefault="00810FAC" w:rsidP="00810FAC">
            <w:pPr>
              <w:pStyle w:val="CH5TableText"/>
              <w:rPr>
                <w:b/>
              </w:rPr>
            </w:pPr>
            <w:r w:rsidRPr="005863F4">
              <w:rPr>
                <w:b/>
              </w:rPr>
              <w:t>2006</w:t>
            </w:r>
          </w:p>
        </w:tc>
        <w:tc>
          <w:tcPr>
            <w:tcW w:w="6480" w:type="dxa"/>
          </w:tcPr>
          <w:p w14:paraId="78557130" w14:textId="77777777" w:rsidR="00810FAC" w:rsidRPr="00D33008" w:rsidRDefault="00810FAC" w:rsidP="00810FAC">
            <w:pPr>
              <w:pStyle w:val="CH5TableText"/>
            </w:pPr>
            <w:r w:rsidRPr="00D33008">
              <w:t>Rhode Island, Washington</w:t>
            </w:r>
          </w:p>
        </w:tc>
        <w:tc>
          <w:tcPr>
            <w:tcW w:w="1435" w:type="dxa"/>
          </w:tcPr>
          <w:p w14:paraId="00E43AE6" w14:textId="77777777" w:rsidR="00810FAC" w:rsidRPr="005863F4" w:rsidRDefault="00810FAC" w:rsidP="00810FAC">
            <w:pPr>
              <w:pStyle w:val="CH5TableText"/>
              <w:rPr>
                <w:b/>
              </w:rPr>
            </w:pPr>
            <w:r w:rsidRPr="005863F4">
              <w:rPr>
                <w:b/>
              </w:rPr>
              <w:t>2</w:t>
            </w:r>
          </w:p>
        </w:tc>
      </w:tr>
      <w:tr w:rsidR="00810FAC" w:rsidRPr="00D33008" w14:paraId="50DF7227" w14:textId="77777777" w:rsidTr="00810FAC">
        <w:tc>
          <w:tcPr>
            <w:tcW w:w="1435" w:type="dxa"/>
          </w:tcPr>
          <w:p w14:paraId="71E700FA" w14:textId="77777777" w:rsidR="00810FAC" w:rsidRPr="005863F4" w:rsidRDefault="00810FAC" w:rsidP="00810FAC">
            <w:pPr>
              <w:pStyle w:val="CH5TableText"/>
              <w:rPr>
                <w:b/>
              </w:rPr>
            </w:pPr>
            <w:r w:rsidRPr="005863F4">
              <w:rPr>
                <w:b/>
              </w:rPr>
              <w:t>2007</w:t>
            </w:r>
          </w:p>
        </w:tc>
        <w:tc>
          <w:tcPr>
            <w:tcW w:w="6480" w:type="dxa"/>
          </w:tcPr>
          <w:p w14:paraId="461D6005" w14:textId="77777777" w:rsidR="00810FAC" w:rsidRPr="00D33008" w:rsidRDefault="00810FAC" w:rsidP="00810FAC">
            <w:pPr>
              <w:pStyle w:val="CH5TableText"/>
            </w:pPr>
            <w:r w:rsidRPr="00D33008">
              <w:t>Colorado, Connecticut, Illinois, Minnesota, North Carolina</w:t>
            </w:r>
          </w:p>
        </w:tc>
        <w:tc>
          <w:tcPr>
            <w:tcW w:w="1435" w:type="dxa"/>
          </w:tcPr>
          <w:p w14:paraId="6FF97A8D" w14:textId="77777777" w:rsidR="00810FAC" w:rsidRPr="005863F4" w:rsidRDefault="00810FAC" w:rsidP="00810FAC">
            <w:pPr>
              <w:pStyle w:val="CH5TableText"/>
              <w:rPr>
                <w:b/>
              </w:rPr>
            </w:pPr>
            <w:r w:rsidRPr="005863F4">
              <w:rPr>
                <w:b/>
              </w:rPr>
              <w:t>5</w:t>
            </w:r>
          </w:p>
        </w:tc>
      </w:tr>
      <w:tr w:rsidR="00810FAC" w:rsidRPr="00D33008" w14:paraId="003CB8D3" w14:textId="77777777" w:rsidTr="00810FAC">
        <w:tc>
          <w:tcPr>
            <w:tcW w:w="1435" w:type="dxa"/>
          </w:tcPr>
          <w:p w14:paraId="272B109F" w14:textId="77777777" w:rsidR="00810FAC" w:rsidRPr="005863F4" w:rsidRDefault="00810FAC" w:rsidP="00810FAC">
            <w:pPr>
              <w:pStyle w:val="CH5TableText"/>
              <w:rPr>
                <w:b/>
              </w:rPr>
            </w:pPr>
            <w:r w:rsidRPr="005863F4">
              <w:rPr>
                <w:b/>
              </w:rPr>
              <w:t>2008</w:t>
            </w:r>
          </w:p>
        </w:tc>
        <w:tc>
          <w:tcPr>
            <w:tcW w:w="6480" w:type="dxa"/>
          </w:tcPr>
          <w:p w14:paraId="3A295E0E" w14:textId="77777777" w:rsidR="00810FAC" w:rsidRPr="00D33008" w:rsidRDefault="00810FAC" w:rsidP="00810FAC">
            <w:pPr>
              <w:pStyle w:val="CH5TableText"/>
            </w:pPr>
            <w:r w:rsidRPr="00D33008">
              <w:t>Maryland, Michigan, New Mexico, New Year, Ohio</w:t>
            </w:r>
          </w:p>
        </w:tc>
        <w:tc>
          <w:tcPr>
            <w:tcW w:w="1435" w:type="dxa"/>
          </w:tcPr>
          <w:p w14:paraId="600A2510" w14:textId="77777777" w:rsidR="00810FAC" w:rsidRPr="005863F4" w:rsidRDefault="00810FAC" w:rsidP="00810FAC">
            <w:pPr>
              <w:pStyle w:val="CH5TableText"/>
              <w:rPr>
                <w:b/>
              </w:rPr>
            </w:pPr>
            <w:r w:rsidRPr="005863F4">
              <w:rPr>
                <w:b/>
              </w:rPr>
              <w:t>5</w:t>
            </w:r>
          </w:p>
        </w:tc>
      </w:tr>
      <w:tr w:rsidR="00810FAC" w:rsidRPr="00D33008" w14:paraId="21F7526E" w14:textId="77777777" w:rsidTr="00810FAC">
        <w:tc>
          <w:tcPr>
            <w:tcW w:w="1435" w:type="dxa"/>
          </w:tcPr>
          <w:p w14:paraId="348B1A3F" w14:textId="77777777" w:rsidR="00810FAC" w:rsidRPr="005863F4" w:rsidRDefault="00810FAC" w:rsidP="00810FAC">
            <w:pPr>
              <w:pStyle w:val="CH5TableText"/>
              <w:rPr>
                <w:b/>
              </w:rPr>
            </w:pPr>
            <w:r w:rsidRPr="005863F4">
              <w:rPr>
                <w:b/>
              </w:rPr>
              <w:t>2009</w:t>
            </w:r>
          </w:p>
        </w:tc>
        <w:tc>
          <w:tcPr>
            <w:tcW w:w="6480" w:type="dxa"/>
          </w:tcPr>
          <w:p w14:paraId="577AA114" w14:textId="77777777" w:rsidR="00810FAC" w:rsidRPr="00D33008" w:rsidRDefault="00810FAC" w:rsidP="00810FAC">
            <w:pPr>
              <w:pStyle w:val="CH5TableText"/>
            </w:pPr>
            <w:r w:rsidRPr="00D33008">
              <w:t>Arizona, Indiana, Iowa, Maine, Massachusetts</w:t>
            </w:r>
          </w:p>
        </w:tc>
        <w:tc>
          <w:tcPr>
            <w:tcW w:w="1435" w:type="dxa"/>
          </w:tcPr>
          <w:p w14:paraId="16825B5A" w14:textId="77777777" w:rsidR="00810FAC" w:rsidRPr="005863F4" w:rsidRDefault="00810FAC" w:rsidP="00810FAC">
            <w:pPr>
              <w:pStyle w:val="CH5TableText"/>
              <w:rPr>
                <w:b/>
              </w:rPr>
            </w:pPr>
            <w:r w:rsidRPr="005863F4">
              <w:rPr>
                <w:b/>
              </w:rPr>
              <w:t>5</w:t>
            </w:r>
          </w:p>
        </w:tc>
      </w:tr>
      <w:tr w:rsidR="00810FAC" w:rsidRPr="00D33008" w14:paraId="1891CB74" w14:textId="77777777" w:rsidTr="00810FAC">
        <w:tc>
          <w:tcPr>
            <w:tcW w:w="1435" w:type="dxa"/>
          </w:tcPr>
          <w:p w14:paraId="28220B6C" w14:textId="77777777" w:rsidR="00810FAC" w:rsidRPr="005863F4" w:rsidRDefault="00810FAC" w:rsidP="00810FAC">
            <w:pPr>
              <w:pStyle w:val="CH5TableText"/>
              <w:rPr>
                <w:b/>
              </w:rPr>
            </w:pPr>
            <w:r w:rsidRPr="005863F4">
              <w:rPr>
                <w:b/>
              </w:rPr>
              <w:t>2010</w:t>
            </w:r>
          </w:p>
        </w:tc>
        <w:tc>
          <w:tcPr>
            <w:tcW w:w="6480" w:type="dxa"/>
          </w:tcPr>
          <w:p w14:paraId="3D1CF052" w14:textId="77777777" w:rsidR="00810FAC" w:rsidRPr="00D33008" w:rsidRDefault="00810FAC" w:rsidP="00810FAC">
            <w:pPr>
              <w:pStyle w:val="CH5TableText"/>
            </w:pPr>
            <w:r w:rsidRPr="00D33008">
              <w:t>Arkansas, Oregon</w:t>
            </w:r>
          </w:p>
        </w:tc>
        <w:tc>
          <w:tcPr>
            <w:tcW w:w="1435" w:type="dxa"/>
          </w:tcPr>
          <w:p w14:paraId="1A3C5B93" w14:textId="77777777" w:rsidR="00810FAC" w:rsidRPr="005863F4" w:rsidRDefault="00810FAC" w:rsidP="00810FAC">
            <w:pPr>
              <w:pStyle w:val="CH5TableText"/>
              <w:rPr>
                <w:b/>
              </w:rPr>
            </w:pPr>
            <w:r w:rsidRPr="005863F4">
              <w:rPr>
                <w:b/>
              </w:rPr>
              <w:t>2</w:t>
            </w:r>
          </w:p>
        </w:tc>
      </w:tr>
      <w:tr w:rsidR="00810FAC" w:rsidRPr="00D33008" w14:paraId="27655124" w14:textId="77777777" w:rsidTr="00810FAC">
        <w:tc>
          <w:tcPr>
            <w:tcW w:w="1435" w:type="dxa"/>
            <w:tcBorders>
              <w:bottom w:val="single" w:sz="4" w:space="0" w:color="auto"/>
            </w:tcBorders>
          </w:tcPr>
          <w:p w14:paraId="2C36EBB2" w14:textId="77777777" w:rsidR="00810FAC" w:rsidRPr="005863F4" w:rsidRDefault="00810FAC" w:rsidP="00810FAC">
            <w:pPr>
              <w:pStyle w:val="CH5TableText"/>
              <w:rPr>
                <w:b/>
              </w:rPr>
            </w:pPr>
            <w:r w:rsidRPr="005863F4">
              <w:rPr>
                <w:b/>
              </w:rPr>
              <w:t>2011</w:t>
            </w:r>
          </w:p>
        </w:tc>
        <w:tc>
          <w:tcPr>
            <w:tcW w:w="6480" w:type="dxa"/>
            <w:tcBorders>
              <w:bottom w:val="single" w:sz="4" w:space="0" w:color="auto"/>
            </w:tcBorders>
          </w:tcPr>
          <w:p w14:paraId="51FCDB3D" w14:textId="77777777" w:rsidR="00810FAC" w:rsidRPr="00D33008" w:rsidRDefault="00810FAC" w:rsidP="00810FAC">
            <w:pPr>
              <w:pStyle w:val="CH5TableText"/>
            </w:pPr>
            <w:r w:rsidRPr="00D33008">
              <w:t>Wisconsin</w:t>
            </w:r>
          </w:p>
        </w:tc>
        <w:tc>
          <w:tcPr>
            <w:tcW w:w="1435" w:type="dxa"/>
            <w:tcBorders>
              <w:bottom w:val="single" w:sz="4" w:space="0" w:color="auto"/>
            </w:tcBorders>
          </w:tcPr>
          <w:p w14:paraId="6C738940" w14:textId="77777777" w:rsidR="00810FAC" w:rsidRPr="005863F4" w:rsidRDefault="00810FAC" w:rsidP="00810FAC">
            <w:pPr>
              <w:pStyle w:val="CH5TableText"/>
              <w:rPr>
                <w:b/>
              </w:rPr>
            </w:pPr>
            <w:r w:rsidRPr="005863F4">
              <w:rPr>
                <w:b/>
              </w:rPr>
              <w:t>1</w:t>
            </w:r>
          </w:p>
        </w:tc>
      </w:tr>
      <w:tr w:rsidR="00810FAC" w:rsidRPr="00D33008" w14:paraId="51EE2C6C" w14:textId="77777777" w:rsidTr="00CA6576">
        <w:tc>
          <w:tcPr>
            <w:tcW w:w="1435" w:type="dxa"/>
            <w:shd w:val="clear" w:color="auto" w:fill="D9D9D9" w:themeFill="background1" w:themeFillShade="D9"/>
          </w:tcPr>
          <w:p w14:paraId="74E69356" w14:textId="77777777" w:rsidR="00810FAC" w:rsidRPr="005863F4" w:rsidRDefault="00810FAC" w:rsidP="00810FAC">
            <w:pPr>
              <w:pStyle w:val="CH5TableText"/>
              <w:rPr>
                <w:b/>
              </w:rPr>
            </w:pPr>
            <w:r w:rsidRPr="005863F4">
              <w:rPr>
                <w:b/>
              </w:rPr>
              <w:t>1997-2011</w:t>
            </w:r>
          </w:p>
        </w:tc>
        <w:tc>
          <w:tcPr>
            <w:tcW w:w="6480" w:type="dxa"/>
            <w:shd w:val="clear" w:color="auto" w:fill="D9D9D9" w:themeFill="background1" w:themeFillShade="D9"/>
          </w:tcPr>
          <w:p w14:paraId="4CAF5276" w14:textId="77777777" w:rsidR="00810FAC" w:rsidRPr="00D33008" w:rsidRDefault="00810FAC" w:rsidP="00810FAC">
            <w:pPr>
              <w:pStyle w:val="CH5TableText"/>
            </w:pPr>
          </w:p>
        </w:tc>
        <w:tc>
          <w:tcPr>
            <w:tcW w:w="1435" w:type="dxa"/>
            <w:shd w:val="clear" w:color="auto" w:fill="D9D9D9" w:themeFill="background1" w:themeFillShade="D9"/>
          </w:tcPr>
          <w:p w14:paraId="7CFB5B65" w14:textId="77777777" w:rsidR="00810FAC" w:rsidRPr="005863F4" w:rsidRDefault="00810FAC" w:rsidP="00810FAC">
            <w:pPr>
              <w:pStyle w:val="CH5TableText"/>
              <w:rPr>
                <w:b/>
              </w:rPr>
            </w:pPr>
            <w:r w:rsidRPr="005863F4">
              <w:rPr>
                <w:b/>
              </w:rPr>
              <w:t>26</w:t>
            </w:r>
          </w:p>
        </w:tc>
      </w:tr>
    </w:tbl>
    <w:p w14:paraId="392B1974" w14:textId="42C78A7F" w:rsidR="00810FAC" w:rsidRPr="00CF0D49" w:rsidRDefault="00810FAC" w:rsidP="00810FAC">
      <w:pPr>
        <w:pStyle w:val="CH5TableSource"/>
      </w:pPr>
      <w:r w:rsidRPr="00CF0D49">
        <w:t>Source: ACEEE 2014c</w:t>
      </w:r>
    </w:p>
    <w:p w14:paraId="457C5866" w14:textId="77777777" w:rsidR="00810FAC" w:rsidRPr="00D33008" w:rsidRDefault="00810FAC" w:rsidP="009148E2">
      <w:pPr>
        <w:pStyle w:val="Heading3"/>
      </w:pPr>
      <w:bookmarkStart w:id="33" w:name="_Toc424721541"/>
      <w:r w:rsidRPr="00D33008">
        <w:t>EE Program Impacts</w:t>
      </w:r>
      <w:bookmarkEnd w:id="33"/>
    </w:p>
    <w:p w14:paraId="4E58120D" w14:textId="77777777" w:rsidR="00810FAC" w:rsidRPr="00D33008" w:rsidRDefault="00810FAC" w:rsidP="009148E2">
      <w:pPr>
        <w:pStyle w:val="Heading4"/>
      </w:pPr>
      <w:bookmarkStart w:id="34" w:name="_Toc424721542"/>
      <w:r w:rsidRPr="00D33008">
        <w:t>Impacts to-date</w:t>
      </w:r>
      <w:bookmarkEnd w:id="34"/>
    </w:p>
    <w:p w14:paraId="23B96420" w14:textId="77777777" w:rsidR="00810FAC" w:rsidRPr="00D33008" w:rsidRDefault="00810FAC" w:rsidP="00810FAC">
      <w:pPr>
        <w:pStyle w:val="CH5BodyText"/>
      </w:pPr>
      <w:r w:rsidRPr="00D33008">
        <w:t>The primary sources for EE program information (including costs and impacts) are annual EE program reports required by utility commissions, or cooperative or municipal utility boards of directors.</w:t>
      </w:r>
      <w:r>
        <w:t xml:space="preserve"> Program impact results</w:t>
      </w:r>
      <w:r w:rsidRPr="00D33008">
        <w:t xml:space="preserve"> </w:t>
      </w:r>
      <w:r>
        <w:t>provided in these reports are based on e</w:t>
      </w:r>
      <w:r w:rsidRPr="00E866C0">
        <w:t>valuation, measurement, and verification (EM&amp;V)</w:t>
      </w:r>
      <w:r>
        <w:t xml:space="preserve"> procedures and methods used to estimate the electricity </w:t>
      </w:r>
      <w:r>
        <w:lastRenderedPageBreak/>
        <w:t>savings from EE programs within the program portfolio.</w:t>
      </w:r>
      <w:r w:rsidRPr="00E866C0">
        <w:t xml:space="preserve"> </w:t>
      </w:r>
      <w:r w:rsidRPr="00D33008">
        <w:t xml:space="preserve">The EIA has been collecting data on EE programs through </w:t>
      </w:r>
      <w:r w:rsidRPr="00D33008">
        <w:rPr>
          <w:color w:val="272627"/>
        </w:rPr>
        <w:t>Form 861, “Annual Electric Power Industry Report,”</w:t>
      </w:r>
      <w:r w:rsidRPr="00D33008">
        <w:t xml:space="preserve"> for more than three decades.</w:t>
      </w:r>
      <w:r w:rsidRPr="00D33008">
        <w:rPr>
          <w:rStyle w:val="FootnoteReference"/>
        </w:rPr>
        <w:footnoteReference w:id="10"/>
      </w:r>
      <w:r w:rsidRPr="00D33008">
        <w:t xml:space="preserve"> The data collection reflects an increasing degree of breadth and detail over time. For example, third-party-administered programs were not initially required to report but were added beginning in 2011. Data fields have been added over the years to reflect industry trends (e.g., EE programs are now reported separately from load management programs). Outside organizations have taken the EIA data, supplemented it with additional sources including surveys of utility commissions and program administrators, and published their own annual reports that capture EE program impacts</w:t>
      </w:r>
      <w:r>
        <w:t xml:space="preserve"> (ACEEE 2014c; CEE 2015)</w:t>
      </w:r>
      <w:r w:rsidRPr="00D33008">
        <w:t>.</w:t>
      </w:r>
      <w:r w:rsidRPr="00D33008">
        <w:rPr>
          <w:vertAlign w:val="superscript"/>
        </w:rPr>
        <w:t xml:space="preserve"> </w:t>
      </w:r>
    </w:p>
    <w:p w14:paraId="1A42EC94" w14:textId="77777777" w:rsidR="00810FAC" w:rsidRDefault="00810FAC" w:rsidP="00810FAC">
      <w:pPr>
        <w:pStyle w:val="CH5BodyText"/>
      </w:pPr>
      <w:r w:rsidRPr="00D33008">
        <w:t>The EPA has relied on the EIA Form 861 dataset for identifying historic</w:t>
      </w:r>
      <w:r>
        <w:t>al</w:t>
      </w:r>
      <w:r w:rsidRPr="00D33008">
        <w:t xml:space="preserve"> impacts of EE programs by state</w:t>
      </w:r>
      <w:r>
        <w:t>, tribe and territory</w:t>
      </w:r>
      <w:r w:rsidRPr="00D33008">
        <w:t>. Specifically, the reported sales data and incremental electricity savings in the 201</w:t>
      </w:r>
      <w:r>
        <w:t>3</w:t>
      </w:r>
      <w:r w:rsidRPr="00D33008">
        <w:t xml:space="preserve"> EIA 861 dataset are used to estimate electricity EE impacts by state.</w:t>
      </w:r>
      <w:r>
        <w:rPr>
          <w:rStyle w:val="FootnoteReference"/>
        </w:rPr>
        <w:footnoteReference w:id="11"/>
      </w:r>
      <w:r w:rsidRPr="00D33008">
        <w:t xml:space="preserve"> EIA data is reported by program administrator (e.g., utility, third-party, or state agency) and requires the disaggregation of reported data by state for administrators with programs in multiple states (e.g., multi-state investor-owned utilities). Program administrators in </w:t>
      </w:r>
      <w:r>
        <w:t>50</w:t>
      </w:r>
      <w:r w:rsidRPr="00D33008">
        <w:t xml:space="preserve"> states </w:t>
      </w:r>
      <w:r>
        <w:t xml:space="preserve">and the District of Columbia </w:t>
      </w:r>
      <w:r w:rsidRPr="00D33008">
        <w:t>reported savings in 201</w:t>
      </w:r>
      <w:r>
        <w:t>3</w:t>
      </w:r>
      <w:r w:rsidRPr="00D33008">
        <w:t xml:space="preserve">. The EPA has compiled this information </w:t>
      </w:r>
      <w:r>
        <w:t xml:space="preserve">to derive </w:t>
      </w:r>
      <w:r w:rsidRPr="00D33008">
        <w:t xml:space="preserve">aggregate </w:t>
      </w:r>
      <w:r>
        <w:t xml:space="preserve">electricity sales and incremental electricity savings at </w:t>
      </w:r>
      <w:r w:rsidRPr="00D33008">
        <w:t>the state</w:t>
      </w:r>
      <w:r>
        <w:t>, tribal and territorial</w:t>
      </w:r>
      <w:r w:rsidRPr="00D33008">
        <w:t xml:space="preserve"> level</w:t>
      </w:r>
      <w:r>
        <w:t>s</w:t>
      </w:r>
      <w:r w:rsidRPr="00D33008">
        <w:t>.</w:t>
      </w:r>
      <w:r>
        <w:rPr>
          <w:rStyle w:val="FootnoteReference"/>
        </w:rPr>
        <w:footnoteReference w:id="12"/>
      </w:r>
      <w:r w:rsidRPr="00D33008">
        <w:t xml:space="preserve"> </w:t>
      </w:r>
    </w:p>
    <w:p w14:paraId="147AB226" w14:textId="77777777" w:rsidR="00810FAC" w:rsidRDefault="00810FAC" w:rsidP="009148E2">
      <w:pPr>
        <w:pStyle w:val="CH5BodyText"/>
      </w:pPr>
      <w:r w:rsidRPr="00DB46AB">
        <w:t xml:space="preserve">Three tribal areas </w:t>
      </w:r>
      <w:r>
        <w:t xml:space="preserve">(Navajo, Ute, and Fort Mojave) and two territories (Puerto Rico and Guam) </w:t>
      </w:r>
      <w:r w:rsidRPr="00DB46AB">
        <w:t xml:space="preserve">have affected </w:t>
      </w:r>
      <w:r>
        <w:t>EGUs</w:t>
      </w:r>
      <w:r w:rsidRPr="00DB46AB">
        <w:t xml:space="preserve"> under the </w:t>
      </w:r>
      <w:r>
        <w:t>final rule</w:t>
      </w:r>
      <w:r w:rsidRPr="00DB46AB">
        <w:t xml:space="preserve">. </w:t>
      </w:r>
      <w:r>
        <w:t>The 2013 EIA form 861 data contain information to identify historical electricity sales and EE activities in these tribal areas and territories</w:t>
      </w:r>
      <w:r w:rsidRPr="005476DC">
        <w:t>.</w:t>
      </w:r>
      <w:r>
        <w:t xml:space="preserve"> The tribes are located in t</w:t>
      </w:r>
      <w:r w:rsidRPr="00D257F4">
        <w:t>hree states</w:t>
      </w:r>
      <w:r>
        <w:t xml:space="preserve"> – </w:t>
      </w:r>
      <w:r w:rsidRPr="00D257F4">
        <w:t>Arizona, New Mexico, and Utah</w:t>
      </w:r>
      <w:r>
        <w:t xml:space="preserve">. Electricity sales within the tribal areas are taken out of the total sales within these three states and reported separately. </w:t>
      </w:r>
      <w:r w:rsidRPr="00F31395">
        <w:t xml:space="preserve">For Arizona, this includes utility sales in the “Navajo Tribal Utility Authority” (Navajo tribe) and the “Aha Macav Power Service” (Fort Mojave tribe). For New Mexico, this includes utility sales in the “Navajo Tribal Utility Authority” (Navajo tribe). For Utah, this </w:t>
      </w:r>
      <w:r w:rsidRPr="00F31395">
        <w:lastRenderedPageBreak/>
        <w:t xml:space="preserve">includes utility sales in the “Navajo Tribal Utility Authority” (Navajo tribe) and the “Moon Lake Electric Assn, Inc.” (Ute tribe). </w:t>
      </w:r>
    </w:p>
    <w:p w14:paraId="4211211D" w14:textId="7C190267" w:rsidR="00810FAC" w:rsidRPr="00D33008" w:rsidRDefault="00810FAC" w:rsidP="00810FAC">
      <w:pPr>
        <w:pStyle w:val="CH5BodyText"/>
      </w:pPr>
      <w:r w:rsidRPr="00D33008">
        <w:t>Table 4 provides a summary of th</w:t>
      </w:r>
      <w:r>
        <w:t>e</w:t>
      </w:r>
      <w:r w:rsidRPr="00D33008">
        <w:t xml:space="preserve"> </w:t>
      </w:r>
      <w:r>
        <w:t xml:space="preserve">estimated electricity savings </w:t>
      </w:r>
      <w:r w:rsidRPr="00D33008">
        <w:t>data by state</w:t>
      </w:r>
      <w:r>
        <w:t>, tribal area and territory</w:t>
      </w:r>
      <w:r w:rsidRPr="00D33008">
        <w:t xml:space="preserve"> for </w:t>
      </w:r>
      <w:r>
        <w:t>the latest year of available data</w:t>
      </w:r>
      <w:r w:rsidRPr="00D33008">
        <w:t>. At the national level, incremental electricity savings</w:t>
      </w:r>
      <w:r w:rsidRPr="00D33008">
        <w:rPr>
          <w:rStyle w:val="FootnoteReference"/>
        </w:rPr>
        <w:footnoteReference w:id="13"/>
      </w:r>
      <w:r w:rsidRPr="00D33008">
        <w:t xml:space="preserve"> in 201</w:t>
      </w:r>
      <w:r>
        <w:t>3</w:t>
      </w:r>
      <w:r w:rsidRPr="00D33008">
        <w:t xml:space="preserve"> was 0.</w:t>
      </w:r>
      <w:r w:rsidRPr="007A19D9">
        <w:t>66</w:t>
      </w:r>
      <w:r w:rsidRPr="00D33008">
        <w:t>% of retail sales with individual state values ranging from 0.00% to 2.</w:t>
      </w:r>
      <w:r>
        <w:t>00</w:t>
      </w:r>
      <w:r w:rsidRPr="007A19D9">
        <w:t>%. Cumulative electricity savings</w:t>
      </w:r>
      <w:r w:rsidRPr="007A19D9">
        <w:rPr>
          <w:rStyle w:val="FootnoteReference"/>
        </w:rPr>
        <w:footnoteReference w:id="14"/>
      </w:r>
      <w:r w:rsidRPr="007A19D9">
        <w:t xml:space="preserve"> (representing the remaining impacts of programs from all prior years) reported at the national level for 201</w:t>
      </w:r>
      <w:r>
        <w:t>2</w:t>
      </w:r>
      <w:r w:rsidRPr="007A19D9">
        <w:t xml:space="preserve"> represent 3.73% of retail sales with individual state values ranging from 0.0% to 15.44</w:t>
      </w:r>
      <w:r w:rsidRPr="00D33008">
        <w:t>%.</w:t>
      </w:r>
      <w:r w:rsidRPr="000308D3">
        <w:rPr>
          <w:vertAlign w:val="superscript"/>
        </w:rPr>
        <w:footnoteReference w:id="15"/>
      </w:r>
      <w:r>
        <w:t xml:space="preserve"> 2012 was the most recent year that EIA Form 861 included cumulative savings data, which has been discontinued in the 2013 version of the form.</w:t>
      </w:r>
    </w:p>
    <w:p w14:paraId="2630300D" w14:textId="667E1935" w:rsidR="00810FAC" w:rsidRDefault="00810FAC" w:rsidP="00CA6576">
      <w:pPr>
        <w:pStyle w:val="CH5TableTitle"/>
      </w:pPr>
      <w:bookmarkStart w:id="35" w:name="_Toc424720254"/>
      <w:r w:rsidRPr="00C806BB">
        <w:t>T</w:t>
      </w:r>
      <w:r w:rsidRPr="00D323DC">
        <w:t>able</w:t>
      </w:r>
      <w:r w:rsidRPr="00D33008">
        <w:t xml:space="preserve"> 4</w:t>
      </w:r>
      <w:r>
        <w:t xml:space="preserve">. Aggregate </w:t>
      </w:r>
      <w:r w:rsidRPr="00D33008">
        <w:t>Electricity Savings by State</w:t>
      </w:r>
      <w:r>
        <w:t>, Tribal Area and Territory</w:t>
      </w:r>
      <w:bookmarkEnd w:id="35"/>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2520"/>
        <w:gridCol w:w="2520"/>
      </w:tblGrid>
      <w:tr w:rsidR="00033F3D" w:rsidRPr="00CA6576" w14:paraId="6BE6D3E6" w14:textId="77777777" w:rsidTr="00033F3D">
        <w:trPr>
          <w:trHeight w:val="345"/>
          <w:tblHeader/>
          <w:jc w:val="center"/>
        </w:trPr>
        <w:tc>
          <w:tcPr>
            <w:tcW w:w="2520" w:type="dxa"/>
            <w:shd w:val="clear" w:color="auto" w:fill="D9D9D9" w:themeFill="background1" w:themeFillShade="D9"/>
            <w:noWrap/>
            <w:vAlign w:val="center"/>
          </w:tcPr>
          <w:p w14:paraId="21B02663" w14:textId="77777777" w:rsidR="00033F3D" w:rsidRPr="00CA6576" w:rsidRDefault="00033F3D" w:rsidP="00CA6576">
            <w:pPr>
              <w:keepNext/>
              <w:spacing w:before="20" w:after="20"/>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State</w:t>
            </w:r>
          </w:p>
        </w:tc>
        <w:tc>
          <w:tcPr>
            <w:tcW w:w="2520" w:type="dxa"/>
            <w:shd w:val="clear" w:color="auto" w:fill="D9D9D9" w:themeFill="background1" w:themeFillShade="D9"/>
            <w:noWrap/>
            <w:vAlign w:val="center"/>
          </w:tcPr>
          <w:p w14:paraId="7DBD5843" w14:textId="77777777" w:rsidR="00033F3D" w:rsidRPr="00CA6576" w:rsidRDefault="00033F3D" w:rsidP="00033F3D">
            <w:pPr>
              <w:keepNext/>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Incremental Savings as a Percent of Retail Sales (%)</w:t>
            </w:r>
          </w:p>
          <w:p w14:paraId="63EFFA4C" w14:textId="77777777" w:rsidR="00033F3D" w:rsidRPr="00CA6576" w:rsidRDefault="00033F3D" w:rsidP="00033F3D">
            <w:pPr>
              <w:keepNext/>
              <w:spacing w:before="20" w:after="20"/>
              <w:jc w:val="center"/>
              <w:rPr>
                <w:rFonts w:ascii="Times New Roman" w:hAnsi="Times New Roman" w:cs="Times New Roman"/>
                <w:sz w:val="20"/>
                <w:szCs w:val="20"/>
              </w:rPr>
            </w:pPr>
            <w:r w:rsidRPr="00CA6576">
              <w:rPr>
                <w:rFonts w:ascii="Times New Roman" w:eastAsia="Times New Roman" w:hAnsi="Times New Roman" w:cs="Times New Roman"/>
                <w:b/>
                <w:bCs/>
                <w:color w:val="000000"/>
                <w:sz w:val="20"/>
                <w:szCs w:val="20"/>
              </w:rPr>
              <w:t>2013</w:t>
            </w:r>
          </w:p>
        </w:tc>
        <w:tc>
          <w:tcPr>
            <w:tcW w:w="2520" w:type="dxa"/>
            <w:shd w:val="clear" w:color="auto" w:fill="D9D9D9" w:themeFill="background1" w:themeFillShade="D9"/>
            <w:noWrap/>
          </w:tcPr>
          <w:p w14:paraId="08622E79" w14:textId="77777777" w:rsidR="00033F3D" w:rsidRPr="00CA6576" w:rsidRDefault="00033F3D" w:rsidP="00033F3D">
            <w:pPr>
              <w:keepNext/>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Cumulative Savings as a Percent of Retail Sales (%)</w:t>
            </w:r>
          </w:p>
          <w:p w14:paraId="399D8AE9" w14:textId="77777777" w:rsidR="00033F3D" w:rsidRPr="00CA6576" w:rsidRDefault="00033F3D" w:rsidP="00033F3D">
            <w:pPr>
              <w:keepNext/>
              <w:spacing w:before="20" w:after="20"/>
              <w:jc w:val="center"/>
              <w:rPr>
                <w:rFonts w:ascii="Times New Roman" w:hAnsi="Times New Roman" w:cs="Times New Roman"/>
                <w:sz w:val="20"/>
                <w:szCs w:val="20"/>
              </w:rPr>
            </w:pPr>
            <w:r w:rsidRPr="00CA6576">
              <w:rPr>
                <w:rFonts w:ascii="Times New Roman" w:eastAsia="Times New Roman" w:hAnsi="Times New Roman" w:cs="Times New Roman"/>
                <w:b/>
                <w:bCs/>
                <w:color w:val="000000"/>
                <w:sz w:val="20"/>
                <w:szCs w:val="20"/>
              </w:rPr>
              <w:t>2012</w:t>
            </w:r>
          </w:p>
        </w:tc>
      </w:tr>
      <w:tr w:rsidR="00810FAC" w:rsidRPr="00CA6576" w14:paraId="3CCE8E34" w14:textId="77777777" w:rsidTr="00033F3D">
        <w:trPr>
          <w:trHeight w:val="345"/>
          <w:jc w:val="center"/>
        </w:trPr>
        <w:tc>
          <w:tcPr>
            <w:tcW w:w="2520" w:type="dxa"/>
            <w:shd w:val="clear" w:color="auto" w:fill="auto"/>
            <w:noWrap/>
            <w:vAlign w:val="center"/>
            <w:hideMark/>
          </w:tcPr>
          <w:p w14:paraId="115C14CB" w14:textId="77777777" w:rsidR="00810FAC" w:rsidRPr="00CA6576" w:rsidRDefault="00810FAC" w:rsidP="00CA6576">
            <w:pPr>
              <w:keepNext/>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Alabama</w:t>
            </w:r>
          </w:p>
        </w:tc>
        <w:tc>
          <w:tcPr>
            <w:tcW w:w="2520" w:type="dxa"/>
            <w:shd w:val="clear" w:color="auto" w:fill="auto"/>
            <w:noWrap/>
            <w:vAlign w:val="center"/>
            <w:hideMark/>
          </w:tcPr>
          <w:p w14:paraId="14967B80" w14:textId="77777777" w:rsidR="00810FAC" w:rsidRPr="00CA6576" w:rsidRDefault="00810FAC" w:rsidP="00CA6576">
            <w:pPr>
              <w:keepNext/>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0.10%</w:t>
            </w:r>
          </w:p>
        </w:tc>
        <w:tc>
          <w:tcPr>
            <w:tcW w:w="2520" w:type="dxa"/>
            <w:shd w:val="clear" w:color="auto" w:fill="auto"/>
            <w:noWrap/>
          </w:tcPr>
          <w:p w14:paraId="6C0CA97A" w14:textId="77777777" w:rsidR="00810FAC" w:rsidRPr="00CA6576" w:rsidRDefault="00810FAC" w:rsidP="00CA6576">
            <w:pPr>
              <w:keepNext/>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0.78%</w:t>
            </w:r>
          </w:p>
        </w:tc>
      </w:tr>
      <w:tr w:rsidR="00810FAC" w:rsidRPr="00CA6576" w14:paraId="214D8B10" w14:textId="77777777" w:rsidTr="00033F3D">
        <w:trPr>
          <w:trHeight w:val="345"/>
          <w:jc w:val="center"/>
        </w:trPr>
        <w:tc>
          <w:tcPr>
            <w:tcW w:w="2520" w:type="dxa"/>
            <w:shd w:val="clear" w:color="auto" w:fill="auto"/>
            <w:noWrap/>
            <w:vAlign w:val="center"/>
            <w:hideMark/>
          </w:tcPr>
          <w:p w14:paraId="5B32357C"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Arizona</w:t>
            </w:r>
          </w:p>
        </w:tc>
        <w:tc>
          <w:tcPr>
            <w:tcW w:w="2520" w:type="dxa"/>
            <w:shd w:val="clear" w:color="auto" w:fill="auto"/>
            <w:noWrap/>
            <w:vAlign w:val="center"/>
            <w:hideMark/>
          </w:tcPr>
          <w:p w14:paraId="303AB2A9"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1.59%</w:t>
            </w:r>
          </w:p>
        </w:tc>
        <w:tc>
          <w:tcPr>
            <w:tcW w:w="2520" w:type="dxa"/>
            <w:shd w:val="clear" w:color="auto" w:fill="auto"/>
            <w:noWrap/>
          </w:tcPr>
          <w:p w14:paraId="56E4C45A"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5.43%</w:t>
            </w:r>
          </w:p>
        </w:tc>
      </w:tr>
      <w:tr w:rsidR="00810FAC" w:rsidRPr="00CA6576" w14:paraId="1F656B21" w14:textId="77777777" w:rsidTr="00033F3D">
        <w:trPr>
          <w:trHeight w:val="345"/>
          <w:jc w:val="center"/>
        </w:trPr>
        <w:tc>
          <w:tcPr>
            <w:tcW w:w="2520" w:type="dxa"/>
            <w:shd w:val="clear" w:color="auto" w:fill="auto"/>
            <w:noWrap/>
            <w:vAlign w:val="center"/>
            <w:hideMark/>
          </w:tcPr>
          <w:p w14:paraId="36DC9A89"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Arkansas</w:t>
            </w:r>
          </w:p>
        </w:tc>
        <w:tc>
          <w:tcPr>
            <w:tcW w:w="2520" w:type="dxa"/>
            <w:shd w:val="clear" w:color="auto" w:fill="auto"/>
            <w:noWrap/>
            <w:vAlign w:val="center"/>
            <w:hideMark/>
          </w:tcPr>
          <w:p w14:paraId="48215CAD"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0.49%</w:t>
            </w:r>
          </w:p>
        </w:tc>
        <w:tc>
          <w:tcPr>
            <w:tcW w:w="2520" w:type="dxa"/>
            <w:shd w:val="clear" w:color="auto" w:fill="auto"/>
            <w:noWrap/>
          </w:tcPr>
          <w:p w14:paraId="42ED29B2"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0.39%</w:t>
            </w:r>
          </w:p>
        </w:tc>
      </w:tr>
      <w:tr w:rsidR="00810FAC" w:rsidRPr="00CA6576" w14:paraId="37DDC53F" w14:textId="77777777" w:rsidTr="00033F3D">
        <w:trPr>
          <w:trHeight w:val="345"/>
          <w:jc w:val="center"/>
        </w:trPr>
        <w:tc>
          <w:tcPr>
            <w:tcW w:w="2520" w:type="dxa"/>
            <w:shd w:val="clear" w:color="auto" w:fill="auto"/>
            <w:noWrap/>
            <w:vAlign w:val="center"/>
            <w:hideMark/>
          </w:tcPr>
          <w:p w14:paraId="10CBA62F"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California</w:t>
            </w:r>
          </w:p>
        </w:tc>
        <w:tc>
          <w:tcPr>
            <w:tcW w:w="2520" w:type="dxa"/>
            <w:shd w:val="clear" w:color="auto" w:fill="auto"/>
            <w:noWrap/>
            <w:vAlign w:val="center"/>
            <w:hideMark/>
          </w:tcPr>
          <w:p w14:paraId="6FB320B4"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1.16%</w:t>
            </w:r>
          </w:p>
        </w:tc>
        <w:tc>
          <w:tcPr>
            <w:tcW w:w="2520" w:type="dxa"/>
            <w:shd w:val="clear" w:color="auto" w:fill="auto"/>
            <w:noWrap/>
          </w:tcPr>
          <w:p w14:paraId="45FA8C1B"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13.67%</w:t>
            </w:r>
          </w:p>
        </w:tc>
      </w:tr>
      <w:tr w:rsidR="00810FAC" w:rsidRPr="00CA6576" w14:paraId="4B3192EF" w14:textId="77777777" w:rsidTr="00033F3D">
        <w:trPr>
          <w:trHeight w:val="345"/>
          <w:jc w:val="center"/>
        </w:trPr>
        <w:tc>
          <w:tcPr>
            <w:tcW w:w="2520" w:type="dxa"/>
            <w:shd w:val="clear" w:color="auto" w:fill="auto"/>
            <w:noWrap/>
            <w:vAlign w:val="center"/>
            <w:hideMark/>
          </w:tcPr>
          <w:p w14:paraId="51E4C8C5"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Colorado</w:t>
            </w:r>
          </w:p>
        </w:tc>
        <w:tc>
          <w:tcPr>
            <w:tcW w:w="2520" w:type="dxa"/>
            <w:shd w:val="clear" w:color="auto" w:fill="auto"/>
            <w:noWrap/>
            <w:vAlign w:val="center"/>
            <w:hideMark/>
          </w:tcPr>
          <w:p w14:paraId="50F700F6"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0.92%</w:t>
            </w:r>
          </w:p>
        </w:tc>
        <w:tc>
          <w:tcPr>
            <w:tcW w:w="2520" w:type="dxa"/>
            <w:shd w:val="clear" w:color="auto" w:fill="auto"/>
            <w:noWrap/>
          </w:tcPr>
          <w:p w14:paraId="2EECBD94"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4.67%</w:t>
            </w:r>
          </w:p>
        </w:tc>
      </w:tr>
      <w:tr w:rsidR="00810FAC" w:rsidRPr="00CA6576" w14:paraId="2A06B41F" w14:textId="77777777" w:rsidTr="00033F3D">
        <w:trPr>
          <w:trHeight w:val="345"/>
          <w:jc w:val="center"/>
        </w:trPr>
        <w:tc>
          <w:tcPr>
            <w:tcW w:w="2520" w:type="dxa"/>
            <w:shd w:val="clear" w:color="auto" w:fill="auto"/>
            <w:noWrap/>
            <w:vAlign w:val="center"/>
            <w:hideMark/>
          </w:tcPr>
          <w:p w14:paraId="47DEAF31"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Connecticut</w:t>
            </w:r>
          </w:p>
        </w:tc>
        <w:tc>
          <w:tcPr>
            <w:tcW w:w="2520" w:type="dxa"/>
            <w:shd w:val="clear" w:color="auto" w:fill="auto"/>
            <w:noWrap/>
            <w:vAlign w:val="center"/>
            <w:hideMark/>
          </w:tcPr>
          <w:p w14:paraId="44F3D8DF"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1.00%</w:t>
            </w:r>
          </w:p>
        </w:tc>
        <w:tc>
          <w:tcPr>
            <w:tcW w:w="2520" w:type="dxa"/>
            <w:shd w:val="clear" w:color="auto" w:fill="auto"/>
            <w:noWrap/>
          </w:tcPr>
          <w:p w14:paraId="59D3B655"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13.39%</w:t>
            </w:r>
          </w:p>
        </w:tc>
      </w:tr>
      <w:tr w:rsidR="00810FAC" w:rsidRPr="00CA6576" w14:paraId="207D25F8" w14:textId="77777777" w:rsidTr="00033F3D">
        <w:trPr>
          <w:trHeight w:val="345"/>
          <w:jc w:val="center"/>
        </w:trPr>
        <w:tc>
          <w:tcPr>
            <w:tcW w:w="2520" w:type="dxa"/>
            <w:shd w:val="clear" w:color="auto" w:fill="auto"/>
            <w:noWrap/>
            <w:vAlign w:val="center"/>
            <w:hideMark/>
          </w:tcPr>
          <w:p w14:paraId="5E38C98C"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Delaware</w:t>
            </w:r>
          </w:p>
        </w:tc>
        <w:tc>
          <w:tcPr>
            <w:tcW w:w="2520" w:type="dxa"/>
            <w:shd w:val="clear" w:color="auto" w:fill="auto"/>
            <w:noWrap/>
            <w:vAlign w:val="center"/>
            <w:hideMark/>
          </w:tcPr>
          <w:p w14:paraId="4398FA38"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0.01%</w:t>
            </w:r>
          </w:p>
        </w:tc>
        <w:tc>
          <w:tcPr>
            <w:tcW w:w="2520" w:type="dxa"/>
            <w:shd w:val="clear" w:color="auto" w:fill="auto"/>
            <w:noWrap/>
          </w:tcPr>
          <w:p w14:paraId="5EC40192"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0.00%</w:t>
            </w:r>
          </w:p>
        </w:tc>
      </w:tr>
      <w:tr w:rsidR="00810FAC" w:rsidRPr="00CA6576" w14:paraId="5DD15DA1" w14:textId="77777777" w:rsidTr="00033F3D">
        <w:trPr>
          <w:trHeight w:val="345"/>
          <w:jc w:val="center"/>
        </w:trPr>
        <w:tc>
          <w:tcPr>
            <w:tcW w:w="2520" w:type="dxa"/>
            <w:shd w:val="clear" w:color="auto" w:fill="auto"/>
            <w:noWrap/>
            <w:vAlign w:val="center"/>
            <w:hideMark/>
          </w:tcPr>
          <w:p w14:paraId="7C264C18"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District of Columbia</w:t>
            </w:r>
          </w:p>
        </w:tc>
        <w:tc>
          <w:tcPr>
            <w:tcW w:w="2520" w:type="dxa"/>
            <w:shd w:val="clear" w:color="auto" w:fill="auto"/>
            <w:noWrap/>
            <w:vAlign w:val="center"/>
            <w:hideMark/>
          </w:tcPr>
          <w:p w14:paraId="64422CFA"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0.45%</w:t>
            </w:r>
          </w:p>
        </w:tc>
        <w:tc>
          <w:tcPr>
            <w:tcW w:w="2520" w:type="dxa"/>
            <w:shd w:val="clear" w:color="auto" w:fill="auto"/>
            <w:noWrap/>
          </w:tcPr>
          <w:p w14:paraId="59C46130"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0.57%</w:t>
            </w:r>
          </w:p>
        </w:tc>
      </w:tr>
      <w:tr w:rsidR="00810FAC" w:rsidRPr="00CA6576" w14:paraId="21B4A5D4" w14:textId="77777777" w:rsidTr="00033F3D">
        <w:trPr>
          <w:trHeight w:val="345"/>
          <w:jc w:val="center"/>
        </w:trPr>
        <w:tc>
          <w:tcPr>
            <w:tcW w:w="2520" w:type="dxa"/>
            <w:shd w:val="clear" w:color="auto" w:fill="auto"/>
            <w:noWrap/>
            <w:vAlign w:val="center"/>
            <w:hideMark/>
          </w:tcPr>
          <w:p w14:paraId="4401D89B"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Florida</w:t>
            </w:r>
          </w:p>
        </w:tc>
        <w:tc>
          <w:tcPr>
            <w:tcW w:w="2520" w:type="dxa"/>
            <w:shd w:val="clear" w:color="auto" w:fill="auto"/>
            <w:noWrap/>
            <w:vAlign w:val="center"/>
            <w:hideMark/>
          </w:tcPr>
          <w:p w14:paraId="15DF9A76"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0.17%</w:t>
            </w:r>
          </w:p>
        </w:tc>
        <w:tc>
          <w:tcPr>
            <w:tcW w:w="2520" w:type="dxa"/>
            <w:shd w:val="clear" w:color="auto" w:fill="auto"/>
            <w:noWrap/>
          </w:tcPr>
          <w:p w14:paraId="3E3566C7"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3.60%</w:t>
            </w:r>
          </w:p>
        </w:tc>
      </w:tr>
      <w:tr w:rsidR="00810FAC" w:rsidRPr="00CA6576" w14:paraId="5CBFF575" w14:textId="77777777" w:rsidTr="00033F3D">
        <w:trPr>
          <w:trHeight w:val="345"/>
          <w:jc w:val="center"/>
        </w:trPr>
        <w:tc>
          <w:tcPr>
            <w:tcW w:w="2520" w:type="dxa"/>
            <w:shd w:val="clear" w:color="auto" w:fill="auto"/>
            <w:noWrap/>
            <w:vAlign w:val="center"/>
            <w:hideMark/>
          </w:tcPr>
          <w:p w14:paraId="2A4A7F13"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Georgia</w:t>
            </w:r>
          </w:p>
        </w:tc>
        <w:tc>
          <w:tcPr>
            <w:tcW w:w="2520" w:type="dxa"/>
            <w:shd w:val="clear" w:color="auto" w:fill="auto"/>
            <w:noWrap/>
            <w:vAlign w:val="center"/>
            <w:hideMark/>
          </w:tcPr>
          <w:p w14:paraId="06F9B334"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0.26%</w:t>
            </w:r>
          </w:p>
        </w:tc>
        <w:tc>
          <w:tcPr>
            <w:tcW w:w="2520" w:type="dxa"/>
            <w:shd w:val="clear" w:color="auto" w:fill="auto"/>
            <w:noWrap/>
          </w:tcPr>
          <w:p w14:paraId="345C8751"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0.67%</w:t>
            </w:r>
          </w:p>
        </w:tc>
      </w:tr>
      <w:tr w:rsidR="00810FAC" w:rsidRPr="00CA6576" w14:paraId="273B4099" w14:textId="77777777" w:rsidTr="00033F3D">
        <w:trPr>
          <w:trHeight w:val="345"/>
          <w:jc w:val="center"/>
        </w:trPr>
        <w:tc>
          <w:tcPr>
            <w:tcW w:w="2520" w:type="dxa"/>
            <w:shd w:val="clear" w:color="auto" w:fill="auto"/>
            <w:noWrap/>
            <w:vAlign w:val="center"/>
            <w:hideMark/>
          </w:tcPr>
          <w:p w14:paraId="4B386AD6"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Idaho</w:t>
            </w:r>
          </w:p>
        </w:tc>
        <w:tc>
          <w:tcPr>
            <w:tcW w:w="2520" w:type="dxa"/>
            <w:shd w:val="clear" w:color="auto" w:fill="auto"/>
            <w:noWrap/>
            <w:vAlign w:val="center"/>
            <w:hideMark/>
          </w:tcPr>
          <w:p w14:paraId="4E676BB5"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0.54%</w:t>
            </w:r>
          </w:p>
        </w:tc>
        <w:tc>
          <w:tcPr>
            <w:tcW w:w="2520" w:type="dxa"/>
            <w:shd w:val="clear" w:color="auto" w:fill="auto"/>
            <w:noWrap/>
          </w:tcPr>
          <w:p w14:paraId="709BE208"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6.20%</w:t>
            </w:r>
          </w:p>
        </w:tc>
      </w:tr>
      <w:tr w:rsidR="00810FAC" w:rsidRPr="00CA6576" w14:paraId="025807F0" w14:textId="77777777" w:rsidTr="00033F3D">
        <w:trPr>
          <w:trHeight w:val="345"/>
          <w:jc w:val="center"/>
        </w:trPr>
        <w:tc>
          <w:tcPr>
            <w:tcW w:w="2520" w:type="dxa"/>
            <w:shd w:val="clear" w:color="auto" w:fill="auto"/>
            <w:noWrap/>
            <w:vAlign w:val="center"/>
            <w:hideMark/>
          </w:tcPr>
          <w:p w14:paraId="2729F271"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Illinois</w:t>
            </w:r>
          </w:p>
        </w:tc>
        <w:tc>
          <w:tcPr>
            <w:tcW w:w="2520" w:type="dxa"/>
            <w:shd w:val="clear" w:color="auto" w:fill="auto"/>
            <w:noWrap/>
            <w:vAlign w:val="center"/>
            <w:hideMark/>
          </w:tcPr>
          <w:p w14:paraId="0F46B01F"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1.06%</w:t>
            </w:r>
          </w:p>
        </w:tc>
        <w:tc>
          <w:tcPr>
            <w:tcW w:w="2520" w:type="dxa"/>
            <w:shd w:val="clear" w:color="auto" w:fill="auto"/>
            <w:noWrap/>
          </w:tcPr>
          <w:p w14:paraId="25DF4B49"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2.15%</w:t>
            </w:r>
          </w:p>
        </w:tc>
      </w:tr>
      <w:tr w:rsidR="00810FAC" w:rsidRPr="00CA6576" w14:paraId="74FA1714" w14:textId="77777777" w:rsidTr="00033F3D">
        <w:trPr>
          <w:trHeight w:val="345"/>
          <w:jc w:val="center"/>
        </w:trPr>
        <w:tc>
          <w:tcPr>
            <w:tcW w:w="2520" w:type="dxa"/>
            <w:shd w:val="clear" w:color="auto" w:fill="auto"/>
            <w:noWrap/>
            <w:vAlign w:val="center"/>
            <w:hideMark/>
          </w:tcPr>
          <w:p w14:paraId="0635428E"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Indiana</w:t>
            </w:r>
          </w:p>
        </w:tc>
        <w:tc>
          <w:tcPr>
            <w:tcW w:w="2520" w:type="dxa"/>
            <w:shd w:val="clear" w:color="auto" w:fill="auto"/>
            <w:noWrap/>
            <w:vAlign w:val="center"/>
            <w:hideMark/>
          </w:tcPr>
          <w:p w14:paraId="4446F630"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0.93%</w:t>
            </w:r>
          </w:p>
        </w:tc>
        <w:tc>
          <w:tcPr>
            <w:tcW w:w="2520" w:type="dxa"/>
            <w:shd w:val="clear" w:color="auto" w:fill="auto"/>
            <w:noWrap/>
          </w:tcPr>
          <w:p w14:paraId="715F6D89"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1.72%</w:t>
            </w:r>
          </w:p>
        </w:tc>
      </w:tr>
      <w:tr w:rsidR="00810FAC" w:rsidRPr="00CA6576" w14:paraId="3E111685" w14:textId="77777777" w:rsidTr="00033F3D">
        <w:trPr>
          <w:trHeight w:val="345"/>
          <w:jc w:val="center"/>
        </w:trPr>
        <w:tc>
          <w:tcPr>
            <w:tcW w:w="2520" w:type="dxa"/>
            <w:shd w:val="clear" w:color="auto" w:fill="auto"/>
            <w:noWrap/>
            <w:vAlign w:val="center"/>
            <w:hideMark/>
          </w:tcPr>
          <w:p w14:paraId="39545347"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Iowa</w:t>
            </w:r>
          </w:p>
        </w:tc>
        <w:tc>
          <w:tcPr>
            <w:tcW w:w="2520" w:type="dxa"/>
            <w:shd w:val="clear" w:color="auto" w:fill="auto"/>
            <w:noWrap/>
            <w:vAlign w:val="center"/>
            <w:hideMark/>
          </w:tcPr>
          <w:p w14:paraId="730B8BC1"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1.18%</w:t>
            </w:r>
          </w:p>
        </w:tc>
        <w:tc>
          <w:tcPr>
            <w:tcW w:w="2520" w:type="dxa"/>
            <w:shd w:val="clear" w:color="auto" w:fill="auto"/>
            <w:noWrap/>
          </w:tcPr>
          <w:p w14:paraId="1CFD5776"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7.80%</w:t>
            </w:r>
          </w:p>
        </w:tc>
      </w:tr>
      <w:tr w:rsidR="00810FAC" w:rsidRPr="00CA6576" w14:paraId="6C3C3786" w14:textId="77777777" w:rsidTr="00033F3D">
        <w:trPr>
          <w:trHeight w:val="345"/>
          <w:jc w:val="center"/>
        </w:trPr>
        <w:tc>
          <w:tcPr>
            <w:tcW w:w="2520" w:type="dxa"/>
            <w:shd w:val="clear" w:color="auto" w:fill="auto"/>
            <w:noWrap/>
            <w:vAlign w:val="center"/>
            <w:hideMark/>
          </w:tcPr>
          <w:p w14:paraId="3099BF30"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lastRenderedPageBreak/>
              <w:t>Kansas</w:t>
            </w:r>
          </w:p>
        </w:tc>
        <w:tc>
          <w:tcPr>
            <w:tcW w:w="2520" w:type="dxa"/>
            <w:shd w:val="clear" w:color="auto" w:fill="auto"/>
            <w:noWrap/>
            <w:vAlign w:val="center"/>
            <w:hideMark/>
          </w:tcPr>
          <w:p w14:paraId="15486A3C"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0.01%</w:t>
            </w:r>
          </w:p>
        </w:tc>
        <w:tc>
          <w:tcPr>
            <w:tcW w:w="2520" w:type="dxa"/>
            <w:shd w:val="clear" w:color="auto" w:fill="auto"/>
            <w:noWrap/>
          </w:tcPr>
          <w:p w14:paraId="16203274"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0.24%</w:t>
            </w:r>
          </w:p>
        </w:tc>
      </w:tr>
      <w:tr w:rsidR="00810FAC" w:rsidRPr="00CA6576" w14:paraId="5E8EC89E" w14:textId="77777777" w:rsidTr="00033F3D">
        <w:trPr>
          <w:trHeight w:val="345"/>
          <w:jc w:val="center"/>
        </w:trPr>
        <w:tc>
          <w:tcPr>
            <w:tcW w:w="2520" w:type="dxa"/>
            <w:shd w:val="clear" w:color="auto" w:fill="auto"/>
            <w:noWrap/>
            <w:vAlign w:val="center"/>
            <w:hideMark/>
          </w:tcPr>
          <w:p w14:paraId="5D2AF009"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Kentucky</w:t>
            </w:r>
          </w:p>
        </w:tc>
        <w:tc>
          <w:tcPr>
            <w:tcW w:w="2520" w:type="dxa"/>
            <w:shd w:val="clear" w:color="auto" w:fill="auto"/>
            <w:noWrap/>
            <w:vAlign w:val="center"/>
            <w:hideMark/>
          </w:tcPr>
          <w:p w14:paraId="534779E3"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0.38%</w:t>
            </w:r>
          </w:p>
        </w:tc>
        <w:tc>
          <w:tcPr>
            <w:tcW w:w="2520" w:type="dxa"/>
            <w:shd w:val="clear" w:color="auto" w:fill="auto"/>
            <w:noWrap/>
          </w:tcPr>
          <w:p w14:paraId="781BD387"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1.04%</w:t>
            </w:r>
          </w:p>
        </w:tc>
      </w:tr>
      <w:tr w:rsidR="00810FAC" w:rsidRPr="00CA6576" w14:paraId="47CEF523" w14:textId="77777777" w:rsidTr="00033F3D">
        <w:trPr>
          <w:trHeight w:val="345"/>
          <w:jc w:val="center"/>
        </w:trPr>
        <w:tc>
          <w:tcPr>
            <w:tcW w:w="2520" w:type="dxa"/>
            <w:shd w:val="clear" w:color="auto" w:fill="auto"/>
            <w:noWrap/>
            <w:vAlign w:val="center"/>
            <w:hideMark/>
          </w:tcPr>
          <w:p w14:paraId="26B348DD"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Louisiana</w:t>
            </w:r>
          </w:p>
        </w:tc>
        <w:tc>
          <w:tcPr>
            <w:tcW w:w="2520" w:type="dxa"/>
            <w:shd w:val="clear" w:color="auto" w:fill="auto"/>
            <w:noWrap/>
            <w:vAlign w:val="center"/>
            <w:hideMark/>
          </w:tcPr>
          <w:p w14:paraId="46FF1C9A"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0.03%</w:t>
            </w:r>
          </w:p>
        </w:tc>
        <w:tc>
          <w:tcPr>
            <w:tcW w:w="2520" w:type="dxa"/>
            <w:shd w:val="clear" w:color="auto" w:fill="auto"/>
            <w:noWrap/>
          </w:tcPr>
          <w:p w14:paraId="43F92360"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0.00%</w:t>
            </w:r>
          </w:p>
        </w:tc>
      </w:tr>
      <w:tr w:rsidR="00810FAC" w:rsidRPr="00CA6576" w14:paraId="7CA7E41C" w14:textId="77777777" w:rsidTr="00033F3D">
        <w:trPr>
          <w:trHeight w:val="345"/>
          <w:jc w:val="center"/>
        </w:trPr>
        <w:tc>
          <w:tcPr>
            <w:tcW w:w="2520" w:type="dxa"/>
            <w:shd w:val="clear" w:color="auto" w:fill="auto"/>
            <w:noWrap/>
            <w:vAlign w:val="center"/>
            <w:hideMark/>
          </w:tcPr>
          <w:p w14:paraId="699F22B1"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Maine</w:t>
            </w:r>
          </w:p>
        </w:tc>
        <w:tc>
          <w:tcPr>
            <w:tcW w:w="2520" w:type="dxa"/>
            <w:shd w:val="clear" w:color="auto" w:fill="auto"/>
            <w:noWrap/>
            <w:vAlign w:val="center"/>
            <w:hideMark/>
          </w:tcPr>
          <w:p w14:paraId="1902DE7C"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1.14%</w:t>
            </w:r>
          </w:p>
        </w:tc>
        <w:tc>
          <w:tcPr>
            <w:tcW w:w="2520" w:type="dxa"/>
            <w:shd w:val="clear" w:color="auto" w:fill="auto"/>
            <w:noWrap/>
          </w:tcPr>
          <w:p w14:paraId="1E1DEA08"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5.42%</w:t>
            </w:r>
          </w:p>
        </w:tc>
      </w:tr>
      <w:tr w:rsidR="00810FAC" w:rsidRPr="00CA6576" w14:paraId="559EEA90" w14:textId="77777777" w:rsidTr="00033F3D">
        <w:trPr>
          <w:trHeight w:val="345"/>
          <w:jc w:val="center"/>
        </w:trPr>
        <w:tc>
          <w:tcPr>
            <w:tcW w:w="2520" w:type="dxa"/>
            <w:shd w:val="clear" w:color="auto" w:fill="auto"/>
            <w:noWrap/>
            <w:vAlign w:val="center"/>
            <w:hideMark/>
          </w:tcPr>
          <w:p w14:paraId="4FE6F0A5"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Maryland</w:t>
            </w:r>
          </w:p>
        </w:tc>
        <w:tc>
          <w:tcPr>
            <w:tcW w:w="2520" w:type="dxa"/>
            <w:shd w:val="clear" w:color="auto" w:fill="auto"/>
            <w:noWrap/>
            <w:vAlign w:val="center"/>
            <w:hideMark/>
          </w:tcPr>
          <w:p w14:paraId="69AAC820"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1.07%</w:t>
            </w:r>
          </w:p>
        </w:tc>
        <w:tc>
          <w:tcPr>
            <w:tcW w:w="2520" w:type="dxa"/>
            <w:shd w:val="clear" w:color="auto" w:fill="auto"/>
            <w:noWrap/>
          </w:tcPr>
          <w:p w14:paraId="57CC59D3"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2.47%</w:t>
            </w:r>
          </w:p>
        </w:tc>
      </w:tr>
      <w:tr w:rsidR="00810FAC" w:rsidRPr="00CA6576" w14:paraId="362E2FBC" w14:textId="77777777" w:rsidTr="00033F3D">
        <w:trPr>
          <w:trHeight w:val="345"/>
          <w:jc w:val="center"/>
        </w:trPr>
        <w:tc>
          <w:tcPr>
            <w:tcW w:w="2520" w:type="dxa"/>
            <w:shd w:val="clear" w:color="auto" w:fill="auto"/>
            <w:noWrap/>
            <w:vAlign w:val="center"/>
            <w:hideMark/>
          </w:tcPr>
          <w:p w14:paraId="4C997A44"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Massachusetts</w:t>
            </w:r>
          </w:p>
        </w:tc>
        <w:tc>
          <w:tcPr>
            <w:tcW w:w="2520" w:type="dxa"/>
            <w:shd w:val="clear" w:color="auto" w:fill="auto"/>
            <w:noWrap/>
            <w:vAlign w:val="center"/>
            <w:hideMark/>
          </w:tcPr>
          <w:p w14:paraId="36F46862"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1.06%</w:t>
            </w:r>
          </w:p>
        </w:tc>
        <w:tc>
          <w:tcPr>
            <w:tcW w:w="2520" w:type="dxa"/>
            <w:shd w:val="clear" w:color="auto" w:fill="auto"/>
            <w:noWrap/>
          </w:tcPr>
          <w:p w14:paraId="59553DBC"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6.27%</w:t>
            </w:r>
          </w:p>
        </w:tc>
      </w:tr>
      <w:tr w:rsidR="00810FAC" w:rsidRPr="00CA6576" w14:paraId="63E69A39" w14:textId="77777777" w:rsidTr="00033F3D">
        <w:trPr>
          <w:trHeight w:val="345"/>
          <w:jc w:val="center"/>
        </w:trPr>
        <w:tc>
          <w:tcPr>
            <w:tcW w:w="2520" w:type="dxa"/>
            <w:shd w:val="clear" w:color="auto" w:fill="auto"/>
            <w:noWrap/>
            <w:vAlign w:val="center"/>
            <w:hideMark/>
          </w:tcPr>
          <w:p w14:paraId="24EA225B"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Michigan</w:t>
            </w:r>
          </w:p>
        </w:tc>
        <w:tc>
          <w:tcPr>
            <w:tcW w:w="2520" w:type="dxa"/>
            <w:shd w:val="clear" w:color="auto" w:fill="auto"/>
            <w:noWrap/>
            <w:vAlign w:val="center"/>
            <w:hideMark/>
          </w:tcPr>
          <w:p w14:paraId="4534B57B"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1.15%</w:t>
            </w:r>
          </w:p>
        </w:tc>
        <w:tc>
          <w:tcPr>
            <w:tcW w:w="2520" w:type="dxa"/>
            <w:shd w:val="clear" w:color="auto" w:fill="auto"/>
            <w:noWrap/>
          </w:tcPr>
          <w:p w14:paraId="122300E9"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2.77%</w:t>
            </w:r>
          </w:p>
        </w:tc>
      </w:tr>
      <w:tr w:rsidR="00810FAC" w:rsidRPr="00CA6576" w14:paraId="5BEE1FD1" w14:textId="77777777" w:rsidTr="00033F3D">
        <w:trPr>
          <w:trHeight w:val="345"/>
          <w:jc w:val="center"/>
        </w:trPr>
        <w:tc>
          <w:tcPr>
            <w:tcW w:w="2520" w:type="dxa"/>
            <w:shd w:val="clear" w:color="auto" w:fill="auto"/>
            <w:noWrap/>
            <w:vAlign w:val="center"/>
            <w:hideMark/>
          </w:tcPr>
          <w:p w14:paraId="20B763A9"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Minnesota</w:t>
            </w:r>
          </w:p>
        </w:tc>
        <w:tc>
          <w:tcPr>
            <w:tcW w:w="2520" w:type="dxa"/>
            <w:shd w:val="clear" w:color="auto" w:fill="auto"/>
            <w:noWrap/>
            <w:vAlign w:val="center"/>
            <w:hideMark/>
          </w:tcPr>
          <w:p w14:paraId="367713E6"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1.13%</w:t>
            </w:r>
          </w:p>
        </w:tc>
        <w:tc>
          <w:tcPr>
            <w:tcW w:w="2520" w:type="dxa"/>
            <w:shd w:val="clear" w:color="auto" w:fill="auto"/>
            <w:noWrap/>
          </w:tcPr>
          <w:p w14:paraId="11433FAA"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13.10%</w:t>
            </w:r>
          </w:p>
        </w:tc>
      </w:tr>
      <w:tr w:rsidR="00810FAC" w:rsidRPr="00CA6576" w14:paraId="1E66B070" w14:textId="77777777" w:rsidTr="00033F3D">
        <w:trPr>
          <w:trHeight w:val="345"/>
          <w:jc w:val="center"/>
        </w:trPr>
        <w:tc>
          <w:tcPr>
            <w:tcW w:w="2520" w:type="dxa"/>
            <w:shd w:val="clear" w:color="auto" w:fill="auto"/>
            <w:noWrap/>
            <w:vAlign w:val="center"/>
            <w:hideMark/>
          </w:tcPr>
          <w:p w14:paraId="59478491"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Mississippi</w:t>
            </w:r>
          </w:p>
        </w:tc>
        <w:tc>
          <w:tcPr>
            <w:tcW w:w="2520" w:type="dxa"/>
            <w:shd w:val="clear" w:color="auto" w:fill="auto"/>
            <w:noWrap/>
            <w:vAlign w:val="center"/>
            <w:hideMark/>
          </w:tcPr>
          <w:p w14:paraId="27B5A13E"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0.23%</w:t>
            </w:r>
          </w:p>
        </w:tc>
        <w:tc>
          <w:tcPr>
            <w:tcW w:w="2520" w:type="dxa"/>
            <w:shd w:val="clear" w:color="auto" w:fill="auto"/>
            <w:noWrap/>
          </w:tcPr>
          <w:p w14:paraId="7DF796F2"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0.50%</w:t>
            </w:r>
          </w:p>
        </w:tc>
      </w:tr>
      <w:tr w:rsidR="00810FAC" w:rsidRPr="00CA6576" w14:paraId="5418A04F" w14:textId="77777777" w:rsidTr="00033F3D">
        <w:trPr>
          <w:trHeight w:val="345"/>
          <w:jc w:val="center"/>
        </w:trPr>
        <w:tc>
          <w:tcPr>
            <w:tcW w:w="2520" w:type="dxa"/>
            <w:shd w:val="clear" w:color="auto" w:fill="auto"/>
            <w:noWrap/>
            <w:vAlign w:val="center"/>
            <w:hideMark/>
          </w:tcPr>
          <w:p w14:paraId="648B692A"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Missouri</w:t>
            </w:r>
          </w:p>
        </w:tc>
        <w:tc>
          <w:tcPr>
            <w:tcW w:w="2520" w:type="dxa"/>
            <w:shd w:val="clear" w:color="auto" w:fill="auto"/>
            <w:noWrap/>
            <w:vAlign w:val="center"/>
            <w:hideMark/>
          </w:tcPr>
          <w:p w14:paraId="534E5E1A"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0.49%</w:t>
            </w:r>
          </w:p>
        </w:tc>
        <w:tc>
          <w:tcPr>
            <w:tcW w:w="2520" w:type="dxa"/>
            <w:shd w:val="clear" w:color="auto" w:fill="auto"/>
            <w:noWrap/>
          </w:tcPr>
          <w:p w14:paraId="007CF03A"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0.55%</w:t>
            </w:r>
          </w:p>
        </w:tc>
      </w:tr>
      <w:tr w:rsidR="00810FAC" w:rsidRPr="00CA6576" w14:paraId="1C634733" w14:textId="77777777" w:rsidTr="00033F3D">
        <w:trPr>
          <w:trHeight w:val="345"/>
          <w:jc w:val="center"/>
        </w:trPr>
        <w:tc>
          <w:tcPr>
            <w:tcW w:w="2520" w:type="dxa"/>
            <w:shd w:val="clear" w:color="auto" w:fill="auto"/>
            <w:noWrap/>
            <w:vAlign w:val="center"/>
            <w:hideMark/>
          </w:tcPr>
          <w:p w14:paraId="4FCADC3A"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Montana</w:t>
            </w:r>
          </w:p>
        </w:tc>
        <w:tc>
          <w:tcPr>
            <w:tcW w:w="2520" w:type="dxa"/>
            <w:shd w:val="clear" w:color="auto" w:fill="auto"/>
            <w:noWrap/>
            <w:vAlign w:val="center"/>
            <w:hideMark/>
          </w:tcPr>
          <w:p w14:paraId="346F8718"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0.54%</w:t>
            </w:r>
          </w:p>
        </w:tc>
        <w:tc>
          <w:tcPr>
            <w:tcW w:w="2520" w:type="dxa"/>
            <w:shd w:val="clear" w:color="auto" w:fill="auto"/>
            <w:noWrap/>
          </w:tcPr>
          <w:p w14:paraId="359E7E62"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5.85%</w:t>
            </w:r>
          </w:p>
        </w:tc>
      </w:tr>
      <w:tr w:rsidR="00810FAC" w:rsidRPr="00CA6576" w14:paraId="27E2165D" w14:textId="77777777" w:rsidTr="00033F3D">
        <w:trPr>
          <w:trHeight w:val="345"/>
          <w:jc w:val="center"/>
        </w:trPr>
        <w:tc>
          <w:tcPr>
            <w:tcW w:w="2520" w:type="dxa"/>
            <w:shd w:val="clear" w:color="auto" w:fill="auto"/>
            <w:noWrap/>
            <w:vAlign w:val="center"/>
            <w:hideMark/>
          </w:tcPr>
          <w:p w14:paraId="27AF41F3"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Nebraska</w:t>
            </w:r>
          </w:p>
        </w:tc>
        <w:tc>
          <w:tcPr>
            <w:tcW w:w="2520" w:type="dxa"/>
            <w:shd w:val="clear" w:color="auto" w:fill="auto"/>
            <w:noWrap/>
            <w:vAlign w:val="center"/>
            <w:hideMark/>
          </w:tcPr>
          <w:p w14:paraId="0981D9A1"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0.15%</w:t>
            </w:r>
          </w:p>
        </w:tc>
        <w:tc>
          <w:tcPr>
            <w:tcW w:w="2520" w:type="dxa"/>
            <w:shd w:val="clear" w:color="auto" w:fill="auto"/>
            <w:noWrap/>
          </w:tcPr>
          <w:p w14:paraId="55869A80"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0.99%</w:t>
            </w:r>
          </w:p>
        </w:tc>
      </w:tr>
      <w:tr w:rsidR="00810FAC" w:rsidRPr="00CA6576" w14:paraId="68E554BA" w14:textId="77777777" w:rsidTr="00033F3D">
        <w:trPr>
          <w:trHeight w:val="345"/>
          <w:jc w:val="center"/>
        </w:trPr>
        <w:tc>
          <w:tcPr>
            <w:tcW w:w="2520" w:type="dxa"/>
            <w:shd w:val="clear" w:color="auto" w:fill="auto"/>
            <w:noWrap/>
            <w:vAlign w:val="center"/>
            <w:hideMark/>
          </w:tcPr>
          <w:p w14:paraId="2780BCE9"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Nevada</w:t>
            </w:r>
          </w:p>
        </w:tc>
        <w:tc>
          <w:tcPr>
            <w:tcW w:w="2520" w:type="dxa"/>
            <w:shd w:val="clear" w:color="auto" w:fill="auto"/>
            <w:noWrap/>
            <w:vAlign w:val="center"/>
            <w:hideMark/>
          </w:tcPr>
          <w:p w14:paraId="10DC094B"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0.48%</w:t>
            </w:r>
          </w:p>
        </w:tc>
        <w:tc>
          <w:tcPr>
            <w:tcW w:w="2520" w:type="dxa"/>
            <w:shd w:val="clear" w:color="auto" w:fill="auto"/>
            <w:noWrap/>
          </w:tcPr>
          <w:p w14:paraId="645D4322"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6.19%</w:t>
            </w:r>
          </w:p>
        </w:tc>
      </w:tr>
      <w:tr w:rsidR="00810FAC" w:rsidRPr="00CA6576" w14:paraId="57595587" w14:textId="77777777" w:rsidTr="00033F3D">
        <w:trPr>
          <w:trHeight w:val="345"/>
          <w:jc w:val="center"/>
        </w:trPr>
        <w:tc>
          <w:tcPr>
            <w:tcW w:w="2520" w:type="dxa"/>
            <w:shd w:val="clear" w:color="auto" w:fill="auto"/>
            <w:noWrap/>
            <w:vAlign w:val="center"/>
            <w:hideMark/>
          </w:tcPr>
          <w:p w14:paraId="40F05A8F"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New Hampshire</w:t>
            </w:r>
          </w:p>
        </w:tc>
        <w:tc>
          <w:tcPr>
            <w:tcW w:w="2520" w:type="dxa"/>
            <w:shd w:val="clear" w:color="auto" w:fill="auto"/>
            <w:noWrap/>
            <w:vAlign w:val="center"/>
            <w:hideMark/>
          </w:tcPr>
          <w:p w14:paraId="5FCEE482"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0.15%</w:t>
            </w:r>
          </w:p>
        </w:tc>
        <w:tc>
          <w:tcPr>
            <w:tcW w:w="2520" w:type="dxa"/>
            <w:shd w:val="clear" w:color="auto" w:fill="auto"/>
            <w:noWrap/>
          </w:tcPr>
          <w:p w14:paraId="1F2130C9"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4.90%</w:t>
            </w:r>
          </w:p>
        </w:tc>
      </w:tr>
      <w:tr w:rsidR="00810FAC" w:rsidRPr="00CA6576" w14:paraId="64EA611B" w14:textId="77777777" w:rsidTr="00033F3D">
        <w:trPr>
          <w:trHeight w:val="345"/>
          <w:jc w:val="center"/>
        </w:trPr>
        <w:tc>
          <w:tcPr>
            <w:tcW w:w="2520" w:type="dxa"/>
            <w:shd w:val="clear" w:color="auto" w:fill="auto"/>
            <w:noWrap/>
            <w:vAlign w:val="center"/>
            <w:hideMark/>
          </w:tcPr>
          <w:p w14:paraId="1932F2F6"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New Jersey</w:t>
            </w:r>
          </w:p>
        </w:tc>
        <w:tc>
          <w:tcPr>
            <w:tcW w:w="2520" w:type="dxa"/>
            <w:shd w:val="clear" w:color="auto" w:fill="auto"/>
            <w:noWrap/>
            <w:vAlign w:val="center"/>
            <w:hideMark/>
          </w:tcPr>
          <w:p w14:paraId="529F95D1"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0.70%</w:t>
            </w:r>
          </w:p>
        </w:tc>
        <w:tc>
          <w:tcPr>
            <w:tcW w:w="2520" w:type="dxa"/>
            <w:shd w:val="clear" w:color="auto" w:fill="auto"/>
            <w:noWrap/>
          </w:tcPr>
          <w:p w14:paraId="4F435395"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1.04%</w:t>
            </w:r>
          </w:p>
        </w:tc>
      </w:tr>
      <w:tr w:rsidR="00810FAC" w:rsidRPr="00CA6576" w14:paraId="589BBEF1" w14:textId="77777777" w:rsidTr="00033F3D">
        <w:trPr>
          <w:trHeight w:val="345"/>
          <w:jc w:val="center"/>
        </w:trPr>
        <w:tc>
          <w:tcPr>
            <w:tcW w:w="2520" w:type="dxa"/>
            <w:shd w:val="clear" w:color="auto" w:fill="auto"/>
            <w:noWrap/>
            <w:vAlign w:val="center"/>
            <w:hideMark/>
          </w:tcPr>
          <w:p w14:paraId="0E9C2AD1"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New Mexico</w:t>
            </w:r>
          </w:p>
        </w:tc>
        <w:tc>
          <w:tcPr>
            <w:tcW w:w="2520" w:type="dxa"/>
            <w:shd w:val="clear" w:color="auto" w:fill="auto"/>
            <w:noWrap/>
            <w:vAlign w:val="center"/>
            <w:hideMark/>
          </w:tcPr>
          <w:p w14:paraId="18235DE2"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0.57%</w:t>
            </w:r>
          </w:p>
        </w:tc>
        <w:tc>
          <w:tcPr>
            <w:tcW w:w="2520" w:type="dxa"/>
            <w:shd w:val="clear" w:color="auto" w:fill="auto"/>
            <w:noWrap/>
          </w:tcPr>
          <w:p w14:paraId="1FD5654B"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1.87%</w:t>
            </w:r>
          </w:p>
        </w:tc>
      </w:tr>
      <w:tr w:rsidR="00810FAC" w:rsidRPr="00CA6576" w14:paraId="1A1CDFA5" w14:textId="77777777" w:rsidTr="00033F3D">
        <w:trPr>
          <w:trHeight w:val="345"/>
          <w:jc w:val="center"/>
        </w:trPr>
        <w:tc>
          <w:tcPr>
            <w:tcW w:w="2520" w:type="dxa"/>
            <w:shd w:val="clear" w:color="auto" w:fill="auto"/>
            <w:noWrap/>
            <w:vAlign w:val="center"/>
            <w:hideMark/>
          </w:tcPr>
          <w:p w14:paraId="69F91571"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New York</w:t>
            </w:r>
          </w:p>
        </w:tc>
        <w:tc>
          <w:tcPr>
            <w:tcW w:w="2520" w:type="dxa"/>
            <w:shd w:val="clear" w:color="auto" w:fill="auto"/>
            <w:noWrap/>
            <w:vAlign w:val="center"/>
            <w:hideMark/>
          </w:tcPr>
          <w:p w14:paraId="13B86D7D"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1.20%</w:t>
            </w:r>
          </w:p>
        </w:tc>
        <w:tc>
          <w:tcPr>
            <w:tcW w:w="2520" w:type="dxa"/>
            <w:shd w:val="clear" w:color="auto" w:fill="auto"/>
            <w:noWrap/>
          </w:tcPr>
          <w:p w14:paraId="254D1B4B"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6.89%</w:t>
            </w:r>
          </w:p>
        </w:tc>
      </w:tr>
      <w:tr w:rsidR="00810FAC" w:rsidRPr="00CA6576" w14:paraId="3636A6ED" w14:textId="77777777" w:rsidTr="00033F3D">
        <w:trPr>
          <w:trHeight w:val="345"/>
          <w:jc w:val="center"/>
        </w:trPr>
        <w:tc>
          <w:tcPr>
            <w:tcW w:w="2520" w:type="dxa"/>
            <w:shd w:val="clear" w:color="auto" w:fill="auto"/>
            <w:noWrap/>
            <w:vAlign w:val="center"/>
            <w:hideMark/>
          </w:tcPr>
          <w:p w14:paraId="60BC76C9"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North Carolina</w:t>
            </w:r>
          </w:p>
        </w:tc>
        <w:tc>
          <w:tcPr>
            <w:tcW w:w="2520" w:type="dxa"/>
            <w:shd w:val="clear" w:color="auto" w:fill="auto"/>
            <w:noWrap/>
            <w:vAlign w:val="center"/>
            <w:hideMark/>
          </w:tcPr>
          <w:p w14:paraId="3925DF8D"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0.60%</w:t>
            </w:r>
          </w:p>
        </w:tc>
        <w:tc>
          <w:tcPr>
            <w:tcW w:w="2520" w:type="dxa"/>
            <w:shd w:val="clear" w:color="auto" w:fill="auto"/>
            <w:noWrap/>
          </w:tcPr>
          <w:p w14:paraId="7CFDF897"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1.26%</w:t>
            </w:r>
          </w:p>
        </w:tc>
      </w:tr>
      <w:tr w:rsidR="00810FAC" w:rsidRPr="00CA6576" w14:paraId="381725ED" w14:textId="77777777" w:rsidTr="00033F3D">
        <w:trPr>
          <w:trHeight w:val="345"/>
          <w:jc w:val="center"/>
        </w:trPr>
        <w:tc>
          <w:tcPr>
            <w:tcW w:w="2520" w:type="dxa"/>
            <w:shd w:val="clear" w:color="auto" w:fill="auto"/>
            <w:noWrap/>
            <w:vAlign w:val="center"/>
            <w:hideMark/>
          </w:tcPr>
          <w:p w14:paraId="69AEA57E"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North Dakota</w:t>
            </w:r>
          </w:p>
        </w:tc>
        <w:tc>
          <w:tcPr>
            <w:tcW w:w="2520" w:type="dxa"/>
            <w:shd w:val="clear" w:color="auto" w:fill="auto"/>
            <w:noWrap/>
            <w:vAlign w:val="center"/>
            <w:hideMark/>
          </w:tcPr>
          <w:p w14:paraId="6C0FB2FB"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0.02%</w:t>
            </w:r>
          </w:p>
        </w:tc>
        <w:tc>
          <w:tcPr>
            <w:tcW w:w="2520" w:type="dxa"/>
            <w:shd w:val="clear" w:color="auto" w:fill="auto"/>
            <w:noWrap/>
          </w:tcPr>
          <w:p w14:paraId="315229B7"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0.22%</w:t>
            </w:r>
          </w:p>
        </w:tc>
      </w:tr>
      <w:tr w:rsidR="00810FAC" w:rsidRPr="00CA6576" w14:paraId="23B2F7F3" w14:textId="77777777" w:rsidTr="00033F3D">
        <w:trPr>
          <w:trHeight w:val="345"/>
          <w:jc w:val="center"/>
        </w:trPr>
        <w:tc>
          <w:tcPr>
            <w:tcW w:w="2520" w:type="dxa"/>
            <w:shd w:val="clear" w:color="auto" w:fill="auto"/>
            <w:noWrap/>
            <w:vAlign w:val="center"/>
            <w:hideMark/>
          </w:tcPr>
          <w:p w14:paraId="6B16C3C5"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Ohio</w:t>
            </w:r>
          </w:p>
        </w:tc>
        <w:tc>
          <w:tcPr>
            <w:tcW w:w="2520" w:type="dxa"/>
            <w:shd w:val="clear" w:color="auto" w:fill="auto"/>
            <w:noWrap/>
            <w:vAlign w:val="center"/>
            <w:hideMark/>
          </w:tcPr>
          <w:p w14:paraId="63615221"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1.04%</w:t>
            </w:r>
          </w:p>
        </w:tc>
        <w:tc>
          <w:tcPr>
            <w:tcW w:w="2520" w:type="dxa"/>
            <w:shd w:val="clear" w:color="auto" w:fill="auto"/>
            <w:noWrap/>
          </w:tcPr>
          <w:p w14:paraId="279895AE"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3.20%</w:t>
            </w:r>
          </w:p>
        </w:tc>
      </w:tr>
      <w:tr w:rsidR="00810FAC" w:rsidRPr="00CA6576" w14:paraId="2CF1D475" w14:textId="77777777" w:rsidTr="00033F3D">
        <w:trPr>
          <w:trHeight w:val="345"/>
          <w:jc w:val="center"/>
        </w:trPr>
        <w:tc>
          <w:tcPr>
            <w:tcW w:w="2520" w:type="dxa"/>
            <w:shd w:val="clear" w:color="auto" w:fill="auto"/>
            <w:noWrap/>
            <w:vAlign w:val="center"/>
            <w:hideMark/>
          </w:tcPr>
          <w:p w14:paraId="23DEE08C"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Oklahoma</w:t>
            </w:r>
          </w:p>
        </w:tc>
        <w:tc>
          <w:tcPr>
            <w:tcW w:w="2520" w:type="dxa"/>
            <w:shd w:val="clear" w:color="auto" w:fill="auto"/>
            <w:noWrap/>
            <w:vAlign w:val="center"/>
            <w:hideMark/>
          </w:tcPr>
          <w:p w14:paraId="38592856"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0.26%</w:t>
            </w:r>
          </w:p>
        </w:tc>
        <w:tc>
          <w:tcPr>
            <w:tcW w:w="2520" w:type="dxa"/>
            <w:shd w:val="clear" w:color="auto" w:fill="auto"/>
            <w:noWrap/>
          </w:tcPr>
          <w:p w14:paraId="4F6D3E0A"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0.70%</w:t>
            </w:r>
          </w:p>
        </w:tc>
      </w:tr>
      <w:tr w:rsidR="00810FAC" w:rsidRPr="00CA6576" w14:paraId="57F9C450" w14:textId="77777777" w:rsidTr="00033F3D">
        <w:trPr>
          <w:trHeight w:val="345"/>
          <w:jc w:val="center"/>
        </w:trPr>
        <w:tc>
          <w:tcPr>
            <w:tcW w:w="2520" w:type="dxa"/>
            <w:shd w:val="clear" w:color="auto" w:fill="auto"/>
            <w:noWrap/>
            <w:vAlign w:val="center"/>
            <w:hideMark/>
          </w:tcPr>
          <w:p w14:paraId="547069A4"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Oregon</w:t>
            </w:r>
          </w:p>
        </w:tc>
        <w:tc>
          <w:tcPr>
            <w:tcW w:w="2520" w:type="dxa"/>
            <w:shd w:val="clear" w:color="auto" w:fill="auto"/>
            <w:noWrap/>
            <w:vAlign w:val="center"/>
            <w:hideMark/>
          </w:tcPr>
          <w:p w14:paraId="779189F2"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1.20%</w:t>
            </w:r>
          </w:p>
        </w:tc>
        <w:tc>
          <w:tcPr>
            <w:tcW w:w="2520" w:type="dxa"/>
            <w:shd w:val="clear" w:color="auto" w:fill="auto"/>
            <w:noWrap/>
          </w:tcPr>
          <w:p w14:paraId="25661329"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7.72%</w:t>
            </w:r>
          </w:p>
        </w:tc>
      </w:tr>
      <w:tr w:rsidR="00810FAC" w:rsidRPr="00CA6576" w14:paraId="28104A9D" w14:textId="77777777" w:rsidTr="00033F3D">
        <w:trPr>
          <w:trHeight w:val="345"/>
          <w:jc w:val="center"/>
        </w:trPr>
        <w:tc>
          <w:tcPr>
            <w:tcW w:w="2520" w:type="dxa"/>
            <w:shd w:val="clear" w:color="auto" w:fill="auto"/>
            <w:noWrap/>
            <w:vAlign w:val="center"/>
            <w:hideMark/>
          </w:tcPr>
          <w:p w14:paraId="23ED28A6"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Pennsylvania</w:t>
            </w:r>
          </w:p>
        </w:tc>
        <w:tc>
          <w:tcPr>
            <w:tcW w:w="2520" w:type="dxa"/>
            <w:shd w:val="clear" w:color="auto" w:fill="auto"/>
            <w:noWrap/>
            <w:vAlign w:val="center"/>
            <w:hideMark/>
          </w:tcPr>
          <w:p w14:paraId="5C3D3E3F"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0.91%</w:t>
            </w:r>
          </w:p>
        </w:tc>
        <w:tc>
          <w:tcPr>
            <w:tcW w:w="2520" w:type="dxa"/>
            <w:shd w:val="clear" w:color="auto" w:fill="auto"/>
            <w:noWrap/>
          </w:tcPr>
          <w:p w14:paraId="3489DDD7"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3.08%</w:t>
            </w:r>
          </w:p>
        </w:tc>
      </w:tr>
      <w:tr w:rsidR="00810FAC" w:rsidRPr="00CA6576" w14:paraId="4C8E85D4" w14:textId="77777777" w:rsidTr="00033F3D">
        <w:trPr>
          <w:trHeight w:val="345"/>
          <w:jc w:val="center"/>
        </w:trPr>
        <w:tc>
          <w:tcPr>
            <w:tcW w:w="2520" w:type="dxa"/>
            <w:shd w:val="clear" w:color="auto" w:fill="auto"/>
            <w:noWrap/>
            <w:vAlign w:val="center"/>
            <w:hideMark/>
          </w:tcPr>
          <w:p w14:paraId="140B23C8"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Rhode Island</w:t>
            </w:r>
          </w:p>
        </w:tc>
        <w:tc>
          <w:tcPr>
            <w:tcW w:w="2520" w:type="dxa"/>
            <w:shd w:val="clear" w:color="auto" w:fill="auto"/>
            <w:noWrap/>
            <w:vAlign w:val="center"/>
            <w:hideMark/>
          </w:tcPr>
          <w:p w14:paraId="0A6872B8"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2.00%</w:t>
            </w:r>
          </w:p>
        </w:tc>
        <w:tc>
          <w:tcPr>
            <w:tcW w:w="2520" w:type="dxa"/>
            <w:shd w:val="clear" w:color="auto" w:fill="auto"/>
            <w:noWrap/>
          </w:tcPr>
          <w:p w14:paraId="6405C61F"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11.22%</w:t>
            </w:r>
          </w:p>
        </w:tc>
      </w:tr>
      <w:tr w:rsidR="00810FAC" w:rsidRPr="00CA6576" w14:paraId="1A1676B2" w14:textId="77777777" w:rsidTr="00033F3D">
        <w:trPr>
          <w:trHeight w:val="345"/>
          <w:jc w:val="center"/>
        </w:trPr>
        <w:tc>
          <w:tcPr>
            <w:tcW w:w="2520" w:type="dxa"/>
            <w:shd w:val="clear" w:color="auto" w:fill="auto"/>
            <w:noWrap/>
            <w:vAlign w:val="center"/>
            <w:hideMark/>
          </w:tcPr>
          <w:p w14:paraId="12B0E571"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South Carolina</w:t>
            </w:r>
          </w:p>
        </w:tc>
        <w:tc>
          <w:tcPr>
            <w:tcW w:w="2520" w:type="dxa"/>
            <w:shd w:val="clear" w:color="auto" w:fill="auto"/>
            <w:noWrap/>
            <w:vAlign w:val="center"/>
            <w:hideMark/>
          </w:tcPr>
          <w:p w14:paraId="275EE835"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0.46%</w:t>
            </w:r>
          </w:p>
        </w:tc>
        <w:tc>
          <w:tcPr>
            <w:tcW w:w="2520" w:type="dxa"/>
            <w:shd w:val="clear" w:color="auto" w:fill="auto"/>
            <w:noWrap/>
          </w:tcPr>
          <w:p w14:paraId="7EFF1004"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1.12%</w:t>
            </w:r>
          </w:p>
        </w:tc>
      </w:tr>
      <w:tr w:rsidR="00810FAC" w:rsidRPr="00CA6576" w14:paraId="3EC1DB56" w14:textId="77777777" w:rsidTr="00033F3D">
        <w:trPr>
          <w:trHeight w:val="345"/>
          <w:jc w:val="center"/>
        </w:trPr>
        <w:tc>
          <w:tcPr>
            <w:tcW w:w="2520" w:type="dxa"/>
            <w:shd w:val="clear" w:color="auto" w:fill="auto"/>
            <w:noWrap/>
            <w:vAlign w:val="center"/>
            <w:hideMark/>
          </w:tcPr>
          <w:p w14:paraId="6AD44D46"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South Dakota</w:t>
            </w:r>
          </w:p>
        </w:tc>
        <w:tc>
          <w:tcPr>
            <w:tcW w:w="2520" w:type="dxa"/>
            <w:shd w:val="clear" w:color="auto" w:fill="auto"/>
            <w:noWrap/>
            <w:vAlign w:val="center"/>
            <w:hideMark/>
          </w:tcPr>
          <w:p w14:paraId="6DA562A0"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0.13%</w:t>
            </w:r>
          </w:p>
        </w:tc>
        <w:tc>
          <w:tcPr>
            <w:tcW w:w="2520" w:type="dxa"/>
            <w:shd w:val="clear" w:color="auto" w:fill="auto"/>
            <w:noWrap/>
          </w:tcPr>
          <w:p w14:paraId="7CC5790D"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0.33%</w:t>
            </w:r>
          </w:p>
        </w:tc>
      </w:tr>
      <w:tr w:rsidR="00810FAC" w:rsidRPr="00CA6576" w14:paraId="36D1FC66" w14:textId="77777777" w:rsidTr="00033F3D">
        <w:trPr>
          <w:trHeight w:val="345"/>
          <w:jc w:val="center"/>
        </w:trPr>
        <w:tc>
          <w:tcPr>
            <w:tcW w:w="2520" w:type="dxa"/>
            <w:shd w:val="clear" w:color="auto" w:fill="auto"/>
            <w:noWrap/>
            <w:vAlign w:val="center"/>
            <w:hideMark/>
          </w:tcPr>
          <w:p w14:paraId="2E085693"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Tennessee</w:t>
            </w:r>
          </w:p>
        </w:tc>
        <w:tc>
          <w:tcPr>
            <w:tcW w:w="2520" w:type="dxa"/>
            <w:shd w:val="clear" w:color="auto" w:fill="auto"/>
            <w:noWrap/>
            <w:vAlign w:val="center"/>
            <w:hideMark/>
          </w:tcPr>
          <w:p w14:paraId="10EE0133"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0.31%</w:t>
            </w:r>
          </w:p>
        </w:tc>
        <w:tc>
          <w:tcPr>
            <w:tcW w:w="2520" w:type="dxa"/>
            <w:shd w:val="clear" w:color="auto" w:fill="auto"/>
            <w:noWrap/>
          </w:tcPr>
          <w:p w14:paraId="15B0B30F"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1.76%</w:t>
            </w:r>
          </w:p>
        </w:tc>
      </w:tr>
      <w:tr w:rsidR="00810FAC" w:rsidRPr="00CA6576" w14:paraId="242B775D" w14:textId="77777777" w:rsidTr="00033F3D">
        <w:trPr>
          <w:trHeight w:val="345"/>
          <w:jc w:val="center"/>
        </w:trPr>
        <w:tc>
          <w:tcPr>
            <w:tcW w:w="2520" w:type="dxa"/>
            <w:shd w:val="clear" w:color="auto" w:fill="auto"/>
            <w:noWrap/>
            <w:vAlign w:val="center"/>
            <w:hideMark/>
          </w:tcPr>
          <w:p w14:paraId="30CCA681"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Texas</w:t>
            </w:r>
          </w:p>
        </w:tc>
        <w:tc>
          <w:tcPr>
            <w:tcW w:w="2520" w:type="dxa"/>
            <w:shd w:val="clear" w:color="auto" w:fill="auto"/>
            <w:noWrap/>
            <w:vAlign w:val="center"/>
            <w:hideMark/>
          </w:tcPr>
          <w:p w14:paraId="361C6759"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0.20%</w:t>
            </w:r>
          </w:p>
        </w:tc>
        <w:tc>
          <w:tcPr>
            <w:tcW w:w="2520" w:type="dxa"/>
            <w:shd w:val="clear" w:color="auto" w:fill="auto"/>
            <w:noWrap/>
          </w:tcPr>
          <w:p w14:paraId="7AB59BEB"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1.54%</w:t>
            </w:r>
          </w:p>
        </w:tc>
      </w:tr>
      <w:tr w:rsidR="00810FAC" w:rsidRPr="00CA6576" w14:paraId="4D5789CE" w14:textId="77777777" w:rsidTr="00033F3D">
        <w:trPr>
          <w:trHeight w:val="345"/>
          <w:jc w:val="center"/>
        </w:trPr>
        <w:tc>
          <w:tcPr>
            <w:tcW w:w="2520" w:type="dxa"/>
            <w:shd w:val="clear" w:color="auto" w:fill="auto"/>
            <w:noWrap/>
            <w:vAlign w:val="center"/>
            <w:hideMark/>
          </w:tcPr>
          <w:p w14:paraId="328F0154"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Utah</w:t>
            </w:r>
          </w:p>
        </w:tc>
        <w:tc>
          <w:tcPr>
            <w:tcW w:w="2520" w:type="dxa"/>
            <w:shd w:val="clear" w:color="auto" w:fill="auto"/>
            <w:noWrap/>
            <w:vAlign w:val="center"/>
            <w:hideMark/>
          </w:tcPr>
          <w:p w14:paraId="3332C57D"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0.82%</w:t>
            </w:r>
          </w:p>
        </w:tc>
        <w:tc>
          <w:tcPr>
            <w:tcW w:w="2520" w:type="dxa"/>
            <w:shd w:val="clear" w:color="auto" w:fill="auto"/>
            <w:noWrap/>
          </w:tcPr>
          <w:p w14:paraId="3DCF1B4F"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6.70%</w:t>
            </w:r>
          </w:p>
        </w:tc>
      </w:tr>
      <w:tr w:rsidR="00810FAC" w:rsidRPr="00CA6576" w14:paraId="2B6735EA" w14:textId="77777777" w:rsidTr="00033F3D">
        <w:trPr>
          <w:trHeight w:val="345"/>
          <w:jc w:val="center"/>
        </w:trPr>
        <w:tc>
          <w:tcPr>
            <w:tcW w:w="2520" w:type="dxa"/>
            <w:shd w:val="clear" w:color="auto" w:fill="auto"/>
            <w:noWrap/>
            <w:vAlign w:val="center"/>
            <w:hideMark/>
          </w:tcPr>
          <w:p w14:paraId="324E7117"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Vermont</w:t>
            </w:r>
          </w:p>
        </w:tc>
        <w:tc>
          <w:tcPr>
            <w:tcW w:w="2520" w:type="dxa"/>
            <w:shd w:val="clear" w:color="auto" w:fill="auto"/>
            <w:noWrap/>
            <w:vAlign w:val="center"/>
            <w:hideMark/>
          </w:tcPr>
          <w:p w14:paraId="06553D40"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1.77%</w:t>
            </w:r>
          </w:p>
        </w:tc>
        <w:tc>
          <w:tcPr>
            <w:tcW w:w="2520" w:type="dxa"/>
            <w:shd w:val="clear" w:color="auto" w:fill="auto"/>
            <w:noWrap/>
          </w:tcPr>
          <w:p w14:paraId="0F1B7514"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15.44%</w:t>
            </w:r>
          </w:p>
        </w:tc>
      </w:tr>
      <w:tr w:rsidR="00810FAC" w:rsidRPr="00CA6576" w14:paraId="7C5F6483" w14:textId="77777777" w:rsidTr="00033F3D">
        <w:trPr>
          <w:trHeight w:val="345"/>
          <w:jc w:val="center"/>
        </w:trPr>
        <w:tc>
          <w:tcPr>
            <w:tcW w:w="2520" w:type="dxa"/>
            <w:shd w:val="clear" w:color="auto" w:fill="auto"/>
            <w:noWrap/>
            <w:vAlign w:val="center"/>
            <w:hideMark/>
          </w:tcPr>
          <w:p w14:paraId="318C2DF2"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Virginia</w:t>
            </w:r>
          </w:p>
        </w:tc>
        <w:tc>
          <w:tcPr>
            <w:tcW w:w="2520" w:type="dxa"/>
            <w:shd w:val="clear" w:color="auto" w:fill="auto"/>
            <w:noWrap/>
            <w:vAlign w:val="center"/>
            <w:hideMark/>
          </w:tcPr>
          <w:p w14:paraId="69CB71E1"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0.02%</w:t>
            </w:r>
          </w:p>
        </w:tc>
        <w:tc>
          <w:tcPr>
            <w:tcW w:w="2520" w:type="dxa"/>
            <w:shd w:val="clear" w:color="auto" w:fill="auto"/>
            <w:noWrap/>
          </w:tcPr>
          <w:p w14:paraId="3CDCC431"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0.30%</w:t>
            </w:r>
          </w:p>
        </w:tc>
      </w:tr>
      <w:tr w:rsidR="00810FAC" w:rsidRPr="00CA6576" w14:paraId="7D77F0E3" w14:textId="77777777" w:rsidTr="00033F3D">
        <w:trPr>
          <w:trHeight w:val="345"/>
          <w:jc w:val="center"/>
        </w:trPr>
        <w:tc>
          <w:tcPr>
            <w:tcW w:w="2520" w:type="dxa"/>
            <w:shd w:val="clear" w:color="auto" w:fill="auto"/>
            <w:noWrap/>
            <w:vAlign w:val="center"/>
            <w:hideMark/>
          </w:tcPr>
          <w:p w14:paraId="729FF830"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Washington</w:t>
            </w:r>
          </w:p>
        </w:tc>
        <w:tc>
          <w:tcPr>
            <w:tcW w:w="2520" w:type="dxa"/>
            <w:shd w:val="clear" w:color="auto" w:fill="auto"/>
            <w:noWrap/>
            <w:vAlign w:val="center"/>
            <w:hideMark/>
          </w:tcPr>
          <w:p w14:paraId="7E013A5A"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1.00%</w:t>
            </w:r>
          </w:p>
        </w:tc>
        <w:tc>
          <w:tcPr>
            <w:tcW w:w="2520" w:type="dxa"/>
            <w:shd w:val="clear" w:color="auto" w:fill="auto"/>
            <w:noWrap/>
          </w:tcPr>
          <w:p w14:paraId="102884B6"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7.37%</w:t>
            </w:r>
          </w:p>
        </w:tc>
      </w:tr>
      <w:tr w:rsidR="00810FAC" w:rsidRPr="00CA6576" w14:paraId="0F0A27AF" w14:textId="77777777" w:rsidTr="00033F3D">
        <w:trPr>
          <w:trHeight w:val="345"/>
          <w:jc w:val="center"/>
        </w:trPr>
        <w:tc>
          <w:tcPr>
            <w:tcW w:w="2520" w:type="dxa"/>
            <w:shd w:val="clear" w:color="auto" w:fill="auto"/>
            <w:noWrap/>
            <w:vAlign w:val="center"/>
            <w:hideMark/>
          </w:tcPr>
          <w:p w14:paraId="7D612C32"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West Virginia</w:t>
            </w:r>
          </w:p>
        </w:tc>
        <w:tc>
          <w:tcPr>
            <w:tcW w:w="2520" w:type="dxa"/>
            <w:shd w:val="clear" w:color="auto" w:fill="auto"/>
            <w:noWrap/>
            <w:vAlign w:val="center"/>
            <w:hideMark/>
          </w:tcPr>
          <w:p w14:paraId="13E9848F"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0.25%</w:t>
            </w:r>
          </w:p>
        </w:tc>
        <w:tc>
          <w:tcPr>
            <w:tcW w:w="2520" w:type="dxa"/>
            <w:shd w:val="clear" w:color="auto" w:fill="auto"/>
            <w:noWrap/>
          </w:tcPr>
          <w:p w14:paraId="008F2850"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0.20%</w:t>
            </w:r>
          </w:p>
        </w:tc>
      </w:tr>
      <w:tr w:rsidR="00810FAC" w:rsidRPr="00CA6576" w14:paraId="1687318F" w14:textId="77777777" w:rsidTr="00033F3D">
        <w:trPr>
          <w:trHeight w:val="345"/>
          <w:jc w:val="center"/>
        </w:trPr>
        <w:tc>
          <w:tcPr>
            <w:tcW w:w="2520" w:type="dxa"/>
            <w:shd w:val="clear" w:color="auto" w:fill="auto"/>
            <w:noWrap/>
            <w:vAlign w:val="center"/>
            <w:hideMark/>
          </w:tcPr>
          <w:p w14:paraId="13A114E8"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Wisconsin</w:t>
            </w:r>
          </w:p>
        </w:tc>
        <w:tc>
          <w:tcPr>
            <w:tcW w:w="2520" w:type="dxa"/>
            <w:shd w:val="clear" w:color="auto" w:fill="auto"/>
            <w:noWrap/>
            <w:vAlign w:val="center"/>
            <w:hideMark/>
          </w:tcPr>
          <w:p w14:paraId="25ABCD54"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1.32%</w:t>
            </w:r>
          </w:p>
        </w:tc>
        <w:tc>
          <w:tcPr>
            <w:tcW w:w="2520" w:type="dxa"/>
            <w:shd w:val="clear" w:color="auto" w:fill="auto"/>
            <w:noWrap/>
          </w:tcPr>
          <w:p w14:paraId="4AF0E4D2"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6.61%</w:t>
            </w:r>
          </w:p>
        </w:tc>
      </w:tr>
      <w:tr w:rsidR="00810FAC" w:rsidRPr="00CA6576" w14:paraId="02CBDA50" w14:textId="77777777" w:rsidTr="00033F3D">
        <w:trPr>
          <w:trHeight w:val="345"/>
          <w:jc w:val="center"/>
        </w:trPr>
        <w:tc>
          <w:tcPr>
            <w:tcW w:w="2520" w:type="dxa"/>
            <w:shd w:val="clear" w:color="auto" w:fill="auto"/>
            <w:noWrap/>
            <w:vAlign w:val="center"/>
            <w:hideMark/>
          </w:tcPr>
          <w:p w14:paraId="5B84EDE6"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lastRenderedPageBreak/>
              <w:t>Wyoming</w:t>
            </w:r>
          </w:p>
        </w:tc>
        <w:tc>
          <w:tcPr>
            <w:tcW w:w="2520" w:type="dxa"/>
            <w:shd w:val="clear" w:color="auto" w:fill="auto"/>
            <w:noWrap/>
            <w:vAlign w:val="center"/>
            <w:hideMark/>
          </w:tcPr>
          <w:p w14:paraId="15A77E2D"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0.17%</w:t>
            </w:r>
          </w:p>
        </w:tc>
        <w:tc>
          <w:tcPr>
            <w:tcW w:w="2520" w:type="dxa"/>
            <w:shd w:val="clear" w:color="auto" w:fill="auto"/>
            <w:noWrap/>
          </w:tcPr>
          <w:p w14:paraId="55A05438"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0.71%</w:t>
            </w:r>
          </w:p>
        </w:tc>
      </w:tr>
      <w:tr w:rsidR="00810FAC" w:rsidRPr="00CA6576" w14:paraId="02F01D43" w14:textId="77777777" w:rsidTr="00033F3D">
        <w:trPr>
          <w:trHeight w:val="345"/>
          <w:jc w:val="center"/>
        </w:trPr>
        <w:tc>
          <w:tcPr>
            <w:tcW w:w="2520" w:type="dxa"/>
            <w:shd w:val="clear" w:color="auto" w:fill="auto"/>
            <w:noWrap/>
            <w:vAlign w:val="center"/>
            <w:hideMark/>
          </w:tcPr>
          <w:p w14:paraId="6182ED1A"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Navajo</w:t>
            </w:r>
          </w:p>
        </w:tc>
        <w:tc>
          <w:tcPr>
            <w:tcW w:w="2520" w:type="dxa"/>
            <w:shd w:val="clear" w:color="auto" w:fill="auto"/>
            <w:noWrap/>
            <w:vAlign w:val="center"/>
            <w:hideMark/>
          </w:tcPr>
          <w:p w14:paraId="76CEE792"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0.00%</w:t>
            </w:r>
          </w:p>
        </w:tc>
        <w:tc>
          <w:tcPr>
            <w:tcW w:w="2520" w:type="dxa"/>
            <w:shd w:val="clear" w:color="auto" w:fill="auto"/>
            <w:noWrap/>
          </w:tcPr>
          <w:p w14:paraId="7A96B6CF"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0.00%</w:t>
            </w:r>
          </w:p>
        </w:tc>
      </w:tr>
      <w:tr w:rsidR="00810FAC" w:rsidRPr="00CA6576" w14:paraId="54397307" w14:textId="77777777" w:rsidTr="00033F3D">
        <w:trPr>
          <w:trHeight w:val="345"/>
          <w:jc w:val="center"/>
        </w:trPr>
        <w:tc>
          <w:tcPr>
            <w:tcW w:w="2520" w:type="dxa"/>
            <w:shd w:val="clear" w:color="auto" w:fill="auto"/>
            <w:noWrap/>
            <w:vAlign w:val="center"/>
            <w:hideMark/>
          </w:tcPr>
          <w:p w14:paraId="509F42C5"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Ute</w:t>
            </w:r>
          </w:p>
        </w:tc>
        <w:tc>
          <w:tcPr>
            <w:tcW w:w="2520" w:type="dxa"/>
            <w:shd w:val="clear" w:color="auto" w:fill="auto"/>
            <w:noWrap/>
            <w:vAlign w:val="center"/>
            <w:hideMark/>
          </w:tcPr>
          <w:p w14:paraId="08D15896"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0.00%</w:t>
            </w:r>
          </w:p>
        </w:tc>
        <w:tc>
          <w:tcPr>
            <w:tcW w:w="2520" w:type="dxa"/>
            <w:shd w:val="clear" w:color="auto" w:fill="auto"/>
            <w:noWrap/>
          </w:tcPr>
          <w:p w14:paraId="624034E0"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0.00%</w:t>
            </w:r>
          </w:p>
        </w:tc>
      </w:tr>
      <w:tr w:rsidR="00810FAC" w:rsidRPr="00CA6576" w14:paraId="7CAF3DFA" w14:textId="77777777" w:rsidTr="00033F3D">
        <w:trPr>
          <w:trHeight w:val="345"/>
          <w:jc w:val="center"/>
        </w:trPr>
        <w:tc>
          <w:tcPr>
            <w:tcW w:w="2520" w:type="dxa"/>
            <w:shd w:val="clear" w:color="auto" w:fill="auto"/>
            <w:noWrap/>
            <w:vAlign w:val="center"/>
            <w:hideMark/>
          </w:tcPr>
          <w:p w14:paraId="3AFEC4D6"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Fort Mojave</w:t>
            </w:r>
          </w:p>
        </w:tc>
        <w:tc>
          <w:tcPr>
            <w:tcW w:w="2520" w:type="dxa"/>
            <w:shd w:val="clear" w:color="auto" w:fill="auto"/>
            <w:noWrap/>
            <w:vAlign w:val="center"/>
            <w:hideMark/>
          </w:tcPr>
          <w:p w14:paraId="5AD211CB"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0.00%</w:t>
            </w:r>
          </w:p>
        </w:tc>
        <w:tc>
          <w:tcPr>
            <w:tcW w:w="2520" w:type="dxa"/>
            <w:shd w:val="clear" w:color="auto" w:fill="auto"/>
            <w:noWrap/>
          </w:tcPr>
          <w:p w14:paraId="48018099"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0.00%</w:t>
            </w:r>
          </w:p>
        </w:tc>
      </w:tr>
      <w:tr w:rsidR="00810FAC" w:rsidRPr="00CA6576" w14:paraId="71801160" w14:textId="77777777" w:rsidTr="00033F3D">
        <w:trPr>
          <w:trHeight w:val="345"/>
          <w:jc w:val="center"/>
        </w:trPr>
        <w:tc>
          <w:tcPr>
            <w:tcW w:w="2520" w:type="dxa"/>
            <w:shd w:val="clear" w:color="auto" w:fill="D9D9D9" w:themeFill="background1" w:themeFillShade="D9"/>
            <w:noWrap/>
            <w:vAlign w:val="center"/>
            <w:hideMark/>
          </w:tcPr>
          <w:p w14:paraId="69E99C33"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Continental U.S. Total</w:t>
            </w:r>
          </w:p>
        </w:tc>
        <w:tc>
          <w:tcPr>
            <w:tcW w:w="2520" w:type="dxa"/>
            <w:shd w:val="clear" w:color="auto" w:fill="D9D9D9" w:themeFill="background1" w:themeFillShade="D9"/>
            <w:noWrap/>
            <w:vAlign w:val="center"/>
            <w:hideMark/>
          </w:tcPr>
          <w:p w14:paraId="421A3E73"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hAnsi="Times New Roman" w:cs="Times New Roman"/>
                <w:sz w:val="20"/>
                <w:szCs w:val="20"/>
              </w:rPr>
              <w:t>0.66%</w:t>
            </w:r>
          </w:p>
        </w:tc>
        <w:tc>
          <w:tcPr>
            <w:tcW w:w="2520" w:type="dxa"/>
            <w:shd w:val="clear" w:color="auto" w:fill="D9D9D9" w:themeFill="background1" w:themeFillShade="D9"/>
            <w:noWrap/>
          </w:tcPr>
          <w:p w14:paraId="03DA872A"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hAnsi="Times New Roman" w:cs="Times New Roman"/>
                <w:sz w:val="20"/>
                <w:szCs w:val="20"/>
              </w:rPr>
              <w:t>3.76%</w:t>
            </w:r>
          </w:p>
        </w:tc>
      </w:tr>
      <w:tr w:rsidR="00810FAC" w:rsidRPr="00CA6576" w14:paraId="275CB4D2" w14:textId="77777777" w:rsidTr="00033F3D">
        <w:trPr>
          <w:trHeight w:val="345"/>
          <w:jc w:val="center"/>
        </w:trPr>
        <w:tc>
          <w:tcPr>
            <w:tcW w:w="2520" w:type="dxa"/>
            <w:shd w:val="clear" w:color="auto" w:fill="auto"/>
            <w:noWrap/>
            <w:vAlign w:val="center"/>
            <w:hideMark/>
          </w:tcPr>
          <w:p w14:paraId="592775C7"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Alaska</w:t>
            </w:r>
          </w:p>
        </w:tc>
        <w:tc>
          <w:tcPr>
            <w:tcW w:w="2520" w:type="dxa"/>
            <w:shd w:val="clear" w:color="auto" w:fill="auto"/>
            <w:noWrap/>
            <w:vAlign w:val="center"/>
            <w:hideMark/>
          </w:tcPr>
          <w:p w14:paraId="59DE2E54"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0.05%</w:t>
            </w:r>
          </w:p>
        </w:tc>
        <w:tc>
          <w:tcPr>
            <w:tcW w:w="2520" w:type="dxa"/>
            <w:shd w:val="clear" w:color="auto" w:fill="auto"/>
            <w:noWrap/>
          </w:tcPr>
          <w:p w14:paraId="3BA440F4"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0.15%</w:t>
            </w:r>
          </w:p>
        </w:tc>
      </w:tr>
      <w:tr w:rsidR="00810FAC" w:rsidRPr="00CA6576" w14:paraId="3327130A" w14:textId="77777777" w:rsidTr="00033F3D">
        <w:trPr>
          <w:trHeight w:val="345"/>
          <w:jc w:val="center"/>
        </w:trPr>
        <w:tc>
          <w:tcPr>
            <w:tcW w:w="2520" w:type="dxa"/>
            <w:shd w:val="clear" w:color="auto" w:fill="auto"/>
            <w:noWrap/>
            <w:vAlign w:val="center"/>
            <w:hideMark/>
          </w:tcPr>
          <w:p w14:paraId="2A91B083"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Hawaii</w:t>
            </w:r>
          </w:p>
        </w:tc>
        <w:tc>
          <w:tcPr>
            <w:tcW w:w="2520" w:type="dxa"/>
            <w:shd w:val="clear" w:color="auto" w:fill="auto"/>
            <w:noWrap/>
            <w:vAlign w:val="center"/>
            <w:hideMark/>
          </w:tcPr>
          <w:p w14:paraId="322D4B5C"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0.04%</w:t>
            </w:r>
          </w:p>
        </w:tc>
        <w:tc>
          <w:tcPr>
            <w:tcW w:w="2520" w:type="dxa"/>
            <w:shd w:val="clear" w:color="auto" w:fill="auto"/>
            <w:noWrap/>
          </w:tcPr>
          <w:p w14:paraId="0EB0E3FD"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0.33%</w:t>
            </w:r>
          </w:p>
        </w:tc>
      </w:tr>
      <w:tr w:rsidR="00810FAC" w:rsidRPr="00CA6576" w14:paraId="2B0383C1" w14:textId="77777777" w:rsidTr="00033F3D">
        <w:trPr>
          <w:trHeight w:val="345"/>
          <w:jc w:val="center"/>
        </w:trPr>
        <w:tc>
          <w:tcPr>
            <w:tcW w:w="2520" w:type="dxa"/>
            <w:shd w:val="clear" w:color="auto" w:fill="auto"/>
            <w:noWrap/>
            <w:vAlign w:val="center"/>
            <w:hideMark/>
          </w:tcPr>
          <w:p w14:paraId="7D122DF6"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Puerto Rico</w:t>
            </w:r>
          </w:p>
        </w:tc>
        <w:tc>
          <w:tcPr>
            <w:tcW w:w="2520" w:type="dxa"/>
            <w:shd w:val="clear" w:color="auto" w:fill="auto"/>
            <w:noWrap/>
            <w:vAlign w:val="center"/>
            <w:hideMark/>
          </w:tcPr>
          <w:p w14:paraId="3D7A3393"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0.00%</w:t>
            </w:r>
          </w:p>
        </w:tc>
        <w:tc>
          <w:tcPr>
            <w:tcW w:w="2520" w:type="dxa"/>
            <w:shd w:val="clear" w:color="auto" w:fill="auto"/>
            <w:noWrap/>
          </w:tcPr>
          <w:p w14:paraId="141955F6"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0.00%</w:t>
            </w:r>
          </w:p>
        </w:tc>
      </w:tr>
      <w:tr w:rsidR="00810FAC" w:rsidRPr="00CA6576" w14:paraId="381B393B" w14:textId="77777777" w:rsidTr="00033F3D">
        <w:trPr>
          <w:trHeight w:val="345"/>
          <w:jc w:val="center"/>
        </w:trPr>
        <w:tc>
          <w:tcPr>
            <w:tcW w:w="2520" w:type="dxa"/>
            <w:shd w:val="clear" w:color="auto" w:fill="auto"/>
            <w:noWrap/>
            <w:vAlign w:val="center"/>
            <w:hideMark/>
          </w:tcPr>
          <w:p w14:paraId="40E23E3B"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Guam</w:t>
            </w:r>
          </w:p>
        </w:tc>
        <w:tc>
          <w:tcPr>
            <w:tcW w:w="2520" w:type="dxa"/>
            <w:shd w:val="clear" w:color="auto" w:fill="auto"/>
            <w:noWrap/>
            <w:vAlign w:val="center"/>
            <w:hideMark/>
          </w:tcPr>
          <w:p w14:paraId="427A4356"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0.00%</w:t>
            </w:r>
          </w:p>
        </w:tc>
        <w:tc>
          <w:tcPr>
            <w:tcW w:w="2520" w:type="dxa"/>
            <w:shd w:val="clear" w:color="auto" w:fill="auto"/>
            <w:noWrap/>
          </w:tcPr>
          <w:p w14:paraId="67761547" w14:textId="77777777" w:rsidR="00810FAC" w:rsidRPr="00CA6576" w:rsidRDefault="00810FAC" w:rsidP="00CA6576">
            <w:pPr>
              <w:spacing w:before="20" w:after="20"/>
              <w:jc w:val="center"/>
              <w:rPr>
                <w:rFonts w:ascii="Times New Roman" w:eastAsia="Times New Roman" w:hAnsi="Times New Roman" w:cs="Times New Roman"/>
                <w:color w:val="000000"/>
                <w:sz w:val="20"/>
                <w:szCs w:val="20"/>
              </w:rPr>
            </w:pPr>
            <w:r w:rsidRPr="00CA6576">
              <w:rPr>
                <w:rFonts w:ascii="Times New Roman" w:hAnsi="Times New Roman" w:cs="Times New Roman"/>
                <w:sz w:val="20"/>
                <w:szCs w:val="20"/>
              </w:rPr>
              <w:t>0.00%</w:t>
            </w:r>
          </w:p>
        </w:tc>
      </w:tr>
      <w:tr w:rsidR="00810FAC" w:rsidRPr="00CA6576" w14:paraId="5E1626F3" w14:textId="77777777" w:rsidTr="00033F3D">
        <w:trPr>
          <w:trHeight w:val="345"/>
          <w:jc w:val="center"/>
        </w:trPr>
        <w:tc>
          <w:tcPr>
            <w:tcW w:w="2520" w:type="dxa"/>
            <w:shd w:val="clear" w:color="auto" w:fill="D9D9D9" w:themeFill="background1" w:themeFillShade="D9"/>
            <w:noWrap/>
            <w:vAlign w:val="center"/>
            <w:hideMark/>
          </w:tcPr>
          <w:p w14:paraId="076F709E"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eastAsia="Times New Roman" w:hAnsi="Times New Roman" w:cs="Times New Roman"/>
                <w:b/>
                <w:bCs/>
                <w:color w:val="000000"/>
                <w:sz w:val="20"/>
                <w:szCs w:val="20"/>
              </w:rPr>
              <w:t>U.S. Total and Territories</w:t>
            </w:r>
          </w:p>
        </w:tc>
        <w:tc>
          <w:tcPr>
            <w:tcW w:w="2520" w:type="dxa"/>
            <w:shd w:val="clear" w:color="auto" w:fill="D9D9D9" w:themeFill="background1" w:themeFillShade="D9"/>
            <w:noWrap/>
            <w:vAlign w:val="center"/>
            <w:hideMark/>
          </w:tcPr>
          <w:p w14:paraId="59400B41"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hAnsi="Times New Roman" w:cs="Times New Roman"/>
                <w:sz w:val="20"/>
                <w:szCs w:val="20"/>
              </w:rPr>
              <w:t>0.66%</w:t>
            </w:r>
          </w:p>
        </w:tc>
        <w:tc>
          <w:tcPr>
            <w:tcW w:w="2520" w:type="dxa"/>
            <w:shd w:val="clear" w:color="auto" w:fill="D9D9D9" w:themeFill="background1" w:themeFillShade="D9"/>
            <w:noWrap/>
          </w:tcPr>
          <w:p w14:paraId="08FC9CC0" w14:textId="77777777" w:rsidR="00810FAC" w:rsidRPr="00CA6576" w:rsidRDefault="00810FAC" w:rsidP="00CA6576">
            <w:pPr>
              <w:spacing w:before="20" w:after="20"/>
              <w:jc w:val="center"/>
              <w:rPr>
                <w:rFonts w:ascii="Times New Roman" w:eastAsia="Times New Roman" w:hAnsi="Times New Roman" w:cs="Times New Roman"/>
                <w:b/>
                <w:bCs/>
                <w:color w:val="000000"/>
                <w:sz w:val="20"/>
                <w:szCs w:val="20"/>
              </w:rPr>
            </w:pPr>
            <w:r w:rsidRPr="00CA6576">
              <w:rPr>
                <w:rFonts w:ascii="Times New Roman" w:hAnsi="Times New Roman" w:cs="Times New Roman"/>
                <w:sz w:val="20"/>
                <w:szCs w:val="20"/>
              </w:rPr>
              <w:t>3.73%</w:t>
            </w:r>
          </w:p>
        </w:tc>
      </w:tr>
    </w:tbl>
    <w:p w14:paraId="12E110C5" w14:textId="4F0C17A2" w:rsidR="00810FAC" w:rsidRPr="00196931" w:rsidRDefault="00810FAC" w:rsidP="00CF0D49">
      <w:pPr>
        <w:pStyle w:val="CH5TableSource"/>
        <w:ind w:left="900"/>
      </w:pPr>
      <w:r w:rsidRPr="00196931">
        <w:t xml:space="preserve">Source: EPA calculation based </w:t>
      </w:r>
      <w:r>
        <w:t>EIA 2013 and EIA 2012</w:t>
      </w:r>
      <w:r w:rsidR="00897B4F">
        <w:t>a</w:t>
      </w:r>
    </w:p>
    <w:p w14:paraId="5F4D1CE6" w14:textId="77777777" w:rsidR="00810FAC" w:rsidRPr="00D33008" w:rsidRDefault="00810FAC" w:rsidP="009148E2">
      <w:pPr>
        <w:pStyle w:val="Heading4"/>
      </w:pPr>
      <w:bookmarkStart w:id="36" w:name="_Toc424721543"/>
      <w:r w:rsidRPr="00D33008">
        <w:t xml:space="preserve">Projected </w:t>
      </w:r>
      <w:r>
        <w:t>Impacts</w:t>
      </w:r>
      <w:bookmarkEnd w:id="36"/>
    </w:p>
    <w:p w14:paraId="2C5A7A66" w14:textId="3D18B84E" w:rsidR="00810FAC" w:rsidRPr="00D33008" w:rsidRDefault="00810FAC" w:rsidP="00810FAC">
      <w:pPr>
        <w:pStyle w:val="CH5BodyText"/>
      </w:pPr>
      <w:r w:rsidRPr="00D33008">
        <w:t xml:space="preserve">In 2013, Lawrence Berkeley National Laboratory (LBNL) published an update to a 2009 analysis and projected future spending levels and savings through 2025 from </w:t>
      </w:r>
      <w:r>
        <w:t>EE</w:t>
      </w:r>
      <w:r w:rsidRPr="00D33008">
        <w:t xml:space="preserve"> programs funded by electric and gas utility customers in the United States under three scenarios (high, medium, and low cases)</w:t>
      </w:r>
      <w:r>
        <w:t xml:space="preserve"> (</w:t>
      </w:r>
      <w:r w:rsidR="001A7D56">
        <w:t>Barbose et al. 2013</w:t>
      </w:r>
      <w:r>
        <w:t>)</w:t>
      </w:r>
      <w:r w:rsidRPr="00D33008">
        <w:t xml:space="preserve">. The scenarios represent “a range of potential outcomes under the current policy environment” and were based on detailed, bottom-up analysis of existing state </w:t>
      </w:r>
      <w:r>
        <w:t xml:space="preserve">EE </w:t>
      </w:r>
      <w:r w:rsidRPr="00D33008">
        <w:t>policies.</w:t>
      </w:r>
      <w:r>
        <w:t xml:space="preserve"> </w:t>
      </w:r>
      <w:r w:rsidRPr="00D33008">
        <w:t xml:space="preserve">Significantly, the study presumes no new major policy developments such as a “national </w:t>
      </w:r>
      <w:r>
        <w:t xml:space="preserve">EE </w:t>
      </w:r>
      <w:r w:rsidRPr="00D33008">
        <w:t xml:space="preserve">standard, clean energy standard, or carbon policy” and specifies that such policy changes could “result in customer-funded </w:t>
      </w:r>
      <w:r>
        <w:t xml:space="preserve">EE </w:t>
      </w:r>
      <w:r w:rsidRPr="00D33008">
        <w:t>program spending and savings that exceed the values in our High Case.”</w:t>
      </w:r>
    </w:p>
    <w:p w14:paraId="2616628A" w14:textId="77777777" w:rsidR="00810FAC" w:rsidRPr="00D33008" w:rsidRDefault="00810FAC" w:rsidP="00810FAC">
      <w:pPr>
        <w:pStyle w:val="CH5BodyText"/>
      </w:pPr>
      <w:r w:rsidRPr="00D33008">
        <w:t xml:space="preserve">The study concludes that efficiency programs are “poised for dramatic growth over the course of the next 10 to 15 years” with the most significant increases occurring in regions with lower levels of program spending, historically, including the Midwest and South. For example, under the medium scenario total U.S. spending on electric efficiency programs increase by 40% to $8.1 billion in 2025 from 2012 levels. Under the high scenario, spending more than doubles from 2012 levels to $12.2 billion in 2025. Incremental savings levels grow commensurately, to 0.8% and 1.1% of sales under the medium and high scenarios, respectively. The study results indicate that under the high scenario 20 states would be achieving 1.5% or higher levels of </w:t>
      </w:r>
      <w:r w:rsidRPr="00D33008">
        <w:lastRenderedPageBreak/>
        <w:t>incremental savings, with 11 of those reaching or exceeding 2.0%.</w:t>
      </w:r>
      <w:r w:rsidRPr="00D33008">
        <w:rPr>
          <w:rStyle w:val="FootnoteReference"/>
        </w:rPr>
        <w:footnoteReference w:id="16"/>
      </w:r>
      <w:r w:rsidRPr="00D33008">
        <w:t xml:space="preserve"> Table 5 summarizes the results of the LBNL analysis.</w:t>
      </w:r>
    </w:p>
    <w:p w14:paraId="43CF068C" w14:textId="4FDB04B2" w:rsidR="00810FAC" w:rsidRDefault="00810FAC" w:rsidP="007300F4">
      <w:pPr>
        <w:pStyle w:val="CH5TableTitle"/>
      </w:pPr>
      <w:bookmarkStart w:id="37" w:name="_Toc424720255"/>
      <w:r w:rsidRPr="00D33008">
        <w:t>T</w:t>
      </w:r>
      <w:r>
        <w:t>able</w:t>
      </w:r>
      <w:r w:rsidRPr="00D33008">
        <w:t xml:space="preserve"> 5</w:t>
      </w:r>
      <w:r>
        <w:t xml:space="preserve">. </w:t>
      </w:r>
      <w:r w:rsidRPr="00D33008">
        <w:t>Summary of Impacts:</w:t>
      </w:r>
      <w:r>
        <w:t xml:space="preserve"> </w:t>
      </w:r>
      <w:r w:rsidRPr="00D33008">
        <w:t xml:space="preserve">Scenarios of Future Utility </w:t>
      </w:r>
      <w:r w:rsidR="007300F4">
        <w:br/>
      </w:r>
      <w:r w:rsidRPr="00D33008">
        <w:t xml:space="preserve">Customer-Funded Electric </w:t>
      </w:r>
      <w:r>
        <w:t xml:space="preserve">EE </w:t>
      </w:r>
      <w:r w:rsidRPr="00D33008">
        <w:t>Programs</w:t>
      </w:r>
      <w:bookmarkEnd w:id="37"/>
      <w:r w:rsidRPr="00D33008">
        <w:t xml:space="preserve"> </w:t>
      </w:r>
    </w:p>
    <w:tbl>
      <w:tblPr>
        <w:tblStyle w:val="TableGrid"/>
        <w:tblW w:w="0" w:type="auto"/>
        <w:jc w:val="center"/>
        <w:tblLook w:val="04A0" w:firstRow="1" w:lastRow="0" w:firstColumn="1" w:lastColumn="0" w:noHBand="0" w:noVBand="1"/>
      </w:tblPr>
      <w:tblGrid>
        <w:gridCol w:w="1885"/>
        <w:gridCol w:w="2610"/>
        <w:gridCol w:w="2610"/>
        <w:gridCol w:w="2245"/>
      </w:tblGrid>
      <w:tr w:rsidR="00810FAC" w:rsidRPr="00D33008" w14:paraId="70E3C353" w14:textId="77777777" w:rsidTr="00033F3D">
        <w:trPr>
          <w:jc w:val="center"/>
        </w:trPr>
        <w:tc>
          <w:tcPr>
            <w:tcW w:w="1885" w:type="dxa"/>
            <w:vMerge w:val="restart"/>
            <w:shd w:val="clear" w:color="auto" w:fill="D9D9D9" w:themeFill="background1" w:themeFillShade="D9"/>
            <w:vAlign w:val="bottom"/>
          </w:tcPr>
          <w:p w14:paraId="783B0E76" w14:textId="77777777" w:rsidR="00810FAC" w:rsidRPr="00033F3D" w:rsidRDefault="00810FAC" w:rsidP="00810FAC">
            <w:pPr>
              <w:pStyle w:val="CH5TableText"/>
              <w:rPr>
                <w:b/>
                <w:szCs w:val="20"/>
              </w:rPr>
            </w:pPr>
            <w:r w:rsidRPr="00033F3D">
              <w:rPr>
                <w:b/>
                <w:szCs w:val="20"/>
              </w:rPr>
              <w:t>Case</w:t>
            </w:r>
          </w:p>
        </w:tc>
        <w:tc>
          <w:tcPr>
            <w:tcW w:w="7465" w:type="dxa"/>
            <w:gridSpan w:val="3"/>
            <w:tcBorders>
              <w:bottom w:val="single" w:sz="4" w:space="0" w:color="auto"/>
            </w:tcBorders>
            <w:shd w:val="clear" w:color="auto" w:fill="D9D9D9" w:themeFill="background1" w:themeFillShade="D9"/>
            <w:vAlign w:val="center"/>
          </w:tcPr>
          <w:p w14:paraId="0CA6AA66" w14:textId="77777777" w:rsidR="00810FAC" w:rsidRPr="00033F3D" w:rsidRDefault="00810FAC" w:rsidP="00810FAC">
            <w:pPr>
              <w:pStyle w:val="CH5TableText"/>
              <w:rPr>
                <w:b/>
                <w:szCs w:val="20"/>
              </w:rPr>
            </w:pPr>
            <w:r w:rsidRPr="00033F3D">
              <w:rPr>
                <w:b/>
                <w:szCs w:val="20"/>
              </w:rPr>
              <w:t>2025</w:t>
            </w:r>
          </w:p>
        </w:tc>
      </w:tr>
      <w:tr w:rsidR="00810FAC" w:rsidRPr="00D33008" w14:paraId="4F0FAF06" w14:textId="77777777" w:rsidTr="00033F3D">
        <w:trPr>
          <w:jc w:val="center"/>
        </w:trPr>
        <w:tc>
          <w:tcPr>
            <w:tcW w:w="1885" w:type="dxa"/>
            <w:vMerge/>
            <w:shd w:val="clear" w:color="auto" w:fill="D9D9D9" w:themeFill="background1" w:themeFillShade="D9"/>
            <w:vAlign w:val="center"/>
          </w:tcPr>
          <w:p w14:paraId="6CC930CD" w14:textId="77777777" w:rsidR="00810FAC" w:rsidRPr="00033F3D" w:rsidRDefault="00810FAC" w:rsidP="00810FAC">
            <w:pPr>
              <w:pStyle w:val="CH5TableText"/>
              <w:rPr>
                <w:b/>
                <w:szCs w:val="20"/>
              </w:rPr>
            </w:pPr>
          </w:p>
        </w:tc>
        <w:tc>
          <w:tcPr>
            <w:tcW w:w="2610" w:type="dxa"/>
            <w:shd w:val="clear" w:color="auto" w:fill="D9D9D9" w:themeFill="background1" w:themeFillShade="D9"/>
            <w:vAlign w:val="center"/>
          </w:tcPr>
          <w:p w14:paraId="7D6206CE" w14:textId="77777777" w:rsidR="00810FAC" w:rsidRPr="00033F3D" w:rsidRDefault="00810FAC" w:rsidP="00810FAC">
            <w:pPr>
              <w:pStyle w:val="CH5TableText"/>
              <w:rPr>
                <w:b/>
                <w:szCs w:val="20"/>
              </w:rPr>
            </w:pPr>
            <w:r w:rsidRPr="00033F3D">
              <w:rPr>
                <w:b/>
                <w:szCs w:val="20"/>
              </w:rPr>
              <w:t>Incremental Savings (% of Sales)</w:t>
            </w:r>
          </w:p>
        </w:tc>
        <w:tc>
          <w:tcPr>
            <w:tcW w:w="2610" w:type="dxa"/>
            <w:shd w:val="clear" w:color="auto" w:fill="D9D9D9" w:themeFill="background1" w:themeFillShade="D9"/>
            <w:vAlign w:val="center"/>
          </w:tcPr>
          <w:p w14:paraId="34AC010D" w14:textId="77777777" w:rsidR="00810FAC" w:rsidRPr="00033F3D" w:rsidRDefault="00810FAC" w:rsidP="00810FAC">
            <w:pPr>
              <w:pStyle w:val="CH5TableText"/>
              <w:rPr>
                <w:b/>
                <w:szCs w:val="20"/>
              </w:rPr>
            </w:pPr>
            <w:r w:rsidRPr="00033F3D">
              <w:rPr>
                <w:b/>
                <w:szCs w:val="20"/>
              </w:rPr>
              <w:t>Program Costs</w:t>
            </w:r>
          </w:p>
          <w:p w14:paraId="45B11F12" w14:textId="77777777" w:rsidR="00810FAC" w:rsidRPr="00033F3D" w:rsidRDefault="00810FAC" w:rsidP="00810FAC">
            <w:pPr>
              <w:pStyle w:val="CH5TableText"/>
              <w:rPr>
                <w:b/>
                <w:szCs w:val="20"/>
              </w:rPr>
            </w:pPr>
            <w:r w:rsidRPr="00033F3D">
              <w:rPr>
                <w:b/>
                <w:szCs w:val="20"/>
              </w:rPr>
              <w:t>(billions of $, nominal)</w:t>
            </w:r>
          </w:p>
        </w:tc>
        <w:tc>
          <w:tcPr>
            <w:tcW w:w="2245" w:type="dxa"/>
            <w:shd w:val="clear" w:color="auto" w:fill="D9D9D9" w:themeFill="background1" w:themeFillShade="D9"/>
            <w:vAlign w:val="center"/>
          </w:tcPr>
          <w:p w14:paraId="3701DD17" w14:textId="77777777" w:rsidR="00810FAC" w:rsidRPr="00033F3D" w:rsidRDefault="00810FAC" w:rsidP="00810FAC">
            <w:pPr>
              <w:pStyle w:val="CH5TableText"/>
              <w:rPr>
                <w:b/>
                <w:szCs w:val="20"/>
              </w:rPr>
            </w:pPr>
            <w:r w:rsidRPr="00033F3D">
              <w:rPr>
                <w:b/>
                <w:szCs w:val="20"/>
              </w:rPr>
              <w:t>Programs Costs</w:t>
            </w:r>
          </w:p>
          <w:p w14:paraId="5D8B963E" w14:textId="77777777" w:rsidR="00810FAC" w:rsidRPr="00033F3D" w:rsidRDefault="00810FAC" w:rsidP="00810FAC">
            <w:pPr>
              <w:pStyle w:val="CH5TableText"/>
              <w:rPr>
                <w:b/>
                <w:szCs w:val="20"/>
              </w:rPr>
            </w:pPr>
            <w:r w:rsidRPr="00033F3D">
              <w:rPr>
                <w:b/>
                <w:szCs w:val="20"/>
              </w:rPr>
              <w:t>(% of Revenues)</w:t>
            </w:r>
          </w:p>
        </w:tc>
      </w:tr>
      <w:tr w:rsidR="00810FAC" w:rsidRPr="00D33008" w14:paraId="4DC9BC4A" w14:textId="77777777" w:rsidTr="00810FAC">
        <w:trPr>
          <w:jc w:val="center"/>
        </w:trPr>
        <w:tc>
          <w:tcPr>
            <w:tcW w:w="1885" w:type="dxa"/>
          </w:tcPr>
          <w:p w14:paraId="27BA659A" w14:textId="77777777" w:rsidR="00810FAC" w:rsidRPr="00033F3D" w:rsidRDefault="00810FAC" w:rsidP="00810FAC">
            <w:pPr>
              <w:pStyle w:val="CH5TableText"/>
              <w:rPr>
                <w:b/>
                <w:szCs w:val="20"/>
              </w:rPr>
            </w:pPr>
            <w:r w:rsidRPr="00033F3D">
              <w:rPr>
                <w:b/>
                <w:szCs w:val="20"/>
              </w:rPr>
              <w:t>Low</w:t>
            </w:r>
          </w:p>
        </w:tc>
        <w:tc>
          <w:tcPr>
            <w:tcW w:w="2610" w:type="dxa"/>
          </w:tcPr>
          <w:p w14:paraId="34D8986B" w14:textId="77777777" w:rsidR="00810FAC" w:rsidRPr="00033F3D" w:rsidRDefault="00810FAC" w:rsidP="00810FAC">
            <w:pPr>
              <w:pStyle w:val="CH5TableText"/>
              <w:rPr>
                <w:szCs w:val="20"/>
              </w:rPr>
            </w:pPr>
            <w:r w:rsidRPr="00033F3D">
              <w:rPr>
                <w:szCs w:val="20"/>
              </w:rPr>
              <w:t>0.5%</w:t>
            </w:r>
          </w:p>
        </w:tc>
        <w:tc>
          <w:tcPr>
            <w:tcW w:w="2610" w:type="dxa"/>
          </w:tcPr>
          <w:p w14:paraId="745C01AE" w14:textId="77777777" w:rsidR="00810FAC" w:rsidRPr="00033F3D" w:rsidRDefault="00810FAC" w:rsidP="00810FAC">
            <w:pPr>
              <w:pStyle w:val="CH5TableText"/>
              <w:rPr>
                <w:szCs w:val="20"/>
              </w:rPr>
            </w:pPr>
            <w:r w:rsidRPr="00033F3D">
              <w:rPr>
                <w:szCs w:val="20"/>
              </w:rPr>
              <w:t>5.5</w:t>
            </w:r>
          </w:p>
        </w:tc>
        <w:tc>
          <w:tcPr>
            <w:tcW w:w="2245" w:type="dxa"/>
          </w:tcPr>
          <w:p w14:paraId="08B974FD" w14:textId="77777777" w:rsidR="00810FAC" w:rsidRPr="00033F3D" w:rsidRDefault="00810FAC" w:rsidP="00810FAC">
            <w:pPr>
              <w:pStyle w:val="CH5TableText"/>
              <w:rPr>
                <w:szCs w:val="20"/>
              </w:rPr>
            </w:pPr>
            <w:r w:rsidRPr="00033F3D">
              <w:rPr>
                <w:szCs w:val="20"/>
              </w:rPr>
              <w:t>1.1%</w:t>
            </w:r>
          </w:p>
        </w:tc>
      </w:tr>
      <w:tr w:rsidR="00810FAC" w:rsidRPr="00D33008" w14:paraId="6448EC04" w14:textId="77777777" w:rsidTr="00810FAC">
        <w:trPr>
          <w:jc w:val="center"/>
        </w:trPr>
        <w:tc>
          <w:tcPr>
            <w:tcW w:w="1885" w:type="dxa"/>
          </w:tcPr>
          <w:p w14:paraId="4F494D6E" w14:textId="77777777" w:rsidR="00810FAC" w:rsidRPr="00033F3D" w:rsidRDefault="00810FAC" w:rsidP="00810FAC">
            <w:pPr>
              <w:pStyle w:val="CH5TableText"/>
              <w:rPr>
                <w:b/>
                <w:szCs w:val="20"/>
              </w:rPr>
            </w:pPr>
            <w:r w:rsidRPr="00033F3D">
              <w:rPr>
                <w:b/>
                <w:szCs w:val="20"/>
              </w:rPr>
              <w:t>Medium</w:t>
            </w:r>
          </w:p>
        </w:tc>
        <w:tc>
          <w:tcPr>
            <w:tcW w:w="2610" w:type="dxa"/>
          </w:tcPr>
          <w:p w14:paraId="4A2C5A0A" w14:textId="77777777" w:rsidR="00810FAC" w:rsidRPr="00033F3D" w:rsidRDefault="00810FAC" w:rsidP="00810FAC">
            <w:pPr>
              <w:pStyle w:val="CH5TableText"/>
              <w:rPr>
                <w:szCs w:val="20"/>
              </w:rPr>
            </w:pPr>
            <w:r w:rsidRPr="00033F3D">
              <w:rPr>
                <w:szCs w:val="20"/>
              </w:rPr>
              <w:t>0.8%</w:t>
            </w:r>
          </w:p>
        </w:tc>
        <w:tc>
          <w:tcPr>
            <w:tcW w:w="2610" w:type="dxa"/>
          </w:tcPr>
          <w:p w14:paraId="22870CBF" w14:textId="77777777" w:rsidR="00810FAC" w:rsidRPr="00033F3D" w:rsidRDefault="00810FAC" w:rsidP="00810FAC">
            <w:pPr>
              <w:pStyle w:val="CH5TableText"/>
              <w:rPr>
                <w:szCs w:val="20"/>
              </w:rPr>
            </w:pPr>
            <w:r w:rsidRPr="00033F3D">
              <w:rPr>
                <w:szCs w:val="20"/>
              </w:rPr>
              <w:t>8.1</w:t>
            </w:r>
          </w:p>
        </w:tc>
        <w:tc>
          <w:tcPr>
            <w:tcW w:w="2245" w:type="dxa"/>
          </w:tcPr>
          <w:p w14:paraId="3200D06E" w14:textId="77777777" w:rsidR="00810FAC" w:rsidRPr="00033F3D" w:rsidRDefault="00810FAC" w:rsidP="00810FAC">
            <w:pPr>
              <w:pStyle w:val="CH5TableText"/>
              <w:rPr>
                <w:szCs w:val="20"/>
              </w:rPr>
            </w:pPr>
            <w:r w:rsidRPr="00033F3D">
              <w:rPr>
                <w:szCs w:val="20"/>
              </w:rPr>
              <w:t>1.7%</w:t>
            </w:r>
          </w:p>
        </w:tc>
      </w:tr>
      <w:tr w:rsidR="00810FAC" w:rsidRPr="00D33008" w14:paraId="7518F105" w14:textId="77777777" w:rsidTr="00810FAC">
        <w:trPr>
          <w:jc w:val="center"/>
        </w:trPr>
        <w:tc>
          <w:tcPr>
            <w:tcW w:w="1885" w:type="dxa"/>
          </w:tcPr>
          <w:p w14:paraId="5C935069" w14:textId="77777777" w:rsidR="00810FAC" w:rsidRPr="00033F3D" w:rsidRDefault="00810FAC" w:rsidP="00810FAC">
            <w:pPr>
              <w:pStyle w:val="CH5TableText"/>
              <w:spacing w:after="0"/>
              <w:rPr>
                <w:b/>
                <w:szCs w:val="20"/>
              </w:rPr>
            </w:pPr>
            <w:r w:rsidRPr="00033F3D">
              <w:rPr>
                <w:b/>
                <w:szCs w:val="20"/>
              </w:rPr>
              <w:t>High</w:t>
            </w:r>
          </w:p>
        </w:tc>
        <w:tc>
          <w:tcPr>
            <w:tcW w:w="2610" w:type="dxa"/>
          </w:tcPr>
          <w:p w14:paraId="1A80A8C2" w14:textId="77777777" w:rsidR="00810FAC" w:rsidRPr="00033F3D" w:rsidRDefault="00810FAC" w:rsidP="00810FAC">
            <w:pPr>
              <w:pStyle w:val="CH5TableText"/>
              <w:spacing w:after="0"/>
              <w:rPr>
                <w:szCs w:val="20"/>
              </w:rPr>
            </w:pPr>
            <w:r w:rsidRPr="00033F3D">
              <w:rPr>
                <w:szCs w:val="20"/>
              </w:rPr>
              <w:t>1.1%</w:t>
            </w:r>
          </w:p>
        </w:tc>
        <w:tc>
          <w:tcPr>
            <w:tcW w:w="2610" w:type="dxa"/>
          </w:tcPr>
          <w:p w14:paraId="54D6E16F" w14:textId="77777777" w:rsidR="00810FAC" w:rsidRPr="00033F3D" w:rsidRDefault="00810FAC" w:rsidP="00810FAC">
            <w:pPr>
              <w:pStyle w:val="CH5TableText"/>
              <w:spacing w:after="0"/>
              <w:rPr>
                <w:szCs w:val="20"/>
              </w:rPr>
            </w:pPr>
            <w:r w:rsidRPr="00033F3D">
              <w:rPr>
                <w:szCs w:val="20"/>
              </w:rPr>
              <w:t>12.2</w:t>
            </w:r>
          </w:p>
        </w:tc>
        <w:tc>
          <w:tcPr>
            <w:tcW w:w="2245" w:type="dxa"/>
          </w:tcPr>
          <w:p w14:paraId="529339B0" w14:textId="77777777" w:rsidR="00810FAC" w:rsidRPr="00033F3D" w:rsidRDefault="00810FAC" w:rsidP="00810FAC">
            <w:pPr>
              <w:pStyle w:val="CH5TableText"/>
              <w:spacing w:after="0"/>
              <w:rPr>
                <w:szCs w:val="20"/>
              </w:rPr>
            </w:pPr>
            <w:r w:rsidRPr="00033F3D">
              <w:rPr>
                <w:szCs w:val="20"/>
              </w:rPr>
              <w:t>2.7%</w:t>
            </w:r>
          </w:p>
        </w:tc>
      </w:tr>
    </w:tbl>
    <w:p w14:paraId="58E35615" w14:textId="7863665E" w:rsidR="00810FAC" w:rsidRPr="00196931" w:rsidRDefault="00810FAC" w:rsidP="00CF0D49">
      <w:pPr>
        <w:pStyle w:val="CH5TableSource"/>
      </w:pPr>
      <w:r w:rsidRPr="00196931">
        <w:t xml:space="preserve">Source: </w:t>
      </w:r>
      <w:r w:rsidR="001A7D56">
        <w:t>Barbose et al. 2013</w:t>
      </w:r>
    </w:p>
    <w:p w14:paraId="246A5AD8" w14:textId="77777777" w:rsidR="00810FAC" w:rsidRPr="00D33008" w:rsidRDefault="00810FAC" w:rsidP="009148E2">
      <w:pPr>
        <w:pStyle w:val="Heading3"/>
      </w:pPr>
      <w:bookmarkStart w:id="38" w:name="_Toc424721544"/>
      <w:r w:rsidRPr="00D33008">
        <w:t>EE Potential</w:t>
      </w:r>
      <w:bookmarkEnd w:id="38"/>
    </w:p>
    <w:p w14:paraId="1F2BC392" w14:textId="77777777" w:rsidR="00810FAC" w:rsidRPr="00D33008" w:rsidRDefault="00810FAC" w:rsidP="009148E2">
      <w:pPr>
        <w:pStyle w:val="Heading4"/>
      </w:pPr>
      <w:bookmarkStart w:id="39" w:name="_Toc424721545"/>
      <w:r w:rsidRPr="00D33008">
        <w:t>Evaluations of EE Potential</w:t>
      </w:r>
      <w:bookmarkEnd w:id="39"/>
    </w:p>
    <w:p w14:paraId="6CFA8D3B" w14:textId="77777777" w:rsidR="00810FAC" w:rsidRPr="00D33008" w:rsidRDefault="00810FAC" w:rsidP="00810FAC">
      <w:pPr>
        <w:pStyle w:val="CH5BodyText"/>
      </w:pPr>
      <w:r>
        <w:t>EE</w:t>
      </w:r>
      <w:r w:rsidRPr="00D33008">
        <w:t xml:space="preserve"> potential studies are a common tool for informing the development of EE program plans and budgets, as well as supporting the development of electricity savings targets, required savings levels under an EERS, or “all cost-effective” EE requirement. In conducting these studies, states and utilities have developed a methodology that is often described as a “bottom-up, engineering-based” approach</w:t>
      </w:r>
      <w:r>
        <w:t xml:space="preserve"> (EPA and DOE 2007a)</w:t>
      </w:r>
      <w:r w:rsidRPr="00D33008">
        <w:t>. EE potential studies are conducted at various geographic scopes (national, regional, state, and utility service territory level) and at different degrees of aggregation (e.g., economy-wide, sectoral, and program), and can be broadly grouped into a few types: technical, economic, market, and program.</w:t>
      </w:r>
      <w:r w:rsidRPr="00D33008">
        <w:rPr>
          <w:vertAlign w:val="superscript"/>
        </w:rPr>
        <w:footnoteReference w:id="17"/>
      </w:r>
    </w:p>
    <w:p w14:paraId="6308FE6D" w14:textId="77777777" w:rsidR="00810FAC" w:rsidRPr="00D33008" w:rsidRDefault="00810FAC" w:rsidP="00810FAC">
      <w:pPr>
        <w:pStyle w:val="CH5BulletList"/>
      </w:pPr>
      <w:r w:rsidRPr="00D33008">
        <w:rPr>
          <w:b/>
          <w:bCs/>
        </w:rPr>
        <w:t xml:space="preserve">Technical potential </w:t>
      </w:r>
      <w:r w:rsidRPr="00D33008">
        <w:rPr>
          <w:bCs/>
        </w:rPr>
        <w:t>represents</w:t>
      </w:r>
      <w:r w:rsidRPr="00D33008">
        <w:t xml:space="preserve"> the theoretical maximum amount of energy use that could be displaced by efficiency, without regard to non-engineering constraints such as costs and the willingness of energy consumers to adopt the efficiency measures. It often assumes immediate implementation of all technologically feasible energy saving measures, with additional efficiency opportunities assumed as they arise. </w:t>
      </w:r>
    </w:p>
    <w:p w14:paraId="6B158E50" w14:textId="77777777" w:rsidR="00810FAC" w:rsidRPr="00D33008" w:rsidRDefault="00810FAC" w:rsidP="00810FAC">
      <w:pPr>
        <w:pStyle w:val="CH5BulletList"/>
      </w:pPr>
      <w:r w:rsidRPr="00D33008">
        <w:rPr>
          <w:b/>
          <w:bCs/>
        </w:rPr>
        <w:t xml:space="preserve">Economic potential </w:t>
      </w:r>
      <w:r w:rsidRPr="00D33008">
        <w:t xml:space="preserve">refers to the subset of the technical potential that is economically cost-effective. Definition of “economic potential” can vary to some degree by study. Some estimate economic potential by evaluating technology upfront cost, operating </w:t>
      </w:r>
      <w:r w:rsidRPr="00D33008">
        <w:lastRenderedPageBreak/>
        <w:t>costs that considers energy prices, product lifetime and discount rate, compared to a conventional alternative or the supply-side energy resources. Others incorporate consideration of consumer preferences in addition to consumers’ out-of-pocket expenditure when evaluating the economic potential. Both technical and economic potential estimates assume immediate implementation of efficiency measures without regard to technology adoption process or real-life program implementation. In addition, these estimates do not always reflect market failures or barriers that impede</w:t>
      </w:r>
      <w:r>
        <w:t xml:space="preserve"> EE</w:t>
      </w:r>
      <w:r w:rsidRPr="00D33008">
        <w:t xml:space="preserve"> and often fail to capture transaction costs (e.g., administration, marketing, analysis,</w:t>
      </w:r>
      <w:r w:rsidRPr="00D33008" w:rsidDel="004D75B6">
        <w:t xml:space="preserve"> </w:t>
      </w:r>
      <w:r w:rsidRPr="00D33008">
        <w:t xml:space="preserve">etc.) beyond the costs of efficiency measures. </w:t>
      </w:r>
      <w:r>
        <w:t>Another key factor determining economic potential is the level of aggregation at which the cost-effectiveness evaluation is applied. Applying the cost test at lower levels of aggregation (e.g., at the measure or program level, rather than the sector level) will typically lead to lower economic potential when evaluating a portfolio of programs.</w:t>
      </w:r>
    </w:p>
    <w:p w14:paraId="3501706D" w14:textId="77777777" w:rsidR="00810FAC" w:rsidRPr="00D33008" w:rsidRDefault="00810FAC" w:rsidP="00810FAC">
      <w:pPr>
        <w:pStyle w:val="CH5BulletList"/>
      </w:pPr>
      <w:r w:rsidRPr="00D33008">
        <w:rPr>
          <w:b/>
          <w:bCs/>
        </w:rPr>
        <w:t>Market potential (or “achievable” potential</w:t>
      </w:r>
      <w:r w:rsidRPr="00D33008">
        <w:rPr>
          <w:bCs/>
        </w:rPr>
        <w:t xml:space="preserve">) refers to the subset of economic potential that </w:t>
      </w:r>
      <w:r w:rsidRPr="00D33008">
        <w:t>reflects the estimated amount of energy savings that can realistically be achieved, taking into account factors such as technology adoption process, market failures or barriers that inhibit technology adoption, transaction costs, consumer preferences, social and institutional constraints, and possibly the capability of programs and administrators to ramp up program activity over time.</w:t>
      </w:r>
    </w:p>
    <w:p w14:paraId="1342C5AA" w14:textId="77777777" w:rsidR="00810FAC" w:rsidRPr="00D33008" w:rsidRDefault="00810FAC" w:rsidP="00810FAC">
      <w:pPr>
        <w:pStyle w:val="CH5BulletListlast"/>
      </w:pPr>
      <w:r w:rsidRPr="00D33008">
        <w:rPr>
          <w:b/>
        </w:rPr>
        <w:t xml:space="preserve">Program potential </w:t>
      </w:r>
      <w:r w:rsidRPr="00D33008">
        <w:t>refers to the subset of market potential that can be realized given specific program funding levels and designs. Program potential studies can consider scenarios ranging from a single program to a full portfolio of programs.</w:t>
      </w:r>
      <w:r w:rsidRPr="00D33008">
        <w:rPr>
          <w:rStyle w:val="FootnoteReference"/>
          <w:rFonts w:eastAsia="Calibri"/>
          <w:color w:val="000000"/>
          <w:szCs w:val="24"/>
        </w:rPr>
        <w:footnoteReference w:id="18"/>
      </w:r>
      <w:r w:rsidRPr="00D33008">
        <w:t xml:space="preserve"> </w:t>
      </w:r>
    </w:p>
    <w:p w14:paraId="03A5C9DA" w14:textId="77777777" w:rsidR="00810FAC" w:rsidRPr="00D33008" w:rsidRDefault="00810FAC" w:rsidP="00810FAC">
      <w:pPr>
        <w:pStyle w:val="CH5BodyText"/>
      </w:pPr>
      <w:r w:rsidRPr="00D33008">
        <w:t xml:space="preserve">As mentioned, the EE industry standard for potential studies is the bottom-up, engineering evaluation of </w:t>
      </w:r>
      <w:r>
        <w:t>EE</w:t>
      </w:r>
      <w:r w:rsidRPr="00D33008">
        <w:t xml:space="preserve"> potential of individual end-use technologies and measures</w:t>
      </w:r>
      <w:r>
        <w:t xml:space="preserve"> (EPA and DOE 2007a)</w:t>
      </w:r>
      <w:r w:rsidRPr="00D33008">
        <w:t xml:space="preserve">. Bottom-up analyses all employ a similar methodology but can vary significantly in key assumptions (e.g., breadth of sectors and end-uses considered, </w:t>
      </w:r>
      <w:r>
        <w:t xml:space="preserve">aggregation level at which cost tests are applied, </w:t>
      </w:r>
      <w:r w:rsidRPr="00D33008">
        <w:t xml:space="preserve">study period, discount rate, pattern of technology penetration, whether economically justified early replacement of technologies is allowed for, and </w:t>
      </w:r>
      <w:r w:rsidRPr="00D33008">
        <w:lastRenderedPageBreak/>
        <w:t>whether continued improvement in efficiency of technology is provided for). As a result, estimated efficiency potential can vary significantly among studies.</w:t>
      </w:r>
      <w:r w:rsidRPr="00D33008">
        <w:rPr>
          <w:vertAlign w:val="superscript"/>
        </w:rPr>
        <w:footnoteReference w:id="19"/>
      </w:r>
    </w:p>
    <w:p w14:paraId="0A3D616D" w14:textId="77777777" w:rsidR="00810FAC" w:rsidRPr="00D33008" w:rsidRDefault="00810FAC" w:rsidP="009148E2">
      <w:pPr>
        <w:pStyle w:val="Heading4"/>
      </w:pPr>
      <w:bookmarkStart w:id="40" w:name="_Toc424721546"/>
      <w:r w:rsidRPr="00D33008">
        <w:t>Overview of Results</w:t>
      </w:r>
      <w:bookmarkEnd w:id="40"/>
    </w:p>
    <w:p w14:paraId="6FCF5309" w14:textId="10556CE8" w:rsidR="00810FAC" w:rsidRDefault="00810FAC" w:rsidP="004448A6">
      <w:pPr>
        <w:pStyle w:val="CH5BodyText"/>
      </w:pPr>
      <w:r>
        <w:t xml:space="preserve">EE potential studies have been conducted for decades and in recent years numerous studies have been </w:t>
      </w:r>
      <w:r w:rsidRPr="00D33008">
        <w:t>conducted at</w:t>
      </w:r>
      <w:r>
        <w:t xml:space="preserve"> </w:t>
      </w:r>
      <w:r w:rsidRPr="00D33008">
        <w:t>utility</w:t>
      </w:r>
      <w:r>
        <w:t>, state, regional, and national</w:t>
      </w:r>
      <w:r w:rsidRPr="00D33008">
        <w:t xml:space="preserve"> levels. This section </w:t>
      </w:r>
      <w:r>
        <w:t>presents a summary of more than 50 recent studies (2009 through 2014) collected by EPA. Further detail on the collection of studies is provided in Appendix 1, including a database of study sources and results. Studies were identified by reviewing three recent meta-studies (Sreedharan 2013; ACEEE 2014b; and EPA 2014a) and supplementing those reviewed studies with more recent or overlooked studies. By focusing on studies conducted after 2008, the potentially significant effects of the lighting provisions of the Energy Independence and Security Act of 2007 (</w:t>
      </w:r>
      <w:r w:rsidR="004E4EA4">
        <w:t>Congress</w:t>
      </w:r>
      <w:r>
        <w:t xml:space="preserve"> 2007) are accounted for. The collected studies cover all major end-use sectors (residential, commercial and industrial) and all regions of the U.S.</w:t>
      </w:r>
    </w:p>
    <w:p w14:paraId="7FB16232" w14:textId="384F83B2" w:rsidR="00810FAC" w:rsidRDefault="00810FAC" w:rsidP="00810FAC">
      <w:pPr>
        <w:pStyle w:val="CH5BodyText"/>
      </w:pPr>
      <w:r w:rsidRPr="00D33008">
        <w:t xml:space="preserve">To normalize results of analyses addressing different study periods, we present average annual achievable potential by dividing cumulative percentage savings in the last year of the study by the duration (in years) of the study period. This is a common method of normalization for </w:t>
      </w:r>
      <w:r>
        <w:t>EE</w:t>
      </w:r>
      <w:r w:rsidRPr="00D33008">
        <w:t xml:space="preserve"> potential studies</w:t>
      </w:r>
      <w:r>
        <w:t xml:space="preserve"> and allows for comparison with results from the EPA’s demand-side EE plan scenario later in this chapter (section 8)</w:t>
      </w:r>
      <w:r w:rsidRPr="000015BD">
        <w:t xml:space="preserve"> </w:t>
      </w:r>
      <w:r>
        <w:t>(Sreedharan 2013; ACEEE 2008, 2014b)</w:t>
      </w:r>
      <w:r w:rsidRPr="00D33008">
        <w:t>.</w:t>
      </w:r>
      <w:r>
        <w:t xml:space="preserve"> Many studies provided multiple estimates of achievable potential. Some studies use the terms “high,” “medium” and “low” achievable potential, while others used terms such as “high achievable” and “achievable” potential or, in some cases “achievable” and “programmatic” potential. For studies that provided multiple levels of achievable potential, the highest value was classified as high potential and the lowest value was classified as low potential. If a study provided just a single value, it was used as both the high and low potential value for that study. In many instances, low potential values in the studies were arrived at using assumptions of limited budgets or other limiting factors. To be conservative, the EPA has included these low values but </w:t>
      </w:r>
      <w:r>
        <w:lastRenderedPageBreak/>
        <w:t xml:space="preserve">generally consider the high achievable values to be the more appropriate point of comparison in evaluating the magnitude and timing of savings represented in the illustrative EE plan scenario. </w:t>
      </w:r>
    </w:p>
    <w:p w14:paraId="531127F3" w14:textId="77777777" w:rsidR="00810FAC" w:rsidRPr="00D33008" w:rsidRDefault="00810FAC" w:rsidP="00810FAC">
      <w:pPr>
        <w:pStyle w:val="CH5BodyText"/>
      </w:pPr>
      <w:r w:rsidRPr="003F01E1">
        <w:t xml:space="preserve">Table </w:t>
      </w:r>
      <w:r w:rsidRPr="00196931">
        <w:t>6</w:t>
      </w:r>
      <w:r w:rsidRPr="003F01E1">
        <w:t xml:space="preserve"> provides</w:t>
      </w:r>
      <w:r>
        <w:t xml:space="preserve"> summary results of EPA’s review of recent EE potential studies. Across all sectors for all studies, average annual achievable potential ranges from 0.9% to 1.3% per year for low to high potential estimates, respectively. Results vary between end-use sectors with the industrial sector showing less potential than residential and commercial sectors. Results for all sectors indicate very substantial opportunity for achievable EE savings.</w:t>
      </w:r>
    </w:p>
    <w:p w14:paraId="543684FF" w14:textId="5D7C2332" w:rsidR="00810FAC" w:rsidRPr="00557C39" w:rsidRDefault="00810FAC" w:rsidP="004448A6">
      <w:pPr>
        <w:pStyle w:val="CH5TableTitle"/>
        <w:rPr>
          <w:rFonts w:eastAsia="Calibri"/>
        </w:rPr>
      </w:pPr>
      <w:bookmarkStart w:id="41" w:name="_Toc424720256"/>
      <w:r w:rsidRPr="003F01E1">
        <w:rPr>
          <w:rFonts w:eastAsia="Calibri"/>
        </w:rPr>
        <w:t>T</w:t>
      </w:r>
      <w:r>
        <w:rPr>
          <w:rFonts w:eastAsia="Calibri"/>
        </w:rPr>
        <w:t>able</w:t>
      </w:r>
      <w:r w:rsidRPr="003F01E1">
        <w:rPr>
          <w:rFonts w:eastAsia="Calibri"/>
        </w:rPr>
        <w:t xml:space="preserve"> </w:t>
      </w:r>
      <w:r w:rsidRPr="00196931">
        <w:rPr>
          <w:rFonts w:eastAsia="Calibri"/>
        </w:rPr>
        <w:t>6</w:t>
      </w:r>
      <w:r w:rsidRPr="003F01E1">
        <w:rPr>
          <w:rFonts w:eastAsia="Calibri"/>
        </w:rPr>
        <w:t>.</w:t>
      </w:r>
      <w:r w:rsidRPr="00557C39">
        <w:rPr>
          <w:rFonts w:eastAsia="Calibri"/>
        </w:rPr>
        <w:t xml:space="preserve"> Summary of </w:t>
      </w:r>
      <w:r>
        <w:rPr>
          <w:rFonts w:eastAsia="Calibri"/>
        </w:rPr>
        <w:t>EE</w:t>
      </w:r>
      <w:r w:rsidRPr="00557C39">
        <w:rPr>
          <w:rFonts w:eastAsia="Calibri"/>
        </w:rPr>
        <w:t xml:space="preserve"> Potential Studies (2009 to 2014)</w:t>
      </w:r>
      <w:r>
        <w:rPr>
          <w:rStyle w:val="FootnoteReference"/>
          <w:rFonts w:eastAsia="Calibri"/>
        </w:rPr>
        <w:footnoteReference w:id="20"/>
      </w:r>
      <w:bookmarkEnd w:id="41"/>
    </w:p>
    <w:tbl>
      <w:tblPr>
        <w:tblStyle w:val="TableGrid"/>
        <w:tblW w:w="0" w:type="auto"/>
        <w:tblLook w:val="04A0" w:firstRow="1" w:lastRow="0" w:firstColumn="1" w:lastColumn="0" w:noHBand="0" w:noVBand="1"/>
      </w:tblPr>
      <w:tblGrid>
        <w:gridCol w:w="1558"/>
        <w:gridCol w:w="1926"/>
        <w:gridCol w:w="1927"/>
        <w:gridCol w:w="1927"/>
        <w:gridCol w:w="1927"/>
      </w:tblGrid>
      <w:tr w:rsidR="00810FAC" w:rsidRPr="00033F3D" w14:paraId="42D25265" w14:textId="77777777" w:rsidTr="00810FAC">
        <w:tc>
          <w:tcPr>
            <w:tcW w:w="1558" w:type="dxa"/>
            <w:vMerge w:val="restart"/>
            <w:shd w:val="clear" w:color="auto" w:fill="D9D9D9" w:themeFill="background1" w:themeFillShade="D9"/>
            <w:vAlign w:val="bottom"/>
          </w:tcPr>
          <w:p w14:paraId="4A98FDCF" w14:textId="77777777" w:rsidR="00810FAC" w:rsidRPr="005753E4" w:rsidRDefault="00810FAC" w:rsidP="005753E4">
            <w:pPr>
              <w:pStyle w:val="TableText"/>
              <w:rPr>
                <w:b/>
              </w:rPr>
            </w:pPr>
            <w:r w:rsidRPr="005753E4">
              <w:rPr>
                <w:b/>
              </w:rPr>
              <w:t>Sector</w:t>
            </w:r>
          </w:p>
        </w:tc>
        <w:tc>
          <w:tcPr>
            <w:tcW w:w="7707" w:type="dxa"/>
            <w:gridSpan w:val="4"/>
            <w:shd w:val="clear" w:color="auto" w:fill="D9D9D9" w:themeFill="background1" w:themeFillShade="D9"/>
            <w:vAlign w:val="center"/>
          </w:tcPr>
          <w:p w14:paraId="6A4DB980" w14:textId="77777777" w:rsidR="00810FAC" w:rsidRPr="005753E4" w:rsidRDefault="00810FAC" w:rsidP="005753E4">
            <w:pPr>
              <w:pStyle w:val="TableText"/>
              <w:rPr>
                <w:b/>
              </w:rPr>
            </w:pPr>
            <w:r w:rsidRPr="005753E4">
              <w:rPr>
                <w:b/>
              </w:rPr>
              <w:t>Average Annual Achievable Potential (% per year)</w:t>
            </w:r>
          </w:p>
        </w:tc>
      </w:tr>
      <w:tr w:rsidR="00810FAC" w:rsidRPr="00033F3D" w14:paraId="0992CA6B" w14:textId="77777777" w:rsidTr="00810FAC">
        <w:tc>
          <w:tcPr>
            <w:tcW w:w="1558" w:type="dxa"/>
            <w:vMerge/>
            <w:shd w:val="clear" w:color="auto" w:fill="D9D9D9" w:themeFill="background1" w:themeFillShade="D9"/>
          </w:tcPr>
          <w:p w14:paraId="19AFBFF0" w14:textId="77777777" w:rsidR="00810FAC" w:rsidRPr="005753E4" w:rsidRDefault="00810FAC" w:rsidP="005753E4">
            <w:pPr>
              <w:pStyle w:val="TableText"/>
              <w:rPr>
                <w:b/>
              </w:rPr>
            </w:pPr>
          </w:p>
        </w:tc>
        <w:tc>
          <w:tcPr>
            <w:tcW w:w="3853" w:type="dxa"/>
            <w:gridSpan w:val="2"/>
            <w:shd w:val="clear" w:color="auto" w:fill="D9D9D9" w:themeFill="background1" w:themeFillShade="D9"/>
            <w:vAlign w:val="center"/>
          </w:tcPr>
          <w:p w14:paraId="06632C76" w14:textId="77777777" w:rsidR="00810FAC" w:rsidRPr="005753E4" w:rsidRDefault="00810FAC" w:rsidP="005753E4">
            <w:pPr>
              <w:pStyle w:val="TableText"/>
              <w:rPr>
                <w:b/>
              </w:rPr>
            </w:pPr>
            <w:r w:rsidRPr="005753E4">
              <w:rPr>
                <w:b/>
              </w:rPr>
              <w:t>High</w:t>
            </w:r>
          </w:p>
        </w:tc>
        <w:tc>
          <w:tcPr>
            <w:tcW w:w="3854" w:type="dxa"/>
            <w:gridSpan w:val="2"/>
            <w:shd w:val="clear" w:color="auto" w:fill="D9D9D9" w:themeFill="background1" w:themeFillShade="D9"/>
            <w:vAlign w:val="center"/>
          </w:tcPr>
          <w:p w14:paraId="25AD6F47" w14:textId="77777777" w:rsidR="00810FAC" w:rsidRPr="005753E4" w:rsidRDefault="00810FAC" w:rsidP="005753E4">
            <w:pPr>
              <w:pStyle w:val="TableText"/>
              <w:rPr>
                <w:b/>
              </w:rPr>
            </w:pPr>
            <w:r w:rsidRPr="005753E4">
              <w:rPr>
                <w:b/>
              </w:rPr>
              <w:t>Low</w:t>
            </w:r>
          </w:p>
        </w:tc>
      </w:tr>
      <w:tr w:rsidR="00810FAC" w:rsidRPr="00033F3D" w14:paraId="791CBB51" w14:textId="77777777" w:rsidTr="00810FAC">
        <w:tc>
          <w:tcPr>
            <w:tcW w:w="1558" w:type="dxa"/>
            <w:vMerge/>
            <w:shd w:val="clear" w:color="auto" w:fill="D9D9D9" w:themeFill="background1" w:themeFillShade="D9"/>
            <w:vAlign w:val="center"/>
          </w:tcPr>
          <w:p w14:paraId="5F6C1341" w14:textId="77777777" w:rsidR="00810FAC" w:rsidRPr="005753E4" w:rsidRDefault="00810FAC" w:rsidP="005753E4">
            <w:pPr>
              <w:pStyle w:val="TableText"/>
              <w:rPr>
                <w:b/>
              </w:rPr>
            </w:pPr>
          </w:p>
        </w:tc>
        <w:tc>
          <w:tcPr>
            <w:tcW w:w="1926" w:type="dxa"/>
            <w:shd w:val="clear" w:color="auto" w:fill="D9D9D9" w:themeFill="background1" w:themeFillShade="D9"/>
            <w:vAlign w:val="center"/>
          </w:tcPr>
          <w:p w14:paraId="502BA125" w14:textId="77777777" w:rsidR="00810FAC" w:rsidRPr="005753E4" w:rsidRDefault="00810FAC" w:rsidP="005753E4">
            <w:pPr>
              <w:pStyle w:val="TableText"/>
              <w:rPr>
                <w:b/>
              </w:rPr>
            </w:pPr>
            <w:r w:rsidRPr="005753E4">
              <w:rPr>
                <w:b/>
              </w:rPr>
              <w:t>Median</w:t>
            </w:r>
          </w:p>
        </w:tc>
        <w:tc>
          <w:tcPr>
            <w:tcW w:w="1927" w:type="dxa"/>
            <w:shd w:val="clear" w:color="auto" w:fill="D9D9D9" w:themeFill="background1" w:themeFillShade="D9"/>
            <w:vAlign w:val="center"/>
          </w:tcPr>
          <w:p w14:paraId="34D1DDF0" w14:textId="77777777" w:rsidR="00810FAC" w:rsidRPr="005753E4" w:rsidRDefault="00810FAC" w:rsidP="005753E4">
            <w:pPr>
              <w:pStyle w:val="TableText"/>
              <w:rPr>
                <w:b/>
              </w:rPr>
            </w:pPr>
            <w:r w:rsidRPr="005753E4">
              <w:rPr>
                <w:b/>
              </w:rPr>
              <w:t>Mean</w:t>
            </w:r>
          </w:p>
        </w:tc>
        <w:tc>
          <w:tcPr>
            <w:tcW w:w="1927" w:type="dxa"/>
            <w:shd w:val="clear" w:color="auto" w:fill="D9D9D9" w:themeFill="background1" w:themeFillShade="D9"/>
            <w:vAlign w:val="center"/>
          </w:tcPr>
          <w:p w14:paraId="723BFD54" w14:textId="77777777" w:rsidR="00810FAC" w:rsidRPr="005753E4" w:rsidRDefault="00810FAC" w:rsidP="005753E4">
            <w:pPr>
              <w:pStyle w:val="TableText"/>
              <w:rPr>
                <w:b/>
              </w:rPr>
            </w:pPr>
            <w:r w:rsidRPr="005753E4">
              <w:rPr>
                <w:b/>
              </w:rPr>
              <w:t>Median</w:t>
            </w:r>
          </w:p>
        </w:tc>
        <w:tc>
          <w:tcPr>
            <w:tcW w:w="1927" w:type="dxa"/>
            <w:shd w:val="clear" w:color="auto" w:fill="D9D9D9" w:themeFill="background1" w:themeFillShade="D9"/>
            <w:vAlign w:val="center"/>
          </w:tcPr>
          <w:p w14:paraId="027261C0" w14:textId="77777777" w:rsidR="00810FAC" w:rsidRPr="005753E4" w:rsidRDefault="00810FAC" w:rsidP="005753E4">
            <w:pPr>
              <w:pStyle w:val="TableText"/>
              <w:rPr>
                <w:b/>
              </w:rPr>
            </w:pPr>
            <w:r w:rsidRPr="005753E4">
              <w:rPr>
                <w:b/>
              </w:rPr>
              <w:t>Mean</w:t>
            </w:r>
          </w:p>
        </w:tc>
      </w:tr>
      <w:tr w:rsidR="00810FAC" w:rsidRPr="00033F3D" w14:paraId="664A945C" w14:textId="77777777" w:rsidTr="00810FAC">
        <w:tc>
          <w:tcPr>
            <w:tcW w:w="1558" w:type="dxa"/>
            <w:vAlign w:val="center"/>
          </w:tcPr>
          <w:p w14:paraId="5E4B17F3" w14:textId="77777777" w:rsidR="00810FAC" w:rsidRPr="00033F3D" w:rsidRDefault="00810FAC" w:rsidP="005753E4">
            <w:pPr>
              <w:pStyle w:val="TableText"/>
            </w:pPr>
            <w:r w:rsidRPr="00033F3D">
              <w:t>Residential</w:t>
            </w:r>
          </w:p>
        </w:tc>
        <w:tc>
          <w:tcPr>
            <w:tcW w:w="1926" w:type="dxa"/>
            <w:vAlign w:val="center"/>
          </w:tcPr>
          <w:p w14:paraId="01E2AA0F" w14:textId="77777777" w:rsidR="00810FAC" w:rsidRPr="005753E4" w:rsidRDefault="00810FAC" w:rsidP="005753E4">
            <w:pPr>
              <w:pStyle w:val="TableText"/>
            </w:pPr>
            <w:r w:rsidRPr="005753E4">
              <w:t>1.0%/year</w:t>
            </w:r>
          </w:p>
        </w:tc>
        <w:tc>
          <w:tcPr>
            <w:tcW w:w="1927" w:type="dxa"/>
            <w:vAlign w:val="center"/>
          </w:tcPr>
          <w:p w14:paraId="6FA2C0B0" w14:textId="77777777" w:rsidR="00810FAC" w:rsidRPr="005753E4" w:rsidRDefault="00810FAC" w:rsidP="005753E4">
            <w:pPr>
              <w:pStyle w:val="TableText"/>
            </w:pPr>
            <w:r w:rsidRPr="005753E4">
              <w:t>1.2%/year</w:t>
            </w:r>
          </w:p>
        </w:tc>
        <w:tc>
          <w:tcPr>
            <w:tcW w:w="1927" w:type="dxa"/>
            <w:vAlign w:val="center"/>
          </w:tcPr>
          <w:p w14:paraId="51C70578" w14:textId="77777777" w:rsidR="00810FAC" w:rsidRPr="005753E4" w:rsidRDefault="00810FAC" w:rsidP="005753E4">
            <w:pPr>
              <w:pStyle w:val="TableText"/>
            </w:pPr>
            <w:r w:rsidRPr="005753E4">
              <w:t>0.7%/year</w:t>
            </w:r>
          </w:p>
        </w:tc>
        <w:tc>
          <w:tcPr>
            <w:tcW w:w="1927" w:type="dxa"/>
            <w:vAlign w:val="center"/>
          </w:tcPr>
          <w:p w14:paraId="5B299BCB" w14:textId="77777777" w:rsidR="00810FAC" w:rsidRPr="005753E4" w:rsidRDefault="00810FAC" w:rsidP="005753E4">
            <w:pPr>
              <w:pStyle w:val="TableText"/>
            </w:pPr>
            <w:r w:rsidRPr="005753E4">
              <w:t>0.8%/year</w:t>
            </w:r>
          </w:p>
        </w:tc>
      </w:tr>
      <w:tr w:rsidR="00810FAC" w:rsidRPr="00033F3D" w14:paraId="0A852A82" w14:textId="77777777" w:rsidTr="00810FAC">
        <w:tc>
          <w:tcPr>
            <w:tcW w:w="1558" w:type="dxa"/>
            <w:vAlign w:val="center"/>
          </w:tcPr>
          <w:p w14:paraId="562A708D" w14:textId="77777777" w:rsidR="00810FAC" w:rsidRPr="00033F3D" w:rsidRDefault="00810FAC" w:rsidP="005753E4">
            <w:pPr>
              <w:pStyle w:val="TableText"/>
            </w:pPr>
            <w:r w:rsidRPr="00033F3D">
              <w:t>Commercial</w:t>
            </w:r>
          </w:p>
        </w:tc>
        <w:tc>
          <w:tcPr>
            <w:tcW w:w="1926" w:type="dxa"/>
            <w:vAlign w:val="center"/>
          </w:tcPr>
          <w:p w14:paraId="352CB6FA" w14:textId="77777777" w:rsidR="00810FAC" w:rsidRPr="005753E4" w:rsidRDefault="00810FAC" w:rsidP="005753E4">
            <w:pPr>
              <w:pStyle w:val="TableText"/>
            </w:pPr>
            <w:r w:rsidRPr="005753E4">
              <w:t>1.3%/year</w:t>
            </w:r>
          </w:p>
        </w:tc>
        <w:tc>
          <w:tcPr>
            <w:tcW w:w="1927" w:type="dxa"/>
            <w:vAlign w:val="center"/>
          </w:tcPr>
          <w:p w14:paraId="0F7461ED" w14:textId="77777777" w:rsidR="00810FAC" w:rsidRPr="005753E4" w:rsidRDefault="00810FAC" w:rsidP="005753E4">
            <w:pPr>
              <w:pStyle w:val="TableText"/>
            </w:pPr>
            <w:r w:rsidRPr="005753E4">
              <w:t>1.3%/year</w:t>
            </w:r>
          </w:p>
        </w:tc>
        <w:tc>
          <w:tcPr>
            <w:tcW w:w="1927" w:type="dxa"/>
            <w:vAlign w:val="center"/>
          </w:tcPr>
          <w:p w14:paraId="7EDD710C" w14:textId="77777777" w:rsidR="00810FAC" w:rsidRPr="005753E4" w:rsidRDefault="00810FAC" w:rsidP="005753E4">
            <w:pPr>
              <w:pStyle w:val="TableText"/>
            </w:pPr>
            <w:r w:rsidRPr="005753E4">
              <w:t>0.8%/year</w:t>
            </w:r>
          </w:p>
        </w:tc>
        <w:tc>
          <w:tcPr>
            <w:tcW w:w="1927" w:type="dxa"/>
            <w:vAlign w:val="center"/>
          </w:tcPr>
          <w:p w14:paraId="1046E328" w14:textId="77777777" w:rsidR="00810FAC" w:rsidRPr="005753E4" w:rsidRDefault="00810FAC" w:rsidP="005753E4">
            <w:pPr>
              <w:pStyle w:val="TableText"/>
            </w:pPr>
            <w:r w:rsidRPr="005753E4">
              <w:t>0.9%/year</w:t>
            </w:r>
          </w:p>
        </w:tc>
      </w:tr>
      <w:tr w:rsidR="00810FAC" w:rsidRPr="00033F3D" w14:paraId="67CEAC87" w14:textId="77777777" w:rsidTr="00810FAC">
        <w:tc>
          <w:tcPr>
            <w:tcW w:w="1558" w:type="dxa"/>
            <w:vAlign w:val="center"/>
          </w:tcPr>
          <w:p w14:paraId="31BC80D0" w14:textId="77777777" w:rsidR="00810FAC" w:rsidRPr="00033F3D" w:rsidRDefault="00810FAC" w:rsidP="005753E4">
            <w:pPr>
              <w:pStyle w:val="TableText"/>
            </w:pPr>
            <w:r w:rsidRPr="00033F3D">
              <w:t>Industrial</w:t>
            </w:r>
          </w:p>
        </w:tc>
        <w:tc>
          <w:tcPr>
            <w:tcW w:w="1926" w:type="dxa"/>
            <w:vAlign w:val="center"/>
          </w:tcPr>
          <w:p w14:paraId="27A67F42" w14:textId="77777777" w:rsidR="00810FAC" w:rsidRPr="005753E4" w:rsidRDefault="00810FAC" w:rsidP="005753E4">
            <w:pPr>
              <w:pStyle w:val="TableText"/>
            </w:pPr>
            <w:r w:rsidRPr="005753E4">
              <w:t>0.9%/year</w:t>
            </w:r>
          </w:p>
        </w:tc>
        <w:tc>
          <w:tcPr>
            <w:tcW w:w="1927" w:type="dxa"/>
            <w:vAlign w:val="center"/>
          </w:tcPr>
          <w:p w14:paraId="396CDCB2" w14:textId="77777777" w:rsidR="00810FAC" w:rsidRPr="005753E4" w:rsidRDefault="00810FAC" w:rsidP="005753E4">
            <w:pPr>
              <w:pStyle w:val="TableText"/>
            </w:pPr>
            <w:r w:rsidRPr="005753E4">
              <w:t>1.0%/year</w:t>
            </w:r>
          </w:p>
        </w:tc>
        <w:tc>
          <w:tcPr>
            <w:tcW w:w="1927" w:type="dxa"/>
            <w:vAlign w:val="center"/>
          </w:tcPr>
          <w:p w14:paraId="205B6AB6" w14:textId="77777777" w:rsidR="00810FAC" w:rsidRPr="005753E4" w:rsidRDefault="00810FAC" w:rsidP="005753E4">
            <w:pPr>
              <w:pStyle w:val="TableText"/>
            </w:pPr>
            <w:r w:rsidRPr="005753E4">
              <w:t>0.5%/year</w:t>
            </w:r>
          </w:p>
        </w:tc>
        <w:tc>
          <w:tcPr>
            <w:tcW w:w="1927" w:type="dxa"/>
            <w:vAlign w:val="center"/>
          </w:tcPr>
          <w:p w14:paraId="6E199DFC" w14:textId="77777777" w:rsidR="00810FAC" w:rsidRPr="005753E4" w:rsidRDefault="00810FAC" w:rsidP="005753E4">
            <w:pPr>
              <w:pStyle w:val="TableText"/>
            </w:pPr>
            <w:r w:rsidRPr="005753E4">
              <w:t>0.7%/year</w:t>
            </w:r>
          </w:p>
        </w:tc>
      </w:tr>
      <w:tr w:rsidR="00810FAC" w:rsidRPr="00033F3D" w14:paraId="40AC8790" w14:textId="77777777" w:rsidTr="00810FAC">
        <w:tc>
          <w:tcPr>
            <w:tcW w:w="1558" w:type="dxa"/>
            <w:shd w:val="clear" w:color="auto" w:fill="D9D9D9" w:themeFill="background1" w:themeFillShade="D9"/>
            <w:vAlign w:val="center"/>
          </w:tcPr>
          <w:p w14:paraId="7EBDAB1A" w14:textId="77777777" w:rsidR="00810FAC" w:rsidRPr="00033F3D" w:rsidRDefault="00810FAC" w:rsidP="005753E4">
            <w:pPr>
              <w:pStyle w:val="TableText"/>
            </w:pPr>
            <w:r w:rsidRPr="00033F3D">
              <w:t>All</w:t>
            </w:r>
          </w:p>
        </w:tc>
        <w:tc>
          <w:tcPr>
            <w:tcW w:w="1926" w:type="dxa"/>
            <w:shd w:val="clear" w:color="auto" w:fill="D9D9D9" w:themeFill="background1" w:themeFillShade="D9"/>
            <w:vAlign w:val="center"/>
          </w:tcPr>
          <w:p w14:paraId="4D5A1282" w14:textId="77777777" w:rsidR="00810FAC" w:rsidRPr="005753E4" w:rsidRDefault="00810FAC" w:rsidP="005753E4">
            <w:pPr>
              <w:pStyle w:val="TableText"/>
            </w:pPr>
            <w:r w:rsidRPr="005753E4">
              <w:t>1.3%/year</w:t>
            </w:r>
          </w:p>
        </w:tc>
        <w:tc>
          <w:tcPr>
            <w:tcW w:w="1927" w:type="dxa"/>
            <w:shd w:val="clear" w:color="auto" w:fill="D9D9D9" w:themeFill="background1" w:themeFillShade="D9"/>
            <w:vAlign w:val="center"/>
          </w:tcPr>
          <w:p w14:paraId="1384EE0E" w14:textId="77777777" w:rsidR="00810FAC" w:rsidRPr="005753E4" w:rsidRDefault="00810FAC" w:rsidP="005753E4">
            <w:pPr>
              <w:pStyle w:val="TableText"/>
            </w:pPr>
            <w:r w:rsidRPr="005753E4">
              <w:t>1.2%/year</w:t>
            </w:r>
          </w:p>
        </w:tc>
        <w:tc>
          <w:tcPr>
            <w:tcW w:w="1927" w:type="dxa"/>
            <w:shd w:val="clear" w:color="auto" w:fill="D9D9D9" w:themeFill="background1" w:themeFillShade="D9"/>
            <w:vAlign w:val="center"/>
          </w:tcPr>
          <w:p w14:paraId="6DAD46FB" w14:textId="77777777" w:rsidR="00810FAC" w:rsidRPr="005753E4" w:rsidRDefault="00810FAC" w:rsidP="005753E4">
            <w:pPr>
              <w:pStyle w:val="TableText"/>
            </w:pPr>
            <w:r w:rsidRPr="005753E4">
              <w:t>0.9%/year</w:t>
            </w:r>
          </w:p>
        </w:tc>
        <w:tc>
          <w:tcPr>
            <w:tcW w:w="1927" w:type="dxa"/>
            <w:shd w:val="clear" w:color="auto" w:fill="D9D9D9" w:themeFill="background1" w:themeFillShade="D9"/>
            <w:vAlign w:val="center"/>
          </w:tcPr>
          <w:p w14:paraId="2B88F85B" w14:textId="77777777" w:rsidR="00810FAC" w:rsidRPr="005753E4" w:rsidRDefault="00810FAC" w:rsidP="005753E4">
            <w:pPr>
              <w:pStyle w:val="TableText"/>
            </w:pPr>
            <w:r w:rsidRPr="005753E4">
              <w:t>0.9%/year</w:t>
            </w:r>
          </w:p>
        </w:tc>
      </w:tr>
    </w:tbl>
    <w:p w14:paraId="35D9643F" w14:textId="7E5F25B4" w:rsidR="00810FAC" w:rsidRPr="00196931" w:rsidRDefault="00810FAC" w:rsidP="00CF0D49">
      <w:pPr>
        <w:pStyle w:val="CH5TableSource"/>
      </w:pPr>
      <w:r w:rsidRPr="00196931">
        <w:t>Source: Appendix 1</w:t>
      </w:r>
    </w:p>
    <w:p w14:paraId="6FE7A2EB" w14:textId="77777777" w:rsidR="00810FAC" w:rsidRPr="00D33008" w:rsidRDefault="00810FAC" w:rsidP="009148E2">
      <w:pPr>
        <w:pStyle w:val="Heading2"/>
      </w:pPr>
      <w:bookmarkStart w:id="42" w:name="_Toc424675661"/>
      <w:bookmarkStart w:id="43" w:name="_Toc424721547"/>
      <w:r w:rsidRPr="00D33008">
        <w:t>Costs and Cost-Effectiveness of State EE Policies</w:t>
      </w:r>
      <w:bookmarkEnd w:id="42"/>
      <w:bookmarkEnd w:id="43"/>
    </w:p>
    <w:p w14:paraId="24621000" w14:textId="77777777" w:rsidR="00810FAC" w:rsidRPr="00D33008" w:rsidRDefault="00810FAC" w:rsidP="009148E2">
      <w:pPr>
        <w:pStyle w:val="Heading3"/>
      </w:pPr>
      <w:bookmarkStart w:id="44" w:name="_Toc424721548"/>
      <w:r w:rsidRPr="00D33008">
        <w:t>EE Cost-Effectiveness</w:t>
      </w:r>
      <w:bookmarkEnd w:id="44"/>
    </w:p>
    <w:p w14:paraId="610CA8F0" w14:textId="233663DA" w:rsidR="00810FAC" w:rsidRPr="00D33008" w:rsidRDefault="00810FAC" w:rsidP="00810FAC">
      <w:pPr>
        <w:pStyle w:val="CH5BodyText"/>
      </w:pPr>
      <w:r w:rsidRPr="00D33008">
        <w:t>States enact EE policies to meet multiple policy objectives including reduction of customer electricity bills, lower costs of meeting electricity supply needs, energy reduction, environment and health benefits, and local economic development benefits</w:t>
      </w:r>
      <w:r>
        <w:t xml:space="preserve"> (EPA and DOE 2006)</w:t>
      </w:r>
      <w:r w:rsidRPr="00D33008">
        <w:t xml:space="preserve">. Most states evaluate their EE policy options through the application of cost tests, weighing the projected benefits with the costs of the </w:t>
      </w:r>
      <w:r>
        <w:t>EE</w:t>
      </w:r>
      <w:r w:rsidRPr="00D33008">
        <w:t xml:space="preserve"> technologies and practices</w:t>
      </w:r>
      <w:r>
        <w:t xml:space="preserve"> (EPA and DOE 2008; RAP 2012)</w:t>
      </w:r>
      <w:r w:rsidRPr="00D33008">
        <w:t>.</w:t>
      </w:r>
      <w:r>
        <w:t xml:space="preserve"> </w:t>
      </w:r>
      <w:r w:rsidRPr="00D33008">
        <w:t xml:space="preserve">Each state determines their own policies for the specific costs and benefits to include in these tests. The costs and benefits are compared on an equal footing by using present value analysis. This is necessary because EE typically requires primarily upfront expenditures (e.g., a whole home retrofit) while the economic benefits (e.g., electricity bill savings) accrue over the life of the investment (“measure life”) which can range from a few to </w:t>
      </w:r>
      <w:r w:rsidRPr="00D33008">
        <w:lastRenderedPageBreak/>
        <w:t>twenty or more years. As such, the choice of discount rate and the estimation of measure life are significant determinants of the cost-effectiveness results. Most states employ multiple tests, adjusting cost and benefit categories depending upon the economic perspective of interest (e.g., utility, ratepayer, program participant, society), and consider the results from each one, usually with an identified primary test type. Policies that are selected are those that are found to be cost-effective, with benefits greater than costs, as determined by the utility applying methods defined by their state utility commission.</w:t>
      </w:r>
    </w:p>
    <w:p w14:paraId="3DB9F054" w14:textId="77777777" w:rsidR="00810FAC" w:rsidRPr="00D33008" w:rsidRDefault="00810FAC" w:rsidP="00810FAC">
      <w:pPr>
        <w:pStyle w:val="CH5BodyText"/>
      </w:pPr>
      <w:r w:rsidRPr="00D33008">
        <w:t>There are five primary cost-effective tests used in the U.S.:</w:t>
      </w:r>
    </w:p>
    <w:p w14:paraId="2145AAFF" w14:textId="77777777" w:rsidR="00810FAC" w:rsidRPr="00D33008" w:rsidRDefault="00810FAC" w:rsidP="00810FAC">
      <w:pPr>
        <w:pStyle w:val="CH5NumberedList1"/>
      </w:pPr>
      <w:r w:rsidRPr="00D33008">
        <w:rPr>
          <w:i/>
        </w:rPr>
        <w:t>Participant cost test</w:t>
      </w:r>
      <w:r w:rsidRPr="00D33008">
        <w:t xml:space="preserve"> from the perspective of the customer installing the measure. Costs may include incremental equipment and installation costs; benefits include incentive payments, bill savings, and applicable tax credits or incentives. </w:t>
      </w:r>
    </w:p>
    <w:p w14:paraId="08BDC25F" w14:textId="77777777" w:rsidR="00810FAC" w:rsidRPr="00D33008" w:rsidRDefault="00810FAC" w:rsidP="00810FAC">
      <w:pPr>
        <w:pStyle w:val="CH5NumberedList1"/>
      </w:pPr>
      <w:r w:rsidRPr="00D33008">
        <w:rPr>
          <w:i/>
        </w:rPr>
        <w:t>Utility/program administrator cost test</w:t>
      </w:r>
      <w:r w:rsidRPr="00D33008">
        <w:t xml:space="preserve"> from the perspective of utility, government agency or third-party implementing the program. Costs may include program incentive, installation, and overhead costs; benefits may include avoided energy and capacity costs - including generation, transmission and distribution - by the utility. </w:t>
      </w:r>
    </w:p>
    <w:p w14:paraId="72D65FCB" w14:textId="77777777" w:rsidR="00810FAC" w:rsidRPr="00D33008" w:rsidRDefault="00810FAC" w:rsidP="00810FAC">
      <w:pPr>
        <w:pStyle w:val="CH5NumberedList1"/>
      </w:pPr>
      <w:r w:rsidRPr="00D33008">
        <w:rPr>
          <w:i/>
        </w:rPr>
        <w:t>Ratepayer impact measure test</w:t>
      </w:r>
      <w:r w:rsidRPr="00D33008">
        <w:t xml:space="preserve"> from the perspective of utility ratepayers not participating in available </w:t>
      </w:r>
      <w:r>
        <w:t>EE</w:t>
      </w:r>
      <w:r w:rsidRPr="00D33008">
        <w:t xml:space="preserve"> programs. This text includes the costs and benefits that will affect utility rates, including program and administration costs, as well as “lost revenues” to the utility; benefits include avoided energy and capacity costs, and additional resource savings.</w:t>
      </w:r>
    </w:p>
    <w:p w14:paraId="2525F22C" w14:textId="77777777" w:rsidR="00810FAC" w:rsidRPr="00D33008" w:rsidRDefault="00810FAC" w:rsidP="00810FAC">
      <w:pPr>
        <w:pStyle w:val="CH5NumberedList1"/>
      </w:pPr>
      <w:r w:rsidRPr="004448A6">
        <w:rPr>
          <w:i/>
        </w:rPr>
        <w:t>Total resource cost test</w:t>
      </w:r>
      <w:r w:rsidRPr="00D33008">
        <w:t xml:space="preserve"> from the perspective of all utility customers in the service area. Costs may include the full incremental cost of the measure, program installation and overhead costs; benefits may include avoided energy and capacity costs, and additional resource savings.</w:t>
      </w:r>
    </w:p>
    <w:p w14:paraId="3BC84C8A" w14:textId="77777777" w:rsidR="00810FAC" w:rsidRPr="00D33008" w:rsidRDefault="00810FAC" w:rsidP="00810FAC">
      <w:pPr>
        <w:pStyle w:val="CH5NumberedList1"/>
      </w:pPr>
      <w:r w:rsidRPr="00D33008">
        <w:rPr>
          <w:i/>
        </w:rPr>
        <w:t>Societal cost test</w:t>
      </w:r>
      <w:r w:rsidRPr="00D33008">
        <w:t xml:space="preserve"> from the social perspective. In addition to benefits considered in total resource cost test, may also include non-monetized benefits such as environmental and health benefits. </w:t>
      </w:r>
    </w:p>
    <w:p w14:paraId="0E2D19B6" w14:textId="77777777" w:rsidR="00810FAC" w:rsidRPr="00D33008" w:rsidRDefault="00810FAC" w:rsidP="00810FAC">
      <w:pPr>
        <w:pStyle w:val="CH5BodyText"/>
      </w:pPr>
      <w:r w:rsidRPr="00D33008">
        <w:t xml:space="preserve">While many states consider more than one cost test in evaluating EE programs, the most commonly used (29 states) primary test is the total resources cost test. This test is considered to be the best measure of the interests of all utility customers. The utility and societal cost tests are </w:t>
      </w:r>
      <w:r w:rsidRPr="00D33008">
        <w:lastRenderedPageBreak/>
        <w:t xml:space="preserve">the next most commonly used primary tests, used by five states each. The utility cost test is considered to be the most comparable metric to compare with supply-side resource investments from a utility resource planning perspective. </w:t>
      </w:r>
    </w:p>
    <w:p w14:paraId="7AECF55B" w14:textId="77777777" w:rsidR="00810FAC" w:rsidRPr="00D33008" w:rsidRDefault="00810FAC" w:rsidP="009148E2">
      <w:pPr>
        <w:pStyle w:val="Heading3"/>
      </w:pPr>
      <w:bookmarkStart w:id="45" w:name="_Toc424721549"/>
      <w:r w:rsidRPr="00D33008">
        <w:t>Costs of Saved Energy</w:t>
      </w:r>
      <w:bookmarkEnd w:id="45"/>
    </w:p>
    <w:p w14:paraId="6F8D8BAF" w14:textId="0F323D8F" w:rsidR="00810FAC" w:rsidRPr="00D33008" w:rsidRDefault="00810FAC" w:rsidP="00810FAC">
      <w:pPr>
        <w:pStyle w:val="CH5BodyText"/>
      </w:pPr>
      <w:r w:rsidRPr="00D33008">
        <w:t>A common metric for comparing alternative electricity resource options within utility resource plans is the levelized cost of energy (LCOE) or, for EE resources, the levelized cost of saved energy (LCSE)</w:t>
      </w:r>
      <w:r>
        <w:t xml:space="preserve"> (EPA and DOE 2007b)</w:t>
      </w:r>
      <w:r w:rsidRPr="00D33008">
        <w:t>.</w:t>
      </w:r>
      <w:r w:rsidR="00303D9A">
        <w:rPr>
          <w:rStyle w:val="FootnoteReference"/>
        </w:rPr>
        <w:footnoteReference w:id="21"/>
      </w:r>
      <w:r w:rsidRPr="00D33008">
        <w:t xml:space="preserve"> LCSE EE is often compared favorably with LCOE of alternative new generation sources such as fossil-fueled or nuclear power plants, or renewable energy resources like wind or solar-power generation. In these comparisons, typically only utility (or program) costs are considered, not the total costs of saved energy that are discussed later in this chapter. The </w:t>
      </w:r>
      <w:r>
        <w:t>EE</w:t>
      </w:r>
      <w:r w:rsidRPr="00D33008">
        <w:t xml:space="preserve"> analysis literature reports average LCSE in the range of 1-6 cents/kWh based on program administrator </w:t>
      </w:r>
      <w:r w:rsidRPr="00D55F48">
        <w:t>cost.</w:t>
      </w:r>
      <w:r w:rsidRPr="00D55F48">
        <w:rPr>
          <w:vertAlign w:val="superscript"/>
        </w:rPr>
        <w:footnoteReference w:id="22"/>
      </w:r>
      <w:r w:rsidRPr="00D55F48">
        <w:t xml:space="preserve"> A recent review by ACEEE examined studies across 20 states between 2009 and 2012, and estimated LCSE for electricity EE programs in the range of 1.3-5.6 cents/kWh, with a mean value of 2.8 cents/kWh</w:t>
      </w:r>
      <w:r>
        <w:t xml:space="preserve"> (ACEEE 2014d)</w:t>
      </w:r>
      <w:r w:rsidRPr="00D55F48">
        <w:t xml:space="preserve">. Earlier reviews of utility EE programs identified a similar range of LCSE. </w:t>
      </w:r>
      <w:r>
        <w:t xml:space="preserve">In 2009 </w:t>
      </w:r>
      <w:r w:rsidRPr="00D55F48">
        <w:t>ACEEE reviewed 14 utility studies of LCSE and found a range from 1.6 to 3.3 cents/kWh, with a mean value of 2.5 cents/kWh</w:t>
      </w:r>
      <w:r>
        <w:t xml:space="preserve"> (ACEEE 2009)</w:t>
      </w:r>
      <w:r w:rsidRPr="00D55F48">
        <w:t>. An earlier ACEEE study reviewed cost-effectiveness analysis results in nine states and suggested that reported utility LCSE ranged between 2.3-4.4 cents/kWh, with a mean value of 3 cents/kWh</w:t>
      </w:r>
      <w:r>
        <w:t xml:space="preserve"> (ACEEE 2004)</w:t>
      </w:r>
      <w:r w:rsidRPr="00D55F48">
        <w:t>.</w:t>
      </w:r>
      <w:r>
        <w:t xml:space="preserve"> In 2014, an LBNL analyzed the program cost of saved energy based on data from their DSM Program Impacts Database. The database includes program results reported to state regulators by more than 100 program administrators in 31 state, primarily for the years 2009-2011 (LBNL 2014b). LBNL found a national average LCSE of 2.1 cents/kWh of gross savings.</w:t>
      </w:r>
    </w:p>
    <w:p w14:paraId="24349A82" w14:textId="592B7C46" w:rsidR="00810FAC" w:rsidRPr="00D33008" w:rsidRDefault="00810FAC" w:rsidP="00810FAC">
      <w:pPr>
        <w:pStyle w:val="CH5BodyText"/>
      </w:pPr>
      <w:r w:rsidRPr="00D33008">
        <w:t xml:space="preserve">The economic literature also evaluates the LCSE from EE measures using other techniques (e.g., econometrics, top-down modeling), although this body of studies is much smaller compared to the bottom-up, engineering-based analysis. The economic literature has varying treatment of the free ridership, EE program endogeneity, and the rebound effect. The </w:t>
      </w:r>
      <w:r w:rsidRPr="00D33008">
        <w:lastRenderedPageBreak/>
        <w:t xml:space="preserve">different assumptions used in these analyses make direct comparison challenging, but overall these empirical analyses present a wider range of estimates of cost of saved energy. For example, a </w:t>
      </w:r>
      <w:r>
        <w:t xml:space="preserve">2008 </w:t>
      </w:r>
      <w:r w:rsidRPr="00D33008">
        <w:t xml:space="preserve">study </w:t>
      </w:r>
      <w:r>
        <w:t>in the Energy Journal</w:t>
      </w:r>
      <w:r w:rsidRPr="00D33008">
        <w:t xml:space="preserve"> examining utility DSM programs estimated the average utility cost of saved energy in the range of 5.1 to 14.6 cents per kWh</w:t>
      </w:r>
      <w:r>
        <w:t xml:space="preserve"> (Auffhammer et al. 2008)</w:t>
      </w:r>
      <w:r w:rsidRPr="00D33008">
        <w:t>. Some other studies in the economic literature suggest estimated LCSE in a similar range as from the bottom-up analyses.</w:t>
      </w:r>
      <w:r>
        <w:t xml:space="preserve"> RFF</w:t>
      </w:r>
      <w:r w:rsidRPr="00D33008">
        <w:t xml:space="preserve"> </w:t>
      </w:r>
      <w:r w:rsidR="0056793C">
        <w:t>calculated</w:t>
      </w:r>
      <w:r w:rsidR="0056793C" w:rsidRPr="00D33008">
        <w:t xml:space="preserve"> </w:t>
      </w:r>
      <w:r w:rsidRPr="00D33008">
        <w:t>an average cost of 3.4 cents per kWh saved from utility EE programs</w:t>
      </w:r>
      <w:r w:rsidR="0056793C">
        <w:t>, based on the utility-reported savings in the EIA Form 861</w:t>
      </w:r>
      <w:r>
        <w:t xml:space="preserve"> (</w:t>
      </w:r>
      <w:r w:rsidR="0086014D">
        <w:t>Gillingham et al. 2006</w:t>
      </w:r>
      <w:r>
        <w:t>)</w:t>
      </w:r>
      <w:r w:rsidRPr="00D33008">
        <w:t>.</w:t>
      </w:r>
      <w:r>
        <w:t xml:space="preserve"> A 2012 </w:t>
      </w:r>
      <w:r w:rsidRPr="00D33008" w:rsidDel="00BA34C4">
        <w:t xml:space="preserve">econometric analysis of utility rate-payer funded demand-side management and </w:t>
      </w:r>
      <w:r>
        <w:t xml:space="preserve">EE </w:t>
      </w:r>
      <w:r w:rsidRPr="00D33008" w:rsidDel="00BA34C4">
        <w:t>programs between 1992 and 2006</w:t>
      </w:r>
      <w:r>
        <w:t xml:space="preserve"> </w:t>
      </w:r>
      <w:r w:rsidRPr="00D33008" w:rsidDel="00BA34C4">
        <w:t>found that the estimated energy savings in electricity consumption were achieved at an expected average cost to utilities of approximately 5 cents/kWh</w:t>
      </w:r>
      <w:r>
        <w:t xml:space="preserve"> (Arimura et al. 2012)</w:t>
      </w:r>
      <w:r w:rsidRPr="00D33008" w:rsidDel="00BA34C4">
        <w:t>.</w:t>
      </w:r>
      <w:r w:rsidRPr="00D33008">
        <w:t xml:space="preserve"> </w:t>
      </w:r>
      <w:r>
        <w:t>In 2011, u</w:t>
      </w:r>
      <w:r w:rsidRPr="00D33008">
        <w:t xml:space="preserve">sing a top-down approach that evaluates the savings potential of EE investments using state- and region-specific price elasticity, </w:t>
      </w:r>
      <w:r>
        <w:t>an RFF</w:t>
      </w:r>
      <w:r w:rsidRPr="00D33008">
        <w:t xml:space="preserve"> </w:t>
      </w:r>
      <w:r>
        <w:t xml:space="preserve">study </w:t>
      </w:r>
      <w:r w:rsidRPr="00D33008">
        <w:t>estimated that electricity savings of 1 to 3 percent were available at a marginal cost of 5 cents/kWh and a corresponding average cost of 2.5-3.5 cents/kWh</w:t>
      </w:r>
      <w:r>
        <w:t xml:space="preserve"> (RFF 2011)</w:t>
      </w:r>
      <w:r w:rsidRPr="00D33008">
        <w:t>.</w:t>
      </w:r>
      <w:r>
        <w:t xml:space="preserve"> </w:t>
      </w:r>
    </w:p>
    <w:p w14:paraId="1118304A" w14:textId="348643F6" w:rsidR="00810FAC" w:rsidRPr="00D33008" w:rsidRDefault="00810FAC" w:rsidP="00810FAC">
      <w:pPr>
        <w:pStyle w:val="CH5BodyText"/>
      </w:pPr>
      <w:r w:rsidRPr="00D33008">
        <w:t>A number of analytical and data considerations related to LCSE estimation are also discussed in the literature, including the issue of “free riders” in EE programs, and the accuracy of utility reported costs and energy savings</w:t>
      </w:r>
      <w:r>
        <w:t xml:space="preserve"> (Train 1994; Joskow and Marron 1992)</w:t>
      </w:r>
      <w:r w:rsidRPr="00D33008">
        <w:t xml:space="preserve">. </w:t>
      </w:r>
      <w:r>
        <w:t xml:space="preserve">EE </w:t>
      </w:r>
      <w:r w:rsidRPr="00D33008">
        <w:t>practitioners also recognize the need to consider “free rider” and “spillover” effects in program evaluation</w:t>
      </w:r>
      <w:r w:rsidR="0056793C">
        <w:t xml:space="preserve"> (</w:t>
      </w:r>
      <w:r w:rsidR="0086014D">
        <w:t>Gillingham et al. 2006</w:t>
      </w:r>
      <w:r w:rsidR="0056793C">
        <w:t>)</w:t>
      </w:r>
      <w:r w:rsidRPr="00D33008">
        <w:t>. A slight majority of states adjust for free ridership in energy savings estimates, leading to higher LCSE values than otherwise would be the case</w:t>
      </w:r>
      <w:r>
        <w:t xml:space="preserve"> (ACEEE 2012a)</w:t>
      </w:r>
      <w:r w:rsidRPr="00D33008">
        <w:t>. A smaller number of states adjust for spillover effects which reduce LCSE values when addressed.</w:t>
      </w:r>
    </w:p>
    <w:p w14:paraId="68015029" w14:textId="1DE9F389" w:rsidR="00810FAC" w:rsidRPr="003F01E1" w:rsidRDefault="00810FAC" w:rsidP="00810FAC">
      <w:pPr>
        <w:pStyle w:val="CH5BodyText"/>
      </w:pPr>
      <w:r w:rsidRPr="00D33008">
        <w:t xml:space="preserve">Another consideration related to LCSE estimation is the rebound effect. The economic literature has extensive discussion of the potential rebound effect, market interactions and economy-wide response of </w:t>
      </w:r>
      <w:r>
        <w:t xml:space="preserve">EE </w:t>
      </w:r>
      <w:r w:rsidRPr="00D33008">
        <w:t>policies and investments.</w:t>
      </w:r>
      <w:r>
        <w:t xml:space="preserve"> </w:t>
      </w:r>
      <w:r w:rsidRPr="00D33008">
        <w:t xml:space="preserve">An improvement in </w:t>
      </w:r>
      <w:r>
        <w:t xml:space="preserve">EE </w:t>
      </w:r>
      <w:r w:rsidRPr="00D33008">
        <w:t>would effectively reduce the cost of a service or production input, potentially boosting its demand or production output thus increasing energy use (“direct” rebound).</w:t>
      </w:r>
      <w:r>
        <w:t xml:space="preserve"> </w:t>
      </w:r>
      <w:r w:rsidRPr="00D33008">
        <w:t xml:space="preserve">In addition, money saved from </w:t>
      </w:r>
      <w:r>
        <w:t>EE</w:t>
      </w:r>
      <w:r w:rsidRPr="00D33008">
        <w:t xml:space="preserve"> can be used for consumption or investment that can increase energy consumption </w:t>
      </w:r>
      <w:r w:rsidR="00A34DF3">
        <w:t xml:space="preserve">for other goods and services </w:t>
      </w:r>
      <w:r w:rsidRPr="00D33008">
        <w:t>in the economy (two forms of “indirect” rebound).</w:t>
      </w:r>
      <w:r>
        <w:t xml:space="preserve"> </w:t>
      </w:r>
      <w:r w:rsidRPr="00D33008">
        <w:t>Reviews suggest that both direct and indirect rebound effects exist and the size of such effects varies among different studies, technologies, sectors and income groups</w:t>
      </w:r>
      <w:r>
        <w:t xml:space="preserve"> (UKERC 2007)</w:t>
      </w:r>
      <w:r w:rsidRPr="00D33008">
        <w:t xml:space="preserve">. Overall, however, rebound </w:t>
      </w:r>
      <w:r w:rsidRPr="00D33008">
        <w:lastRenderedPageBreak/>
        <w:t>effects are found to be relatively modest</w:t>
      </w:r>
      <w:r w:rsidR="00FC2EA9">
        <w:t xml:space="preserve"> in most markets and settings</w:t>
      </w:r>
      <w:r w:rsidRPr="00D33008">
        <w:t xml:space="preserve"> </w:t>
      </w:r>
      <w:r w:rsidRPr="003F01E1">
        <w:t>(</w:t>
      </w:r>
      <w:r>
        <w:t xml:space="preserve">Greening et al. </w:t>
      </w:r>
      <w:r w:rsidRPr="003F01E1">
        <w:t>2000</w:t>
      </w:r>
      <w:r>
        <w:t>;</w:t>
      </w:r>
      <w:r w:rsidRPr="003F01E1">
        <w:t xml:space="preserve"> </w:t>
      </w:r>
      <w:r>
        <w:t xml:space="preserve">Davis 2008; Gillingham et al. 2013; </w:t>
      </w:r>
      <w:r w:rsidRPr="003F01E1">
        <w:t>UKERC 2007).</w:t>
      </w:r>
    </w:p>
    <w:p w14:paraId="156D2776" w14:textId="77777777" w:rsidR="00810FAC" w:rsidRPr="00196931" w:rsidRDefault="00810FAC" w:rsidP="009148E2">
      <w:pPr>
        <w:pStyle w:val="Heading1"/>
      </w:pPr>
      <w:bookmarkStart w:id="46" w:name="_Toc424675662"/>
      <w:bookmarkStart w:id="47" w:name="_Toc424721550"/>
      <w:r w:rsidRPr="003F01E1">
        <w:t>Other EE Strategies</w:t>
      </w:r>
      <w:bookmarkEnd w:id="46"/>
      <w:bookmarkEnd w:id="47"/>
    </w:p>
    <w:p w14:paraId="178FA94B" w14:textId="77777777" w:rsidR="00810FAC" w:rsidRPr="00196931" w:rsidRDefault="00810FAC" w:rsidP="007300F4">
      <w:pPr>
        <w:pStyle w:val="CH5BodyText"/>
      </w:pPr>
      <w:r>
        <w:t>In addition to ratepayer-funded EE programs, many other strategies are available to increase investment in EE and realize associated energy savings, emissions reductions and other benefits. In this section we address a few of the more significant opportunities for realizing additional EE potential: building energy codes, state appliance standards, energy service performance contracting, and volt/VAR optimization.</w:t>
      </w:r>
    </w:p>
    <w:p w14:paraId="7D5E6A66" w14:textId="77777777" w:rsidR="00810FAC" w:rsidRPr="00196931" w:rsidRDefault="00810FAC" w:rsidP="009148E2">
      <w:pPr>
        <w:pStyle w:val="Heading2"/>
      </w:pPr>
      <w:bookmarkStart w:id="48" w:name="_Toc424675663"/>
      <w:bookmarkStart w:id="49" w:name="_Toc424721551"/>
      <w:r w:rsidRPr="00196931">
        <w:t>Building Energy Codes</w:t>
      </w:r>
      <w:bookmarkEnd w:id="48"/>
      <w:bookmarkEnd w:id="49"/>
    </w:p>
    <w:p w14:paraId="2A24C830" w14:textId="77777777" w:rsidR="00810FAC" w:rsidRPr="003F01E1" w:rsidRDefault="00810FAC" w:rsidP="009148E2">
      <w:pPr>
        <w:pStyle w:val="Heading3"/>
      </w:pPr>
      <w:bookmarkStart w:id="50" w:name="_Toc424721552"/>
      <w:r w:rsidRPr="003F01E1">
        <w:t>Overview</w:t>
      </w:r>
      <w:bookmarkEnd w:id="50"/>
    </w:p>
    <w:p w14:paraId="60209A19" w14:textId="77777777" w:rsidR="00810FAC" w:rsidRPr="00196931" w:rsidRDefault="00810FAC" w:rsidP="007300F4">
      <w:pPr>
        <w:pStyle w:val="CH5BodyText"/>
      </w:pPr>
      <w:r w:rsidRPr="00196931">
        <w:rPr>
          <w:color w:val="221E1F"/>
        </w:rPr>
        <w:t xml:space="preserve">Building energy codes establish minimum efficiency requirements for new and renovated residential and commercial buildings. </w:t>
      </w:r>
      <w:r w:rsidRPr="00196931">
        <w:t xml:space="preserve">Building energy codes lock in long-term energy savings at a low cost during the building design and construction phase; some of which would not be feasible or cost-effective as building retrofits. The primary policy rationale for energy codes is the need to overcome large and persistent market barriers, the largest of which is the concern over split-incentives or “principal-agents,” in which builders’ incentives to minimize the initial costs of constructing a building are misaligned with occupants’ incentives to minimize total occupancy costs. Building </w:t>
      </w:r>
      <w:r w:rsidRPr="00196931">
        <w:rPr>
          <w:color w:val="221E1F"/>
        </w:rPr>
        <w:t xml:space="preserve">energy </w:t>
      </w:r>
      <w:r w:rsidRPr="00196931">
        <w:t>codes are designed to eliminate inefficient technologies and building practices, minimizing total ownership and operating costs over the life of the building. Additional co-benefits of implementing building energy codes include pollution prevention, improved electric system reliability, avoidance of new energy supply investment, and improved occupant comfort and health. Energy building code requirements are also designed to overcome the complexity of advanced codes, lack of local-level implementation resources, and a shortage of empirical data on the costs and benefits of codes.</w:t>
      </w:r>
    </w:p>
    <w:p w14:paraId="5DC4A7EB" w14:textId="77777777" w:rsidR="00810FAC" w:rsidRPr="00196931" w:rsidRDefault="00810FAC" w:rsidP="007300F4">
      <w:pPr>
        <w:pStyle w:val="CH5BodyText"/>
        <w:rPr>
          <w:color w:val="000000"/>
        </w:rPr>
      </w:pPr>
      <w:r w:rsidRPr="00196931">
        <w:t>Building energy codes specify thermal performance</w:t>
      </w:r>
      <w:r w:rsidRPr="00196931">
        <w:rPr>
          <w:rStyle w:val="FootnoteReference"/>
          <w:color w:val="221E1F"/>
        </w:rPr>
        <w:footnoteReference w:id="23"/>
      </w:r>
      <w:r w:rsidRPr="00196931">
        <w:t xml:space="preserve"> criteria for building thermal envelope components such as walls, ceilings, floors, and windows, and also set </w:t>
      </w:r>
      <w:r w:rsidRPr="00196931">
        <w:rPr>
          <w:color w:val="000000"/>
        </w:rPr>
        <w:t xml:space="preserve">air leakage and duct leakage standards. They also address lighting system efficiency, hot water system efficiency, and heating and cooling equipment efficiency in cases where federal standards do not </w:t>
      </w:r>
      <w:r w:rsidRPr="00196931">
        <w:rPr>
          <w:color w:val="000000"/>
        </w:rPr>
        <w:lastRenderedPageBreak/>
        <w:t xml:space="preserve">cover the affected equipment or system types. For the residential sector, the International Energy Conservation Code (IECC) is the prevailing model code, and ASHRAE 90.1 is the model code </w:t>
      </w:r>
      <w:r w:rsidRPr="003F01E1">
        <w:rPr>
          <w:color w:val="000000"/>
        </w:rPr>
        <w:t>for the commercial sector</w:t>
      </w:r>
      <w:r>
        <w:rPr>
          <w:color w:val="000000"/>
        </w:rPr>
        <w:t xml:space="preserve"> (EPA 2014b)</w:t>
      </w:r>
      <w:r w:rsidRPr="00196931">
        <w:rPr>
          <w:color w:val="000000"/>
        </w:rPr>
        <w:t>. Various versions of these model codes are adopted and enforced at the state and local government levels.</w:t>
      </w:r>
    </w:p>
    <w:p w14:paraId="5C6ABF5B" w14:textId="77777777" w:rsidR="00810FAC" w:rsidRPr="003F01E1" w:rsidRDefault="00810FAC" w:rsidP="009148E2">
      <w:pPr>
        <w:pStyle w:val="Heading3"/>
      </w:pPr>
      <w:bookmarkStart w:id="51" w:name="_Toc424721553"/>
      <w:r w:rsidRPr="003F01E1">
        <w:t>Authority / Obligated Parties</w:t>
      </w:r>
      <w:bookmarkEnd w:id="51"/>
    </w:p>
    <w:p w14:paraId="063BEFDC" w14:textId="4E3B2156" w:rsidR="00810FAC" w:rsidRPr="00196931" w:rsidRDefault="00810FAC" w:rsidP="007300F4">
      <w:pPr>
        <w:pStyle w:val="CH5BodyText"/>
      </w:pPr>
      <w:r w:rsidRPr="00196931">
        <w:t>Model energy building codes are typically developed at the national or international level, adopted at the state or local level, and administered and enforced locally. Local building industry parties, such as developers and property owners requiring building permits, are the most comm</w:t>
      </w:r>
      <w:r w:rsidRPr="003F01E1">
        <w:t>on obligated parties</w:t>
      </w:r>
      <w:r>
        <w:t xml:space="preserve"> (EPA 2014b)</w:t>
      </w:r>
      <w:r w:rsidRPr="00196931">
        <w:t xml:space="preserve">. </w:t>
      </w:r>
      <w:r w:rsidRPr="0008467F">
        <w:t xml:space="preserve">Federal authority affecting state code adoption was established in the Energy Policy Act </w:t>
      </w:r>
      <w:r w:rsidR="00C33476">
        <w:t xml:space="preserve">(EPAct) </w:t>
      </w:r>
      <w:r w:rsidRPr="0008467F">
        <w:t>of 1992 (</w:t>
      </w:r>
      <w:r w:rsidR="00C8571D">
        <w:t>Congress</w:t>
      </w:r>
      <w:r w:rsidR="00C8571D" w:rsidRPr="0008467F">
        <w:t xml:space="preserve"> </w:t>
      </w:r>
      <w:r w:rsidRPr="0008467F">
        <w:t>1992); its provisions require the U.S. Department of Energy to review each new version of the IECC and ASHRAE 90.1, released about every three years, to determine whether they save energy compared to the previous version (EPA 2015). When DOE concludes that a new version of the code would improve energy efficiency, states must review and consider adopting the new code. However, since EPAct 1992, not all states have adopted or updated residential and commercial building energy codes per the current DOE determination.</w:t>
      </w:r>
    </w:p>
    <w:p w14:paraId="446D90AE" w14:textId="77777777" w:rsidR="00810FAC" w:rsidRPr="003F01E1" w:rsidRDefault="00810FAC" w:rsidP="009148E2">
      <w:pPr>
        <w:pStyle w:val="Heading3"/>
      </w:pPr>
      <w:bookmarkStart w:id="52" w:name="_Toc424721554"/>
      <w:r w:rsidRPr="003F01E1">
        <w:t>Building Code Regulations Over Time</w:t>
      </w:r>
      <w:bookmarkEnd w:id="52"/>
    </w:p>
    <w:p w14:paraId="3A54412C" w14:textId="77777777" w:rsidR="00810FAC" w:rsidRPr="00196931" w:rsidRDefault="00810FAC" w:rsidP="007300F4">
      <w:pPr>
        <w:pStyle w:val="CH5BodyText"/>
        <w:rPr>
          <w:color w:val="000000"/>
        </w:rPr>
      </w:pPr>
      <w:r w:rsidRPr="00196931">
        <w:t>Federal authority for building codes was established in Energy Conservation and Production Act of 1976 (ECPA), which authorized DOE to create national Building Energy Performance Standards (BEPS) that would be legally binding nationwide. The BEPS provision was repealed by Congress in the early 1980s. States, however, continued to develop energy codes. In 1978, California became the first state to include energy requirements in its code (EPA</w:t>
      </w:r>
      <w:r>
        <w:t xml:space="preserve"> </w:t>
      </w:r>
      <w:r w:rsidRPr="00196931">
        <w:t>2015). Other states, such as New York, Massachusetts, Florida, and Minnesota, developed their own energy codes during the 1980s.</w:t>
      </w:r>
    </w:p>
    <w:p w14:paraId="4D550648" w14:textId="2A8E8139" w:rsidR="00810FAC" w:rsidRDefault="00810FAC" w:rsidP="007300F4">
      <w:pPr>
        <w:pStyle w:val="CH5BodyText"/>
      </w:pPr>
      <w:r w:rsidRPr="00196931">
        <w:t>In response to the EPAct 1992 requirements, most states adopted various versions of the IECC and ASHRAE 90.1. Over the last decade, the number of states adopting residential and commercial energy codes has remained rela</w:t>
      </w:r>
      <w:r w:rsidRPr="003F01E1">
        <w:t>tively stable at about 40 (EPA 2006</w:t>
      </w:r>
      <w:r>
        <w:t xml:space="preserve">, </w:t>
      </w:r>
      <w:r w:rsidRPr="003F01E1">
        <w:t>2015</w:t>
      </w:r>
      <w:r w:rsidRPr="00196931">
        <w:t xml:space="preserve">). </w:t>
      </w:r>
      <w:r w:rsidRPr="00196931">
        <w:rPr>
          <w:highlight w:val="yellow"/>
        </w:rPr>
        <w:fldChar w:fldCharType="begin"/>
      </w:r>
      <w:r w:rsidRPr="00196931">
        <w:instrText xml:space="preserve"> REF _Ref417549162 \h </w:instrText>
      </w:r>
      <w:r w:rsidRPr="00196931">
        <w:rPr>
          <w:highlight w:val="yellow"/>
        </w:rPr>
        <w:instrText xml:space="preserve"> \* MERGEFORMAT </w:instrText>
      </w:r>
      <w:r w:rsidRPr="00196931">
        <w:rPr>
          <w:highlight w:val="yellow"/>
        </w:rPr>
      </w:r>
      <w:r w:rsidRPr="00196931">
        <w:rPr>
          <w:highlight w:val="yellow"/>
        </w:rPr>
        <w:fldChar w:fldCharType="separate"/>
      </w:r>
      <w:r w:rsidR="00A8218A" w:rsidRPr="003F01E1">
        <w:t>F</w:t>
      </w:r>
      <w:r w:rsidR="00A8218A">
        <w:t>igure</w:t>
      </w:r>
      <w:r w:rsidR="00A8218A" w:rsidRPr="00196931">
        <w:t xml:space="preserve"> </w:t>
      </w:r>
      <w:r w:rsidR="00A8218A">
        <w:t>2</w:t>
      </w:r>
      <w:r w:rsidRPr="00196931">
        <w:rPr>
          <w:highlight w:val="yellow"/>
        </w:rPr>
        <w:fldChar w:fldCharType="end"/>
      </w:r>
      <w:r>
        <w:t xml:space="preserve"> </w:t>
      </w:r>
      <w:r w:rsidRPr="00196931">
        <w:t xml:space="preserve">shows this consistency for </w:t>
      </w:r>
      <w:r>
        <w:t>r</w:t>
      </w:r>
      <w:r w:rsidRPr="00196931">
        <w:t>esidential energy codes, as the states with the lightest shading are the ones that had either not adopted or recently updated their energy codes.</w:t>
      </w:r>
      <w:r>
        <w:t xml:space="preserve"> </w:t>
      </w:r>
      <w:r w:rsidRPr="003D7B36">
        <w:t xml:space="preserve">However, the stringency of these codes has been updated multiple times since 2005 in most states. Eleven of the 40 states </w:t>
      </w:r>
      <w:r w:rsidRPr="003D7B36">
        <w:lastRenderedPageBreak/>
        <w:t>with residential building codes are using the 2012 IECC version, which DOE has determined would improve the energy efficiency of residential buildings by approximately 30 percent compared to</w:t>
      </w:r>
      <w:r>
        <w:t xml:space="preserve"> the 2006 IECC (EPA </w:t>
      </w:r>
      <w:r w:rsidRPr="003D7B36">
        <w:t>2015). A recent study estimated that upgrading the energy efficiency of a typical new home in Arizona from the 2006 IECC would save homeowners an average of $3,245 over 30 years with the 2009 IECC and $6,550 over 30 years with the 2012 IECC (DOE 2012</w:t>
      </w:r>
      <w:r>
        <w:t>b</w:t>
      </w:r>
      <w:r w:rsidRPr="003D7B36">
        <w:t>). DOE estimates that currently-adopted building energy codes across the country will result in a financial benefit of nearly $2 billion annually by 2015 and over $15 billion annually by 2030 (DOE 2014).</w:t>
      </w:r>
    </w:p>
    <w:p w14:paraId="51DED511" w14:textId="145B5388" w:rsidR="00810FAC" w:rsidRPr="00196931" w:rsidRDefault="00810FAC" w:rsidP="00CF0D49">
      <w:pPr>
        <w:pStyle w:val="CH5FigureTitle"/>
      </w:pPr>
      <w:bookmarkStart w:id="53" w:name="_Ref417549162"/>
      <w:bookmarkStart w:id="54" w:name="_Toc424720247"/>
      <w:r w:rsidRPr="003F01E1">
        <w:t>F</w:t>
      </w:r>
      <w:r>
        <w:t>igure</w:t>
      </w:r>
      <w:r w:rsidRPr="00196931">
        <w:t xml:space="preserve"> </w:t>
      </w:r>
      <w:r>
        <w:t>2</w:t>
      </w:r>
      <w:bookmarkEnd w:id="53"/>
      <w:r w:rsidRPr="003F01E1">
        <w:t>. R</w:t>
      </w:r>
      <w:r w:rsidRPr="00196931">
        <w:t xml:space="preserve">esidential </w:t>
      </w:r>
      <w:r>
        <w:t>E</w:t>
      </w:r>
      <w:r w:rsidRPr="00196931">
        <w:t xml:space="preserve">nergy </w:t>
      </w:r>
      <w:r>
        <w:t>B</w:t>
      </w:r>
      <w:r w:rsidRPr="00196931">
        <w:t xml:space="preserve">uilding </w:t>
      </w:r>
      <w:r>
        <w:t>C</w:t>
      </w:r>
      <w:r w:rsidRPr="00196931">
        <w:t xml:space="preserve">ode </w:t>
      </w:r>
      <w:r>
        <w:t>A</w:t>
      </w:r>
      <w:r w:rsidRPr="00196931">
        <w:t xml:space="preserve">doption </w:t>
      </w:r>
      <w:r>
        <w:t>(</w:t>
      </w:r>
      <w:r w:rsidRPr="00196931">
        <w:t>2005 to 2014</w:t>
      </w:r>
      <w:r>
        <w:t>)</w:t>
      </w:r>
      <w:bookmarkEnd w:id="54"/>
    </w:p>
    <w:p w14:paraId="6CA0D001" w14:textId="02319C91" w:rsidR="00810FAC" w:rsidRPr="00196931" w:rsidRDefault="00B66212" w:rsidP="00810FAC">
      <w:pPr>
        <w:spacing w:after="120" w:line="360" w:lineRule="auto"/>
        <w:rPr>
          <w:rFonts w:cs="Times New Roman"/>
          <w:sz w:val="24"/>
          <w:szCs w:val="24"/>
        </w:rPr>
      </w:pPr>
      <w:r w:rsidRPr="00196931">
        <w:rPr>
          <w:rFonts w:cs="Times New Roman"/>
          <w:noProof/>
          <w:sz w:val="24"/>
          <w:szCs w:val="24"/>
        </w:rPr>
        <w:drawing>
          <wp:anchor distT="0" distB="0" distL="114300" distR="114300" simplePos="0" relativeHeight="251659776" behindDoc="0" locked="0" layoutInCell="1" allowOverlap="1" wp14:anchorId="4F1CDA0B" wp14:editId="2B0094E6">
            <wp:simplePos x="0" y="0"/>
            <wp:positionH relativeFrom="column">
              <wp:posOffset>2943225</wp:posOffset>
            </wp:positionH>
            <wp:positionV relativeFrom="paragraph">
              <wp:posOffset>54610</wp:posOffset>
            </wp:positionV>
            <wp:extent cx="2981325" cy="2247900"/>
            <wp:effectExtent l="0" t="0" r="9525" b="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2" cstate="print">
                      <a:extLst>
                        <a:ext uri="{28A0092B-C50C-407E-A947-70E740481C1C}">
                          <a14:useLocalDpi xmlns:a14="http://schemas.microsoft.com/office/drawing/2010/main" val="0"/>
                        </a:ext>
                      </a:extLst>
                    </a:blip>
                    <a:srcRect l="2308" r="6539"/>
                    <a:stretch/>
                  </pic:blipFill>
                  <pic:spPr bwMode="auto">
                    <a:xfrm>
                      <a:off x="0" y="0"/>
                      <a:ext cx="2981325" cy="224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0FAC" w:rsidRPr="00196931">
        <w:rPr>
          <w:rFonts w:cs="Times New Roman"/>
          <w:noProof/>
          <w:sz w:val="24"/>
          <w:szCs w:val="24"/>
        </w:rPr>
        <w:drawing>
          <wp:inline distT="0" distB="0" distL="0" distR="0" wp14:anchorId="28907D25" wp14:editId="4A1DCD9B">
            <wp:extent cx="2907102" cy="218122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74883" t="29031" r="11901" b="35718"/>
                    <a:stretch/>
                  </pic:blipFill>
                  <pic:spPr bwMode="auto">
                    <a:xfrm>
                      <a:off x="0" y="0"/>
                      <a:ext cx="2979185" cy="2235314"/>
                    </a:xfrm>
                    <a:prstGeom prst="rect">
                      <a:avLst/>
                    </a:prstGeom>
                    <a:ln>
                      <a:noFill/>
                    </a:ln>
                    <a:extLst>
                      <a:ext uri="{53640926-AAD7-44D8-BBD7-CCE9431645EC}">
                        <a14:shadowObscured xmlns:a14="http://schemas.microsoft.com/office/drawing/2010/main"/>
                      </a:ext>
                    </a:extLst>
                  </pic:spPr>
                </pic:pic>
              </a:graphicData>
            </a:graphic>
          </wp:inline>
        </w:drawing>
      </w:r>
    </w:p>
    <w:p w14:paraId="7058A69A" w14:textId="77777777" w:rsidR="00810FAC" w:rsidRPr="00196931" w:rsidRDefault="00810FAC" w:rsidP="00CF0D49">
      <w:pPr>
        <w:pStyle w:val="CH5TableSource"/>
      </w:pPr>
      <w:r w:rsidRPr="00196931">
        <w:t>Source: EPA 2006 and EPA 2015</w:t>
      </w:r>
    </w:p>
    <w:p w14:paraId="13FC660C" w14:textId="77777777" w:rsidR="00810FAC" w:rsidRPr="003F01E1" w:rsidRDefault="00810FAC" w:rsidP="009148E2">
      <w:pPr>
        <w:pStyle w:val="Heading3"/>
      </w:pPr>
      <w:bookmarkStart w:id="55" w:name="_Toc424721555"/>
      <w:r w:rsidRPr="003F01E1">
        <w:lastRenderedPageBreak/>
        <w:t>Remaining Market Potential</w:t>
      </w:r>
      <w:bookmarkEnd w:id="55"/>
    </w:p>
    <w:p w14:paraId="54E396D3" w14:textId="57573CE2" w:rsidR="00810FAC" w:rsidRPr="00196931" w:rsidRDefault="00810FAC" w:rsidP="007300F4">
      <w:pPr>
        <w:pStyle w:val="CH5BodyText"/>
      </w:pPr>
      <w:r w:rsidRPr="00196931">
        <w:t>There is still significant potential for savings from building energy code adoption. From 1992 to 2012, building energy codes in the U.S. saved a cumulative 4 quadrillion Btu and reduced greenhouse gas emissions by 300 million metric tons</w:t>
      </w:r>
      <w:r w:rsidR="000F3120">
        <w:t xml:space="preserve"> (ACEEE 2015a)</w:t>
      </w:r>
      <w:r w:rsidRPr="00196931">
        <w:t>. From 2013 to 2040, the continued adoption of increasingly stringent building energy codes in the U.S. is expected to save 40.1 quadrillion Btu (</w:t>
      </w:r>
      <w:r>
        <w:t xml:space="preserve">ACEEE </w:t>
      </w:r>
      <w:r w:rsidRPr="00196931">
        <w:t>2015</w:t>
      </w:r>
      <w:r>
        <w:t>a</w:t>
      </w:r>
      <w:r w:rsidRPr="00196931">
        <w:t>). A recent study by ACEEE also found that for residential and commercial building codes, the potential for energy savings by 2030 was 155 million megawatt-hours (MWh) annually, or 4.2 percent of annual electricity consumption relative to 2012 (</w:t>
      </w:r>
      <w:r>
        <w:t>ACEEE</w:t>
      </w:r>
      <w:r w:rsidRPr="00196931">
        <w:t xml:space="preserve"> 2014</w:t>
      </w:r>
      <w:r>
        <w:t>a</w:t>
      </w:r>
      <w:r w:rsidRPr="00196931">
        <w:t>).</w:t>
      </w:r>
    </w:p>
    <w:p w14:paraId="3A1E0CE5" w14:textId="77777777" w:rsidR="00810FAC" w:rsidRPr="00196931" w:rsidRDefault="00810FAC" w:rsidP="009148E2">
      <w:pPr>
        <w:pStyle w:val="Heading2"/>
      </w:pPr>
      <w:bookmarkStart w:id="56" w:name="_Toc424675664"/>
      <w:bookmarkStart w:id="57" w:name="_Toc424721556"/>
      <w:r w:rsidRPr="00196931">
        <w:t>State Appliance Standards</w:t>
      </w:r>
      <w:bookmarkEnd w:id="56"/>
      <w:bookmarkEnd w:id="57"/>
    </w:p>
    <w:p w14:paraId="2DE18AC7" w14:textId="77777777" w:rsidR="00810FAC" w:rsidRPr="003F01E1" w:rsidRDefault="00810FAC" w:rsidP="009148E2">
      <w:pPr>
        <w:pStyle w:val="Heading3"/>
      </w:pPr>
      <w:bookmarkStart w:id="58" w:name="_Toc424721557"/>
      <w:r w:rsidRPr="003F01E1">
        <w:t>Overview</w:t>
      </w:r>
      <w:bookmarkEnd w:id="58"/>
    </w:p>
    <w:p w14:paraId="4095C91D" w14:textId="77777777" w:rsidR="00810FAC" w:rsidRPr="00196931" w:rsidRDefault="00810FAC" w:rsidP="007300F4">
      <w:pPr>
        <w:pStyle w:val="CH5BodyText"/>
      </w:pPr>
      <w:r w:rsidRPr="00196931">
        <w:t xml:space="preserve">State appliance standards establish minimum energy efficiency levels for those appliances and other energy-consuming products that are not already covered by the federal government. These standards typically prohibit the sale of less efficient models within a state. States are finding that appliance standards offer a cost-effective strategy for improving energy efficiency and lowering energy costs for businesses and consumers, though these standards are superseded when federal standards are enacted for </w:t>
      </w:r>
      <w:r w:rsidRPr="003F01E1">
        <w:t>new product categories (EPA 2014</w:t>
      </w:r>
      <w:r>
        <w:t>b</w:t>
      </w:r>
      <w:r w:rsidRPr="00196931">
        <w:t>).</w:t>
      </w:r>
    </w:p>
    <w:p w14:paraId="4D5128B0" w14:textId="77777777" w:rsidR="00810FAC" w:rsidRPr="00196931" w:rsidRDefault="00810FAC" w:rsidP="007300F4">
      <w:pPr>
        <w:pStyle w:val="CH5BodyText"/>
      </w:pPr>
      <w:r w:rsidRPr="00196931">
        <w:t>The key objectives of appliance efficiency standards are to:</w:t>
      </w:r>
    </w:p>
    <w:p w14:paraId="3D92C8E5" w14:textId="77777777" w:rsidR="00810FAC" w:rsidRPr="00196931" w:rsidRDefault="00810FAC" w:rsidP="007300F4">
      <w:pPr>
        <w:pStyle w:val="CH5BulletList"/>
      </w:pPr>
      <w:r w:rsidRPr="00196931">
        <w:t>Raise the efficiency of a range of residential and commercial energy-consuming products, where cost-effective.</w:t>
      </w:r>
    </w:p>
    <w:p w14:paraId="4331D4AE" w14:textId="77777777" w:rsidR="00810FAC" w:rsidRPr="00196931" w:rsidRDefault="00810FAC" w:rsidP="007300F4">
      <w:pPr>
        <w:pStyle w:val="CH5BulletList"/>
      </w:pPr>
      <w:r w:rsidRPr="00196931">
        <w:t>Overcome market barriers, such as split incentives between homebuilders and homebuyers and between landlords and tenants, and panic-purchase</w:t>
      </w:r>
      <w:r w:rsidRPr="00196931">
        <w:rPr>
          <w:rStyle w:val="FootnoteReference"/>
        </w:rPr>
        <w:footnoteReference w:id="24"/>
      </w:r>
      <w:r w:rsidRPr="00196931">
        <w:t xml:space="preserve"> situations in which appliances break and must be replaced on an emergency basis.</w:t>
      </w:r>
    </w:p>
    <w:p w14:paraId="69B8E8BB" w14:textId="77777777" w:rsidR="00810FAC" w:rsidRPr="00196931" w:rsidRDefault="00810FAC" w:rsidP="007300F4">
      <w:pPr>
        <w:pStyle w:val="CH5BulletListlast"/>
      </w:pPr>
      <w:r w:rsidRPr="00196931">
        <w:t>Ensure energy use reductions to prevent criteria air pollution and greenhouse emissions, improve electric system reliability, and reduce consumer energy bills (EPA 2015).</w:t>
      </w:r>
    </w:p>
    <w:p w14:paraId="75C53FBF" w14:textId="1BB1455C" w:rsidR="00810FAC" w:rsidRPr="00196931" w:rsidRDefault="00810FAC" w:rsidP="007300F4">
      <w:pPr>
        <w:pStyle w:val="CH5BodyText"/>
      </w:pPr>
      <w:r w:rsidRPr="00196931">
        <w:lastRenderedPageBreak/>
        <w:t>While state appliance standards can be useful in testing and exploring the effectiveness of standards for new products, many state appliance standards have been preempted or superseded by existing federal standards. States may apply to DOE for a waiver to implement more stringent standards. This is sometimes granted if a certain period of time has passed since the federal sta</w:t>
      </w:r>
      <w:r w:rsidRPr="003F01E1">
        <w:t>ndard has been updated (EPA 201</w:t>
      </w:r>
      <w:r w:rsidR="00E43FD5">
        <w:t>5</w:t>
      </w:r>
      <w:r w:rsidRPr="00196931">
        <w:t>).</w:t>
      </w:r>
    </w:p>
    <w:p w14:paraId="2B2B7F38" w14:textId="77777777" w:rsidR="00810FAC" w:rsidRPr="003F01E1" w:rsidRDefault="00810FAC" w:rsidP="009148E2">
      <w:pPr>
        <w:pStyle w:val="Heading3"/>
      </w:pPr>
      <w:bookmarkStart w:id="59" w:name="_Toc424721558"/>
      <w:r w:rsidRPr="003F01E1">
        <w:t>Authority / Obligated Parties</w:t>
      </w:r>
      <w:bookmarkEnd w:id="59"/>
    </w:p>
    <w:p w14:paraId="3EBC527F" w14:textId="77777777" w:rsidR="00810FAC" w:rsidRPr="00196931" w:rsidRDefault="00810FAC" w:rsidP="007300F4">
      <w:pPr>
        <w:pStyle w:val="CH5BodyText"/>
      </w:pPr>
      <w:r w:rsidRPr="00196931">
        <w:t>Establishing efficiency standards in a state typically requires enabling legislation from the state legislature. However, once legislation is enacted, it may allow an executive agency to set further standards administratively (EPA 2015).</w:t>
      </w:r>
    </w:p>
    <w:p w14:paraId="59B5B318" w14:textId="77777777" w:rsidR="00810FAC" w:rsidRPr="00196931" w:rsidRDefault="00810FAC" w:rsidP="007300F4">
      <w:pPr>
        <w:pStyle w:val="CH5BodyText"/>
      </w:pPr>
      <w:r w:rsidRPr="00196931">
        <w:t>State energy offices, which typically administer the federal state energy program funds, have generally acted as the administrative lead for implementing standards. In contrast, inspection and enforcement of appliance standards regulations has typically involved self-policing among industry. Manufacturers of products being sold in a given state are typically obligated to ensure their appliances meet the appropriate energy effi</w:t>
      </w:r>
      <w:r w:rsidRPr="003F01E1">
        <w:t>ciency standards (EPA 2014</w:t>
      </w:r>
      <w:r>
        <w:t>b</w:t>
      </w:r>
      <w:r w:rsidRPr="003F01E1">
        <w:t>)</w:t>
      </w:r>
      <w:r w:rsidRPr="00196931">
        <w:t xml:space="preserve">. </w:t>
      </w:r>
    </w:p>
    <w:p w14:paraId="2AA47B35" w14:textId="77777777" w:rsidR="00810FAC" w:rsidRPr="003F01E1" w:rsidRDefault="00810FAC" w:rsidP="009148E2">
      <w:pPr>
        <w:pStyle w:val="Heading3"/>
      </w:pPr>
      <w:bookmarkStart w:id="60" w:name="_Toc424721559"/>
      <w:r w:rsidRPr="003F01E1">
        <w:t>Appliance Standards over Time</w:t>
      </w:r>
      <w:bookmarkEnd w:id="60"/>
    </w:p>
    <w:p w14:paraId="031771C8" w14:textId="67B69469" w:rsidR="00810FAC" w:rsidRPr="00196931" w:rsidRDefault="00810FAC" w:rsidP="007300F4">
      <w:pPr>
        <w:pStyle w:val="CH5BodyText"/>
      </w:pPr>
      <w:r w:rsidRPr="00196931">
        <w:t>California’s appliance standards program dates to the 1970s, when the state began to pursue standards before the enactment of federal legislation. When the federal government opted not to issue standards under its legislative mandate in 1982, other states joined California in developing state standards. These state initiatives helped create the impetus for new federal legislation in 1987 (the National Appliance Energy Conservation Act or NAECA), the Energy Policy Acts (EPAct</w:t>
      </w:r>
      <w:r w:rsidR="007A3569">
        <w:t>s</w:t>
      </w:r>
      <w:r w:rsidRPr="00196931">
        <w:t>) in 1992 and 2005, and the Energy Independence and Security Act (EISA) in 2007 (EPA 2015). These federal laws have established appliance efficiency standards for more than 50 products, representing about 90% of home energy use, 60% of commercial building energy use, and about 30% of industrial energy use (DOE 2015a). Bolstered by new standards contained in the EPAct 2005, EISA 2007, and additional DOE rules,</w:t>
      </w:r>
      <w:r w:rsidRPr="00196931">
        <w:rPr>
          <w:rStyle w:val="FootnoteReference"/>
        </w:rPr>
        <w:footnoteReference w:id="25"/>
      </w:r>
      <w:r w:rsidRPr="00196931">
        <w:t xml:space="preserve"> these savings rose to 278 terawatt-hours (TWh), or 7% of U.S. electricity use in 2010. By 2025, total electricity savings from existing federal standards are projected to increase to 682 TWh per year, or 14% of the </w:t>
      </w:r>
      <w:r w:rsidRPr="00196931">
        <w:lastRenderedPageBreak/>
        <w:t>projected annual U.S. electricity use. Net savings to consumers and businesses are also expected to increase from $27 billion in 2010 to $61 billion in 2025 (ASAP 2012).</w:t>
      </w:r>
    </w:p>
    <w:p w14:paraId="3574AABF" w14:textId="77777777" w:rsidR="00810FAC" w:rsidRPr="00196931" w:rsidRDefault="00810FAC" w:rsidP="007300F4">
      <w:pPr>
        <w:pStyle w:val="CH5BodyText"/>
        <w:rPr>
          <w:color w:val="221E1F"/>
        </w:rPr>
      </w:pPr>
      <w:r w:rsidRPr="00196931">
        <w:t>While the NAECA effectively preempted state action on federally covered consumer products, California has continued to develop efficiency standards for other products and technologies that aren’t included in the Act. California’s standards program has contributed to substantial improvements in energy efficiency. Since its inception, the program has saved consumers over $75 billion on electricity bills (CEC 2013).</w:t>
      </w:r>
    </w:p>
    <w:p w14:paraId="57C737DB" w14:textId="77777777" w:rsidR="00810FAC" w:rsidRPr="00196931" w:rsidRDefault="00810FAC" w:rsidP="007300F4">
      <w:pPr>
        <w:pStyle w:val="CH5BodyText"/>
      </w:pPr>
      <w:r w:rsidRPr="00196931">
        <w:t>Since 2001, 15 states and the District of Columbia have enacted appliance efficiency standards. While most of these individual standards have been superseded by federal standards, as of February 2014, 12 states</w:t>
      </w:r>
      <w:r w:rsidRPr="00196931">
        <w:rPr>
          <w:rStyle w:val="FootnoteReference"/>
        </w:rPr>
        <w:footnoteReference w:id="26"/>
      </w:r>
      <w:r w:rsidRPr="00196931">
        <w:t xml:space="preserve"> and the District of Columbia have one or more appliance efficiency standards for products not covered by federal standards (ASAP 2014).</w:t>
      </w:r>
    </w:p>
    <w:p w14:paraId="10B6AE91" w14:textId="77777777" w:rsidR="00810FAC" w:rsidRPr="003F01E1" w:rsidRDefault="00810FAC" w:rsidP="009148E2">
      <w:pPr>
        <w:pStyle w:val="Heading3"/>
      </w:pPr>
      <w:bookmarkStart w:id="61" w:name="_Toc424721560"/>
      <w:r w:rsidRPr="003F01E1">
        <w:t>Remaining Market Potential</w:t>
      </w:r>
      <w:bookmarkEnd w:id="61"/>
    </w:p>
    <w:p w14:paraId="4B53BAA1" w14:textId="77777777" w:rsidR="00810FAC" w:rsidRPr="00196931" w:rsidRDefault="00810FAC" w:rsidP="007300F4">
      <w:pPr>
        <w:pStyle w:val="CH5BodyText"/>
      </w:pPr>
      <w:r w:rsidRPr="00196931">
        <w:t>While federal appliance standards continue to expand, the direct economic and environmental benefits of state standards are still substantial. California draft regulations for 15 new appliance standards are expected to save 50 billion gallons of water, 1,400 MW of peak electricity, 9.8 TWh of electricity, and 162 million therms of natural gas per year. This is expected to result in annual savings of $2 billion (CEC 2014).</w:t>
      </w:r>
    </w:p>
    <w:p w14:paraId="662B970A" w14:textId="35E96A78" w:rsidR="00810FAC" w:rsidRPr="00196931" w:rsidRDefault="00810FAC" w:rsidP="007300F4">
      <w:pPr>
        <w:pStyle w:val="CH5BodyText"/>
      </w:pPr>
      <w:r w:rsidRPr="00196931">
        <w:t>From a national perspective, there is still untapped potential for states to move into product areas not yet cover</w:t>
      </w:r>
      <w:r w:rsidRPr="003F01E1">
        <w:t>ed by federal standards. Table 7</w:t>
      </w:r>
      <w:r w:rsidRPr="00196931">
        <w:t xml:space="preserve"> shows potential energy savings from products that do not currently have federal standards. The three products with the greatest potential in the residential, commercial and industrial, and lighting sectors are shown, along with a summary line </w:t>
      </w:r>
      <w:r>
        <w:t xml:space="preserve">for </w:t>
      </w:r>
      <w:r w:rsidRPr="00196931">
        <w:t xml:space="preserve">each sector. Some of the greatest potential savings in 2035 are in the residential sector, specifically improvements in water heater efficiency. </w:t>
      </w:r>
      <w:r w:rsidRPr="00196931">
        <w:rPr>
          <w:rFonts w:eastAsia="Calibri"/>
        </w:rPr>
        <w:t xml:space="preserve"> Implementing all of these standards through federal regulations would result in annual savings of 212 TWh in 2025, or 5% of projected national electricity consumption (ASAP 2012</w:t>
      </w:r>
      <w:r>
        <w:rPr>
          <w:rFonts w:eastAsia="Calibri"/>
        </w:rPr>
        <w:t xml:space="preserve">; </w:t>
      </w:r>
      <w:r w:rsidRPr="00196931">
        <w:rPr>
          <w:rFonts w:eastAsia="Calibri"/>
        </w:rPr>
        <w:t>EIA 2015).</w:t>
      </w:r>
    </w:p>
    <w:p w14:paraId="314E51B2" w14:textId="77777777" w:rsidR="00810FAC" w:rsidRPr="00196931" w:rsidRDefault="00810FAC" w:rsidP="00B66212">
      <w:pPr>
        <w:pStyle w:val="CH5TableTitle"/>
      </w:pPr>
      <w:bookmarkStart w:id="62" w:name="_Toc424720257"/>
      <w:r w:rsidRPr="003F01E1">
        <w:lastRenderedPageBreak/>
        <w:t>T</w:t>
      </w:r>
      <w:r w:rsidR="005753E4">
        <w:t xml:space="preserve">able </w:t>
      </w:r>
      <w:r w:rsidRPr="003F01E1">
        <w:t>7.</w:t>
      </w:r>
      <w:r w:rsidRPr="00196931">
        <w:t xml:space="preserve"> Estimated Energy Savings </w:t>
      </w:r>
      <w:r>
        <w:t xml:space="preserve">Potential </w:t>
      </w:r>
      <w:r w:rsidRPr="00196931">
        <w:t xml:space="preserve">of </w:t>
      </w:r>
      <w:r>
        <w:t xml:space="preserve">State </w:t>
      </w:r>
      <w:r w:rsidRPr="003F01E1">
        <w:t>Appliance Standards</w:t>
      </w:r>
      <w:bookmarkEnd w:id="62"/>
    </w:p>
    <w:tbl>
      <w:tblPr>
        <w:tblW w:w="4999" w:type="pct"/>
        <w:tblInd w:w="1" w:type="dxa"/>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2448"/>
        <w:gridCol w:w="1321"/>
        <w:gridCol w:w="1096"/>
        <w:gridCol w:w="1096"/>
        <w:gridCol w:w="1315"/>
        <w:gridCol w:w="1096"/>
        <w:gridCol w:w="980"/>
      </w:tblGrid>
      <w:tr w:rsidR="00810FAC" w:rsidRPr="00033F3D" w14:paraId="14F1EE65" w14:textId="77777777" w:rsidTr="00033F3D">
        <w:trPr>
          <w:trHeight w:hRule="exact" w:val="281"/>
          <w:tblHeader/>
        </w:trPr>
        <w:tc>
          <w:tcPr>
            <w:tcW w:w="1309" w:type="pct"/>
            <w:shd w:val="clear" w:color="auto" w:fill="D9D9D9" w:themeFill="background1" w:themeFillShade="D9"/>
            <w:vAlign w:val="bottom"/>
          </w:tcPr>
          <w:p w14:paraId="24A0E532" w14:textId="77777777" w:rsidR="00810FAC" w:rsidRPr="00033F3D" w:rsidRDefault="00810FAC" w:rsidP="00CF0D49">
            <w:pPr>
              <w:keepNext/>
              <w:spacing w:before="20" w:after="20"/>
              <w:jc w:val="center"/>
              <w:rPr>
                <w:rFonts w:ascii="Times New Roman" w:eastAsia="Arial" w:hAnsi="Times New Roman" w:cs="Times New Roman"/>
                <w:b/>
                <w:sz w:val="20"/>
                <w:szCs w:val="20"/>
              </w:rPr>
            </w:pPr>
          </w:p>
        </w:tc>
        <w:tc>
          <w:tcPr>
            <w:tcW w:w="1877" w:type="pct"/>
            <w:gridSpan w:val="3"/>
            <w:shd w:val="clear" w:color="auto" w:fill="D9D9D9" w:themeFill="background1" w:themeFillShade="D9"/>
            <w:vAlign w:val="center"/>
          </w:tcPr>
          <w:p w14:paraId="4B85663C" w14:textId="77777777" w:rsidR="00810FAC" w:rsidRPr="00033F3D" w:rsidRDefault="00810FAC" w:rsidP="00CF0D49">
            <w:pPr>
              <w:keepNext/>
              <w:tabs>
                <w:tab w:val="left" w:pos="880"/>
              </w:tabs>
              <w:spacing w:before="20" w:after="20"/>
              <w:jc w:val="center"/>
              <w:rPr>
                <w:rFonts w:ascii="Times New Roman" w:eastAsia="Arial" w:hAnsi="Times New Roman" w:cs="Times New Roman"/>
                <w:b/>
                <w:sz w:val="20"/>
                <w:szCs w:val="20"/>
              </w:rPr>
            </w:pPr>
            <w:r w:rsidRPr="00033F3D">
              <w:rPr>
                <w:rFonts w:ascii="Times New Roman" w:eastAsia="Arial" w:hAnsi="Times New Roman" w:cs="Times New Roman"/>
                <w:b/>
                <w:sz w:val="20"/>
                <w:szCs w:val="20"/>
              </w:rPr>
              <w:t>Annual savings in 2025</w:t>
            </w:r>
          </w:p>
        </w:tc>
        <w:tc>
          <w:tcPr>
            <w:tcW w:w="1814" w:type="pct"/>
            <w:gridSpan w:val="3"/>
            <w:shd w:val="clear" w:color="auto" w:fill="D9D9D9" w:themeFill="background1" w:themeFillShade="D9"/>
            <w:vAlign w:val="center"/>
          </w:tcPr>
          <w:p w14:paraId="57AFF90B" w14:textId="77777777" w:rsidR="00810FAC" w:rsidRPr="00033F3D" w:rsidRDefault="00810FAC" w:rsidP="00CF0D49">
            <w:pPr>
              <w:keepNext/>
              <w:tabs>
                <w:tab w:val="left" w:pos="880"/>
              </w:tabs>
              <w:spacing w:before="20" w:after="20"/>
              <w:jc w:val="center"/>
              <w:rPr>
                <w:rFonts w:ascii="Times New Roman" w:eastAsia="Arial" w:hAnsi="Times New Roman" w:cs="Times New Roman"/>
                <w:b/>
                <w:sz w:val="20"/>
                <w:szCs w:val="20"/>
              </w:rPr>
            </w:pPr>
            <w:r w:rsidRPr="00033F3D">
              <w:rPr>
                <w:rFonts w:ascii="Times New Roman" w:eastAsia="Arial" w:hAnsi="Times New Roman" w:cs="Times New Roman"/>
                <w:b/>
                <w:sz w:val="20"/>
                <w:szCs w:val="20"/>
              </w:rPr>
              <w:t>Annual savings in 2035</w:t>
            </w:r>
          </w:p>
        </w:tc>
      </w:tr>
      <w:tr w:rsidR="00810FAC" w:rsidRPr="00033F3D" w14:paraId="0B8DD67E" w14:textId="77777777" w:rsidTr="00033F3D">
        <w:trPr>
          <w:trHeight w:hRule="exact" w:val="610"/>
          <w:tblHeader/>
        </w:trPr>
        <w:tc>
          <w:tcPr>
            <w:tcW w:w="1309" w:type="pct"/>
            <w:shd w:val="clear" w:color="auto" w:fill="D9D9D9" w:themeFill="background1" w:themeFillShade="D9"/>
          </w:tcPr>
          <w:p w14:paraId="2053528A" w14:textId="77777777" w:rsidR="00810FAC" w:rsidRPr="00033F3D" w:rsidRDefault="00810FAC" w:rsidP="00033F3D">
            <w:pPr>
              <w:spacing w:before="20" w:after="20"/>
              <w:rPr>
                <w:rFonts w:ascii="Times New Roman" w:hAnsi="Times New Roman" w:cs="Times New Roman"/>
                <w:b/>
                <w:sz w:val="20"/>
                <w:szCs w:val="20"/>
              </w:rPr>
            </w:pPr>
          </w:p>
        </w:tc>
        <w:tc>
          <w:tcPr>
            <w:tcW w:w="706" w:type="pct"/>
            <w:shd w:val="clear" w:color="auto" w:fill="D9D9D9" w:themeFill="background1" w:themeFillShade="D9"/>
            <w:vAlign w:val="center"/>
          </w:tcPr>
          <w:p w14:paraId="3792344D" w14:textId="77777777" w:rsidR="00810FAC" w:rsidRPr="00033F3D" w:rsidRDefault="00810FAC" w:rsidP="00033F3D">
            <w:pPr>
              <w:spacing w:before="20" w:after="20"/>
              <w:jc w:val="center"/>
              <w:rPr>
                <w:rFonts w:ascii="Times New Roman" w:eastAsia="Arial" w:hAnsi="Times New Roman" w:cs="Times New Roman"/>
                <w:b/>
                <w:sz w:val="20"/>
                <w:szCs w:val="20"/>
              </w:rPr>
            </w:pPr>
            <w:r w:rsidRPr="00033F3D">
              <w:rPr>
                <w:rFonts w:ascii="Times New Roman" w:eastAsia="Arial" w:hAnsi="Times New Roman" w:cs="Times New Roman"/>
                <w:b/>
                <w:sz w:val="20"/>
                <w:szCs w:val="20"/>
              </w:rPr>
              <w:t>Electricity savings</w:t>
            </w:r>
          </w:p>
        </w:tc>
        <w:tc>
          <w:tcPr>
            <w:tcW w:w="586" w:type="pct"/>
            <w:shd w:val="clear" w:color="auto" w:fill="D9D9D9" w:themeFill="background1" w:themeFillShade="D9"/>
            <w:vAlign w:val="center"/>
          </w:tcPr>
          <w:p w14:paraId="7EED4257" w14:textId="77777777" w:rsidR="00810FAC" w:rsidRPr="00033F3D" w:rsidRDefault="00810FAC" w:rsidP="00033F3D">
            <w:pPr>
              <w:spacing w:before="20" w:after="20"/>
              <w:jc w:val="center"/>
              <w:rPr>
                <w:rFonts w:ascii="Times New Roman" w:eastAsia="Arial" w:hAnsi="Times New Roman" w:cs="Times New Roman"/>
                <w:b/>
                <w:sz w:val="20"/>
                <w:szCs w:val="20"/>
              </w:rPr>
            </w:pPr>
            <w:r w:rsidRPr="00033F3D">
              <w:rPr>
                <w:rFonts w:ascii="Times New Roman" w:eastAsia="Arial" w:hAnsi="Times New Roman" w:cs="Times New Roman"/>
                <w:b/>
                <w:sz w:val="20"/>
                <w:szCs w:val="20"/>
              </w:rPr>
              <w:t>Peak demand</w:t>
            </w:r>
          </w:p>
        </w:tc>
        <w:tc>
          <w:tcPr>
            <w:tcW w:w="586" w:type="pct"/>
            <w:shd w:val="clear" w:color="auto" w:fill="D9D9D9" w:themeFill="background1" w:themeFillShade="D9"/>
            <w:vAlign w:val="center"/>
          </w:tcPr>
          <w:p w14:paraId="6F16F1AC" w14:textId="77777777" w:rsidR="00810FAC" w:rsidRPr="00033F3D" w:rsidRDefault="00810FAC" w:rsidP="00033F3D">
            <w:pPr>
              <w:spacing w:before="20" w:after="20"/>
              <w:jc w:val="center"/>
              <w:rPr>
                <w:rFonts w:ascii="Times New Roman" w:eastAsia="Arial" w:hAnsi="Times New Roman" w:cs="Times New Roman"/>
                <w:b/>
                <w:sz w:val="20"/>
                <w:szCs w:val="20"/>
              </w:rPr>
            </w:pPr>
            <w:r w:rsidRPr="00033F3D">
              <w:rPr>
                <w:rFonts w:ascii="Times New Roman" w:eastAsia="Arial" w:hAnsi="Times New Roman" w:cs="Times New Roman"/>
                <w:b/>
                <w:sz w:val="20"/>
                <w:szCs w:val="20"/>
              </w:rPr>
              <w:t>Natural gas</w:t>
            </w:r>
          </w:p>
        </w:tc>
        <w:tc>
          <w:tcPr>
            <w:tcW w:w="703" w:type="pct"/>
            <w:shd w:val="clear" w:color="auto" w:fill="D9D9D9" w:themeFill="background1" w:themeFillShade="D9"/>
            <w:vAlign w:val="center"/>
          </w:tcPr>
          <w:p w14:paraId="5E424D3E" w14:textId="77777777" w:rsidR="00810FAC" w:rsidRPr="00033F3D" w:rsidRDefault="00810FAC" w:rsidP="00033F3D">
            <w:pPr>
              <w:spacing w:before="20" w:after="20"/>
              <w:jc w:val="center"/>
              <w:rPr>
                <w:rFonts w:ascii="Times New Roman" w:eastAsia="Arial" w:hAnsi="Times New Roman" w:cs="Times New Roman"/>
                <w:b/>
                <w:sz w:val="20"/>
                <w:szCs w:val="20"/>
              </w:rPr>
            </w:pPr>
            <w:r w:rsidRPr="00033F3D">
              <w:rPr>
                <w:rFonts w:ascii="Times New Roman" w:eastAsia="Arial" w:hAnsi="Times New Roman" w:cs="Times New Roman"/>
                <w:b/>
                <w:sz w:val="20"/>
                <w:szCs w:val="20"/>
              </w:rPr>
              <w:t>Electricity savings</w:t>
            </w:r>
          </w:p>
        </w:tc>
        <w:tc>
          <w:tcPr>
            <w:tcW w:w="586" w:type="pct"/>
            <w:shd w:val="clear" w:color="auto" w:fill="D9D9D9" w:themeFill="background1" w:themeFillShade="D9"/>
            <w:vAlign w:val="center"/>
          </w:tcPr>
          <w:p w14:paraId="309A23CF" w14:textId="77777777" w:rsidR="00810FAC" w:rsidRPr="00033F3D" w:rsidRDefault="00810FAC" w:rsidP="00033F3D">
            <w:pPr>
              <w:spacing w:before="20" w:after="20"/>
              <w:jc w:val="center"/>
              <w:rPr>
                <w:rFonts w:ascii="Times New Roman" w:eastAsia="Arial" w:hAnsi="Times New Roman" w:cs="Times New Roman"/>
                <w:b/>
                <w:sz w:val="20"/>
                <w:szCs w:val="20"/>
              </w:rPr>
            </w:pPr>
            <w:r w:rsidRPr="00033F3D">
              <w:rPr>
                <w:rFonts w:ascii="Times New Roman" w:eastAsia="Arial" w:hAnsi="Times New Roman" w:cs="Times New Roman"/>
                <w:b/>
                <w:sz w:val="20"/>
                <w:szCs w:val="20"/>
              </w:rPr>
              <w:t>Peak demand</w:t>
            </w:r>
          </w:p>
        </w:tc>
        <w:tc>
          <w:tcPr>
            <w:tcW w:w="525" w:type="pct"/>
            <w:shd w:val="clear" w:color="auto" w:fill="D9D9D9" w:themeFill="background1" w:themeFillShade="D9"/>
            <w:vAlign w:val="center"/>
          </w:tcPr>
          <w:p w14:paraId="245C7F56" w14:textId="77777777" w:rsidR="00810FAC" w:rsidRPr="00033F3D" w:rsidRDefault="00810FAC" w:rsidP="00033F3D">
            <w:pPr>
              <w:spacing w:before="20" w:after="20"/>
              <w:jc w:val="center"/>
              <w:rPr>
                <w:rFonts w:ascii="Times New Roman" w:eastAsia="Arial" w:hAnsi="Times New Roman" w:cs="Times New Roman"/>
                <w:b/>
                <w:sz w:val="20"/>
                <w:szCs w:val="20"/>
              </w:rPr>
            </w:pPr>
            <w:r w:rsidRPr="00033F3D">
              <w:rPr>
                <w:rFonts w:ascii="Times New Roman" w:eastAsia="Arial" w:hAnsi="Times New Roman" w:cs="Times New Roman"/>
                <w:b/>
                <w:sz w:val="20"/>
                <w:szCs w:val="20"/>
              </w:rPr>
              <w:t>Natural gas</w:t>
            </w:r>
          </w:p>
        </w:tc>
      </w:tr>
      <w:tr w:rsidR="00810FAC" w:rsidRPr="00033F3D" w14:paraId="2E7CD3B7" w14:textId="77777777" w:rsidTr="00033F3D">
        <w:trPr>
          <w:trHeight w:hRule="exact" w:val="281"/>
          <w:tblHeader/>
        </w:trPr>
        <w:tc>
          <w:tcPr>
            <w:tcW w:w="1309" w:type="pct"/>
            <w:shd w:val="clear" w:color="auto" w:fill="D9D9D9" w:themeFill="background1" w:themeFillShade="D9"/>
          </w:tcPr>
          <w:p w14:paraId="5B6A67DA" w14:textId="77777777" w:rsidR="00810FAC" w:rsidRPr="00033F3D" w:rsidRDefault="00810FAC" w:rsidP="00033F3D">
            <w:pPr>
              <w:spacing w:before="20" w:after="20"/>
              <w:jc w:val="center"/>
              <w:rPr>
                <w:rFonts w:ascii="Times New Roman" w:eastAsia="Arial" w:hAnsi="Times New Roman" w:cs="Times New Roman"/>
                <w:b/>
                <w:sz w:val="20"/>
                <w:szCs w:val="20"/>
              </w:rPr>
            </w:pPr>
            <w:r w:rsidRPr="00033F3D">
              <w:rPr>
                <w:rFonts w:ascii="Times New Roman" w:eastAsia="Arial" w:hAnsi="Times New Roman" w:cs="Times New Roman"/>
                <w:b/>
                <w:sz w:val="20"/>
                <w:szCs w:val="20"/>
              </w:rPr>
              <w:t>Products</w:t>
            </w:r>
          </w:p>
        </w:tc>
        <w:tc>
          <w:tcPr>
            <w:tcW w:w="706" w:type="pct"/>
            <w:shd w:val="clear" w:color="auto" w:fill="D9D9D9" w:themeFill="background1" w:themeFillShade="D9"/>
            <w:vAlign w:val="center"/>
          </w:tcPr>
          <w:p w14:paraId="1C1F0C5C" w14:textId="77777777" w:rsidR="00810FAC" w:rsidRPr="00033F3D" w:rsidRDefault="00810FAC" w:rsidP="00033F3D">
            <w:pPr>
              <w:spacing w:before="20" w:after="20"/>
              <w:jc w:val="center"/>
              <w:rPr>
                <w:rFonts w:ascii="Times New Roman" w:eastAsia="Arial" w:hAnsi="Times New Roman" w:cs="Times New Roman"/>
                <w:b/>
                <w:sz w:val="20"/>
                <w:szCs w:val="20"/>
              </w:rPr>
            </w:pPr>
            <w:r w:rsidRPr="00033F3D">
              <w:rPr>
                <w:rFonts w:ascii="Times New Roman" w:eastAsia="Arial" w:hAnsi="Times New Roman" w:cs="Times New Roman"/>
                <w:b/>
                <w:sz w:val="20"/>
                <w:szCs w:val="20"/>
              </w:rPr>
              <w:t>(TWh)</w:t>
            </w:r>
          </w:p>
        </w:tc>
        <w:tc>
          <w:tcPr>
            <w:tcW w:w="586" w:type="pct"/>
            <w:shd w:val="clear" w:color="auto" w:fill="D9D9D9" w:themeFill="background1" w:themeFillShade="D9"/>
            <w:vAlign w:val="center"/>
          </w:tcPr>
          <w:p w14:paraId="6E29EA0E" w14:textId="77777777" w:rsidR="00810FAC" w:rsidRPr="00033F3D" w:rsidRDefault="00810FAC" w:rsidP="00033F3D">
            <w:pPr>
              <w:tabs>
                <w:tab w:val="left" w:pos="880"/>
              </w:tabs>
              <w:spacing w:before="20" w:after="20"/>
              <w:jc w:val="center"/>
              <w:rPr>
                <w:rFonts w:ascii="Times New Roman" w:eastAsia="Arial" w:hAnsi="Times New Roman" w:cs="Times New Roman"/>
                <w:b/>
                <w:sz w:val="20"/>
                <w:szCs w:val="20"/>
              </w:rPr>
            </w:pPr>
            <w:r w:rsidRPr="00033F3D">
              <w:rPr>
                <w:rFonts w:ascii="Times New Roman" w:eastAsia="Arial" w:hAnsi="Times New Roman" w:cs="Times New Roman"/>
                <w:b/>
                <w:sz w:val="20"/>
                <w:szCs w:val="20"/>
              </w:rPr>
              <w:t>(GW)</w:t>
            </w:r>
          </w:p>
        </w:tc>
        <w:tc>
          <w:tcPr>
            <w:tcW w:w="586" w:type="pct"/>
            <w:shd w:val="clear" w:color="auto" w:fill="D9D9D9" w:themeFill="background1" w:themeFillShade="D9"/>
            <w:vAlign w:val="center"/>
          </w:tcPr>
          <w:p w14:paraId="5905039C" w14:textId="77777777" w:rsidR="00810FAC" w:rsidRPr="00033F3D" w:rsidRDefault="00810FAC" w:rsidP="00033F3D">
            <w:pPr>
              <w:tabs>
                <w:tab w:val="left" w:pos="880"/>
              </w:tabs>
              <w:spacing w:before="20" w:after="20"/>
              <w:jc w:val="center"/>
              <w:rPr>
                <w:rFonts w:ascii="Times New Roman" w:eastAsia="Arial" w:hAnsi="Times New Roman" w:cs="Times New Roman"/>
                <w:b/>
                <w:sz w:val="20"/>
                <w:szCs w:val="20"/>
              </w:rPr>
            </w:pPr>
            <w:r w:rsidRPr="00033F3D">
              <w:rPr>
                <w:rFonts w:ascii="Times New Roman" w:eastAsia="Arial" w:hAnsi="Times New Roman" w:cs="Times New Roman"/>
                <w:b/>
                <w:sz w:val="20"/>
                <w:szCs w:val="20"/>
              </w:rPr>
              <w:t>(Tbtu)</w:t>
            </w:r>
          </w:p>
        </w:tc>
        <w:tc>
          <w:tcPr>
            <w:tcW w:w="703" w:type="pct"/>
            <w:shd w:val="clear" w:color="auto" w:fill="D9D9D9" w:themeFill="background1" w:themeFillShade="D9"/>
            <w:vAlign w:val="center"/>
          </w:tcPr>
          <w:p w14:paraId="3068607F" w14:textId="77777777" w:rsidR="00810FAC" w:rsidRPr="00033F3D" w:rsidRDefault="00810FAC" w:rsidP="00033F3D">
            <w:pPr>
              <w:spacing w:before="20" w:after="20"/>
              <w:jc w:val="center"/>
              <w:rPr>
                <w:rFonts w:ascii="Times New Roman" w:eastAsia="Arial" w:hAnsi="Times New Roman" w:cs="Times New Roman"/>
                <w:b/>
                <w:sz w:val="20"/>
                <w:szCs w:val="20"/>
              </w:rPr>
            </w:pPr>
            <w:r w:rsidRPr="00033F3D">
              <w:rPr>
                <w:rFonts w:ascii="Times New Roman" w:eastAsia="Arial" w:hAnsi="Times New Roman" w:cs="Times New Roman"/>
                <w:b/>
                <w:sz w:val="20"/>
                <w:szCs w:val="20"/>
              </w:rPr>
              <w:t>(TWh)</w:t>
            </w:r>
          </w:p>
        </w:tc>
        <w:tc>
          <w:tcPr>
            <w:tcW w:w="586" w:type="pct"/>
            <w:shd w:val="clear" w:color="auto" w:fill="D9D9D9" w:themeFill="background1" w:themeFillShade="D9"/>
            <w:vAlign w:val="center"/>
          </w:tcPr>
          <w:p w14:paraId="2F4AC666" w14:textId="77777777" w:rsidR="00810FAC" w:rsidRPr="00033F3D" w:rsidRDefault="00810FAC" w:rsidP="00033F3D">
            <w:pPr>
              <w:tabs>
                <w:tab w:val="left" w:pos="880"/>
              </w:tabs>
              <w:spacing w:before="20" w:after="20"/>
              <w:jc w:val="center"/>
              <w:rPr>
                <w:rFonts w:ascii="Times New Roman" w:eastAsia="Arial" w:hAnsi="Times New Roman" w:cs="Times New Roman"/>
                <w:b/>
                <w:sz w:val="20"/>
                <w:szCs w:val="20"/>
              </w:rPr>
            </w:pPr>
            <w:r w:rsidRPr="00033F3D">
              <w:rPr>
                <w:rFonts w:ascii="Times New Roman" w:eastAsia="Arial" w:hAnsi="Times New Roman" w:cs="Times New Roman"/>
                <w:b/>
                <w:sz w:val="20"/>
                <w:szCs w:val="20"/>
              </w:rPr>
              <w:t>(GW)</w:t>
            </w:r>
          </w:p>
        </w:tc>
        <w:tc>
          <w:tcPr>
            <w:tcW w:w="525" w:type="pct"/>
            <w:shd w:val="clear" w:color="auto" w:fill="D9D9D9" w:themeFill="background1" w:themeFillShade="D9"/>
            <w:vAlign w:val="center"/>
          </w:tcPr>
          <w:p w14:paraId="62A9FDDC" w14:textId="77777777" w:rsidR="00810FAC" w:rsidRPr="00033F3D" w:rsidRDefault="00810FAC" w:rsidP="00033F3D">
            <w:pPr>
              <w:tabs>
                <w:tab w:val="left" w:pos="880"/>
              </w:tabs>
              <w:spacing w:before="20" w:after="20"/>
              <w:jc w:val="center"/>
              <w:rPr>
                <w:rFonts w:ascii="Times New Roman" w:eastAsia="Arial" w:hAnsi="Times New Roman" w:cs="Times New Roman"/>
                <w:b/>
                <w:sz w:val="20"/>
                <w:szCs w:val="20"/>
              </w:rPr>
            </w:pPr>
            <w:r w:rsidRPr="00033F3D">
              <w:rPr>
                <w:rFonts w:ascii="Times New Roman" w:eastAsia="Arial" w:hAnsi="Times New Roman" w:cs="Times New Roman"/>
                <w:b/>
                <w:sz w:val="20"/>
                <w:szCs w:val="20"/>
              </w:rPr>
              <w:t>(Tbtu)</w:t>
            </w:r>
          </w:p>
        </w:tc>
      </w:tr>
      <w:tr w:rsidR="00810FAC" w:rsidRPr="00033F3D" w14:paraId="03B9E493" w14:textId="77777777" w:rsidTr="000A6D80">
        <w:tc>
          <w:tcPr>
            <w:tcW w:w="5000" w:type="pct"/>
            <w:gridSpan w:val="7"/>
            <w:shd w:val="clear" w:color="auto" w:fill="F2F2F2" w:themeFill="background1" w:themeFillShade="F2"/>
          </w:tcPr>
          <w:p w14:paraId="05D2D173" w14:textId="77777777" w:rsidR="00810FAC" w:rsidRPr="00033F3D" w:rsidRDefault="00810FAC" w:rsidP="00033F3D">
            <w:pPr>
              <w:spacing w:before="20" w:after="20"/>
              <w:jc w:val="center"/>
              <w:rPr>
                <w:rFonts w:ascii="Times New Roman" w:eastAsia="Arial" w:hAnsi="Times New Roman" w:cs="Times New Roman"/>
                <w:sz w:val="20"/>
                <w:szCs w:val="20"/>
              </w:rPr>
            </w:pPr>
            <w:r w:rsidRPr="00033F3D">
              <w:rPr>
                <w:rFonts w:ascii="Times New Roman" w:eastAsia="Arial" w:hAnsi="Times New Roman" w:cs="Times New Roman"/>
                <w:b/>
                <w:color w:val="231F20"/>
                <w:sz w:val="20"/>
                <w:szCs w:val="20"/>
              </w:rPr>
              <w:t>RESIDENTIAL STANDARDS</w:t>
            </w:r>
          </w:p>
        </w:tc>
      </w:tr>
      <w:tr w:rsidR="00810FAC" w:rsidRPr="00033F3D" w14:paraId="19A5C4DD" w14:textId="77777777" w:rsidTr="00810FAC">
        <w:tc>
          <w:tcPr>
            <w:tcW w:w="1309" w:type="pct"/>
          </w:tcPr>
          <w:p w14:paraId="0D828CEF" w14:textId="77777777" w:rsidR="00810FAC" w:rsidRPr="00033F3D" w:rsidRDefault="00810FAC" w:rsidP="00033F3D">
            <w:pPr>
              <w:tabs>
                <w:tab w:val="left" w:pos="2300"/>
              </w:tabs>
              <w:spacing w:before="20" w:after="20"/>
              <w:rPr>
                <w:rFonts w:ascii="Times New Roman" w:eastAsia="Arial" w:hAnsi="Times New Roman" w:cs="Times New Roman"/>
                <w:sz w:val="20"/>
                <w:szCs w:val="20"/>
              </w:rPr>
            </w:pPr>
            <w:r w:rsidRPr="00033F3D">
              <w:rPr>
                <w:rFonts w:ascii="Times New Roman" w:eastAsia="Arial" w:hAnsi="Times New Roman" w:cs="Times New Roman"/>
                <w:color w:val="231F20"/>
                <w:sz w:val="20"/>
                <w:szCs w:val="20"/>
              </w:rPr>
              <w:t>Water heaters</w:t>
            </w:r>
          </w:p>
        </w:tc>
        <w:tc>
          <w:tcPr>
            <w:tcW w:w="706" w:type="pct"/>
            <w:vAlign w:val="bottom"/>
          </w:tcPr>
          <w:p w14:paraId="646562C5" w14:textId="77777777" w:rsidR="00810FAC" w:rsidRPr="00033F3D" w:rsidRDefault="00810FAC" w:rsidP="00033F3D">
            <w:pPr>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18.2</w:t>
            </w:r>
          </w:p>
        </w:tc>
        <w:tc>
          <w:tcPr>
            <w:tcW w:w="586" w:type="pct"/>
            <w:vAlign w:val="bottom"/>
          </w:tcPr>
          <w:p w14:paraId="208B1761" w14:textId="77777777" w:rsidR="00810FAC" w:rsidRPr="00033F3D" w:rsidRDefault="00810FAC" w:rsidP="00033F3D">
            <w:pPr>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2.5</w:t>
            </w:r>
          </w:p>
        </w:tc>
        <w:tc>
          <w:tcPr>
            <w:tcW w:w="586" w:type="pct"/>
            <w:vAlign w:val="bottom"/>
          </w:tcPr>
          <w:p w14:paraId="130CA8BA" w14:textId="77777777" w:rsidR="00810FAC" w:rsidRPr="00033F3D" w:rsidRDefault="00810FAC" w:rsidP="00033F3D">
            <w:pPr>
              <w:spacing w:before="20" w:after="20"/>
              <w:jc w:val="center"/>
              <w:rPr>
                <w:rFonts w:ascii="Times New Roman" w:eastAsia="Arial" w:hAnsi="Times New Roman" w:cs="Times New Roman"/>
                <w:sz w:val="20"/>
                <w:szCs w:val="20"/>
              </w:rPr>
            </w:pPr>
            <w:r w:rsidRPr="00033F3D">
              <w:rPr>
                <w:rFonts w:ascii="Times New Roman" w:eastAsia="Arial" w:hAnsi="Times New Roman" w:cs="Times New Roman"/>
                <w:sz w:val="20"/>
                <w:szCs w:val="20"/>
              </w:rPr>
              <w:t>—</w:t>
            </w:r>
          </w:p>
        </w:tc>
        <w:tc>
          <w:tcPr>
            <w:tcW w:w="703" w:type="pct"/>
            <w:shd w:val="clear" w:color="auto" w:fill="FFFFFF"/>
            <w:vAlign w:val="bottom"/>
          </w:tcPr>
          <w:p w14:paraId="67B19BCB" w14:textId="77777777" w:rsidR="00810FAC" w:rsidRPr="00033F3D" w:rsidRDefault="00810FAC" w:rsidP="00033F3D">
            <w:pPr>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43.0</w:t>
            </w:r>
          </w:p>
        </w:tc>
        <w:tc>
          <w:tcPr>
            <w:tcW w:w="586" w:type="pct"/>
            <w:shd w:val="clear" w:color="auto" w:fill="FFFFFF"/>
            <w:vAlign w:val="bottom"/>
          </w:tcPr>
          <w:p w14:paraId="23B2ABBD" w14:textId="77777777" w:rsidR="00810FAC" w:rsidRPr="00033F3D" w:rsidRDefault="00810FAC" w:rsidP="00033F3D">
            <w:pPr>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5.9</w:t>
            </w:r>
          </w:p>
        </w:tc>
        <w:tc>
          <w:tcPr>
            <w:tcW w:w="525" w:type="pct"/>
            <w:vAlign w:val="bottom"/>
          </w:tcPr>
          <w:p w14:paraId="18734834" w14:textId="77777777" w:rsidR="00810FAC" w:rsidRPr="00033F3D" w:rsidRDefault="00810FAC" w:rsidP="00033F3D">
            <w:pPr>
              <w:spacing w:before="20" w:after="20"/>
              <w:jc w:val="center"/>
              <w:rPr>
                <w:rFonts w:ascii="Times New Roman" w:eastAsia="Arial" w:hAnsi="Times New Roman" w:cs="Times New Roman"/>
                <w:sz w:val="20"/>
                <w:szCs w:val="20"/>
              </w:rPr>
            </w:pPr>
            <w:r w:rsidRPr="00033F3D">
              <w:rPr>
                <w:rFonts w:ascii="Times New Roman" w:eastAsia="Arial" w:hAnsi="Times New Roman" w:cs="Times New Roman"/>
                <w:sz w:val="20"/>
                <w:szCs w:val="20"/>
              </w:rPr>
              <w:t>—</w:t>
            </w:r>
          </w:p>
        </w:tc>
      </w:tr>
      <w:tr w:rsidR="00810FAC" w:rsidRPr="00033F3D" w14:paraId="47F70D42" w14:textId="77777777" w:rsidTr="00810FAC">
        <w:tc>
          <w:tcPr>
            <w:tcW w:w="1309" w:type="pct"/>
          </w:tcPr>
          <w:p w14:paraId="077E2130" w14:textId="77777777" w:rsidR="00810FAC" w:rsidRPr="00033F3D" w:rsidRDefault="00810FAC" w:rsidP="00033F3D">
            <w:pPr>
              <w:tabs>
                <w:tab w:val="left" w:pos="2300"/>
              </w:tabs>
              <w:spacing w:before="20" w:after="20"/>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Set top boxes and digital communication equipment</w:t>
            </w:r>
          </w:p>
        </w:tc>
        <w:tc>
          <w:tcPr>
            <w:tcW w:w="706" w:type="pct"/>
            <w:vAlign w:val="bottom"/>
          </w:tcPr>
          <w:p w14:paraId="0CCBEC2F" w14:textId="77777777" w:rsidR="00810FAC" w:rsidRPr="00033F3D" w:rsidRDefault="00810FAC" w:rsidP="00033F3D">
            <w:pPr>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14.7</w:t>
            </w:r>
          </w:p>
        </w:tc>
        <w:tc>
          <w:tcPr>
            <w:tcW w:w="586" w:type="pct"/>
            <w:vAlign w:val="bottom"/>
          </w:tcPr>
          <w:p w14:paraId="06306DF7" w14:textId="77777777" w:rsidR="00810FAC" w:rsidRPr="00033F3D" w:rsidRDefault="00810FAC" w:rsidP="00033F3D">
            <w:pPr>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2.0</w:t>
            </w:r>
          </w:p>
        </w:tc>
        <w:tc>
          <w:tcPr>
            <w:tcW w:w="586" w:type="pct"/>
            <w:vAlign w:val="bottom"/>
          </w:tcPr>
          <w:p w14:paraId="0AF75AA0" w14:textId="77777777" w:rsidR="00810FAC" w:rsidRPr="00033F3D" w:rsidRDefault="00810FAC" w:rsidP="00033F3D">
            <w:pPr>
              <w:spacing w:before="20" w:after="20"/>
              <w:jc w:val="center"/>
              <w:rPr>
                <w:rFonts w:ascii="Times New Roman" w:eastAsia="Arial" w:hAnsi="Times New Roman" w:cs="Times New Roman"/>
                <w:sz w:val="20"/>
                <w:szCs w:val="20"/>
              </w:rPr>
            </w:pPr>
            <w:r w:rsidRPr="00033F3D">
              <w:rPr>
                <w:rFonts w:ascii="Times New Roman" w:eastAsia="Arial" w:hAnsi="Times New Roman" w:cs="Times New Roman"/>
                <w:sz w:val="20"/>
                <w:szCs w:val="20"/>
              </w:rPr>
              <w:t>—</w:t>
            </w:r>
          </w:p>
        </w:tc>
        <w:tc>
          <w:tcPr>
            <w:tcW w:w="703" w:type="pct"/>
            <w:shd w:val="clear" w:color="auto" w:fill="FFFFFF"/>
            <w:vAlign w:val="bottom"/>
          </w:tcPr>
          <w:p w14:paraId="4E5C60F3" w14:textId="77777777" w:rsidR="00810FAC" w:rsidRPr="00033F3D" w:rsidRDefault="00810FAC" w:rsidP="00033F3D">
            <w:pPr>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14.7</w:t>
            </w:r>
          </w:p>
        </w:tc>
        <w:tc>
          <w:tcPr>
            <w:tcW w:w="586" w:type="pct"/>
            <w:shd w:val="clear" w:color="auto" w:fill="FFFFFF"/>
            <w:vAlign w:val="bottom"/>
          </w:tcPr>
          <w:p w14:paraId="4900264A" w14:textId="77777777" w:rsidR="00810FAC" w:rsidRPr="00033F3D" w:rsidRDefault="00810FAC" w:rsidP="00033F3D">
            <w:pPr>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2.0</w:t>
            </w:r>
          </w:p>
        </w:tc>
        <w:tc>
          <w:tcPr>
            <w:tcW w:w="525" w:type="pct"/>
            <w:vAlign w:val="bottom"/>
          </w:tcPr>
          <w:p w14:paraId="25C9C0D2" w14:textId="77777777" w:rsidR="00810FAC" w:rsidRPr="00033F3D" w:rsidRDefault="00810FAC" w:rsidP="00033F3D">
            <w:pPr>
              <w:spacing w:before="20" w:after="20"/>
              <w:jc w:val="center"/>
              <w:rPr>
                <w:rFonts w:ascii="Times New Roman" w:eastAsia="Arial" w:hAnsi="Times New Roman" w:cs="Times New Roman"/>
                <w:sz w:val="20"/>
                <w:szCs w:val="20"/>
              </w:rPr>
            </w:pPr>
            <w:r w:rsidRPr="00033F3D">
              <w:rPr>
                <w:rFonts w:ascii="Times New Roman" w:eastAsia="Arial" w:hAnsi="Times New Roman" w:cs="Times New Roman"/>
                <w:sz w:val="20"/>
                <w:szCs w:val="20"/>
              </w:rPr>
              <w:t>—</w:t>
            </w:r>
          </w:p>
        </w:tc>
      </w:tr>
      <w:tr w:rsidR="00810FAC" w:rsidRPr="00033F3D" w14:paraId="4E88D1E4" w14:textId="77777777" w:rsidTr="00810FAC">
        <w:tc>
          <w:tcPr>
            <w:tcW w:w="1309" w:type="pct"/>
          </w:tcPr>
          <w:p w14:paraId="6BC47610" w14:textId="77777777" w:rsidR="00810FAC" w:rsidRPr="00033F3D" w:rsidRDefault="00810FAC" w:rsidP="00033F3D">
            <w:pPr>
              <w:tabs>
                <w:tab w:val="left" w:pos="2300"/>
              </w:tabs>
              <w:spacing w:before="20" w:after="20"/>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Air handlers</w:t>
            </w:r>
          </w:p>
        </w:tc>
        <w:tc>
          <w:tcPr>
            <w:tcW w:w="706" w:type="pct"/>
            <w:vAlign w:val="bottom"/>
          </w:tcPr>
          <w:p w14:paraId="6AF242E3" w14:textId="77777777" w:rsidR="00810FAC" w:rsidRPr="00033F3D" w:rsidRDefault="00810FAC" w:rsidP="00033F3D">
            <w:pPr>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13.7</w:t>
            </w:r>
          </w:p>
        </w:tc>
        <w:tc>
          <w:tcPr>
            <w:tcW w:w="586" w:type="pct"/>
            <w:vAlign w:val="bottom"/>
          </w:tcPr>
          <w:p w14:paraId="6AFD0110" w14:textId="77777777" w:rsidR="00810FAC" w:rsidRPr="00033F3D" w:rsidRDefault="00810FAC" w:rsidP="00033F3D">
            <w:pPr>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5.6</w:t>
            </w:r>
          </w:p>
        </w:tc>
        <w:tc>
          <w:tcPr>
            <w:tcW w:w="586" w:type="pct"/>
            <w:vAlign w:val="bottom"/>
          </w:tcPr>
          <w:p w14:paraId="071EB3BC" w14:textId="77777777" w:rsidR="00810FAC" w:rsidRPr="00033F3D" w:rsidRDefault="00810FAC" w:rsidP="00033F3D">
            <w:pPr>
              <w:spacing w:before="20" w:after="20"/>
              <w:jc w:val="center"/>
              <w:rPr>
                <w:rFonts w:ascii="Times New Roman" w:eastAsia="Arial" w:hAnsi="Times New Roman" w:cs="Times New Roman"/>
                <w:sz w:val="20"/>
                <w:szCs w:val="20"/>
              </w:rPr>
            </w:pPr>
            <w:r w:rsidRPr="00033F3D">
              <w:rPr>
                <w:rFonts w:ascii="Times New Roman" w:eastAsia="Arial" w:hAnsi="Times New Roman" w:cs="Times New Roman"/>
                <w:sz w:val="20"/>
                <w:szCs w:val="20"/>
              </w:rPr>
              <w:t>—</w:t>
            </w:r>
          </w:p>
        </w:tc>
        <w:tc>
          <w:tcPr>
            <w:tcW w:w="703" w:type="pct"/>
            <w:shd w:val="clear" w:color="auto" w:fill="FFFFFF"/>
            <w:vAlign w:val="bottom"/>
          </w:tcPr>
          <w:p w14:paraId="3FE1DC95" w14:textId="77777777" w:rsidR="00810FAC" w:rsidRPr="00033F3D" w:rsidRDefault="00810FAC" w:rsidP="00033F3D">
            <w:pPr>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29.1</w:t>
            </w:r>
          </w:p>
        </w:tc>
        <w:tc>
          <w:tcPr>
            <w:tcW w:w="586" w:type="pct"/>
            <w:shd w:val="clear" w:color="auto" w:fill="FFFFFF"/>
            <w:vAlign w:val="bottom"/>
          </w:tcPr>
          <w:p w14:paraId="56D81D30" w14:textId="77777777" w:rsidR="00810FAC" w:rsidRPr="00033F3D" w:rsidRDefault="00810FAC" w:rsidP="00033F3D">
            <w:pPr>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11.9</w:t>
            </w:r>
          </w:p>
        </w:tc>
        <w:tc>
          <w:tcPr>
            <w:tcW w:w="525" w:type="pct"/>
            <w:vAlign w:val="bottom"/>
          </w:tcPr>
          <w:p w14:paraId="3BE4AB35" w14:textId="77777777" w:rsidR="00810FAC" w:rsidRPr="00033F3D" w:rsidRDefault="00810FAC" w:rsidP="00033F3D">
            <w:pPr>
              <w:spacing w:before="20" w:after="20"/>
              <w:jc w:val="center"/>
              <w:rPr>
                <w:rFonts w:ascii="Times New Roman" w:eastAsia="Arial" w:hAnsi="Times New Roman" w:cs="Times New Roman"/>
                <w:sz w:val="20"/>
                <w:szCs w:val="20"/>
              </w:rPr>
            </w:pPr>
            <w:r w:rsidRPr="00033F3D">
              <w:rPr>
                <w:rFonts w:ascii="Times New Roman" w:eastAsia="Arial" w:hAnsi="Times New Roman" w:cs="Times New Roman"/>
                <w:sz w:val="20"/>
                <w:szCs w:val="20"/>
              </w:rPr>
              <w:t>—</w:t>
            </w:r>
          </w:p>
        </w:tc>
      </w:tr>
      <w:tr w:rsidR="00810FAC" w:rsidRPr="00033F3D" w14:paraId="7598D2A1" w14:textId="77777777" w:rsidTr="00810FAC">
        <w:tc>
          <w:tcPr>
            <w:tcW w:w="1309" w:type="pct"/>
          </w:tcPr>
          <w:p w14:paraId="71E8F629" w14:textId="77777777" w:rsidR="00810FAC" w:rsidRPr="00033F3D" w:rsidRDefault="00810FAC" w:rsidP="00033F3D">
            <w:pPr>
              <w:tabs>
                <w:tab w:val="left" w:pos="2300"/>
              </w:tabs>
              <w:spacing w:before="20" w:after="20"/>
              <w:rPr>
                <w:rFonts w:ascii="Times New Roman" w:eastAsia="Arial" w:hAnsi="Times New Roman" w:cs="Times New Roman"/>
                <w:b/>
                <w:color w:val="231F20"/>
                <w:sz w:val="20"/>
                <w:szCs w:val="20"/>
              </w:rPr>
            </w:pPr>
            <w:r w:rsidRPr="00033F3D">
              <w:rPr>
                <w:rFonts w:ascii="Times New Roman" w:eastAsia="Arial" w:hAnsi="Times New Roman" w:cs="Times New Roman"/>
                <w:b/>
                <w:color w:val="231F20"/>
                <w:sz w:val="20"/>
                <w:szCs w:val="20"/>
              </w:rPr>
              <w:t>Total (14 products)</w:t>
            </w:r>
          </w:p>
        </w:tc>
        <w:tc>
          <w:tcPr>
            <w:tcW w:w="706" w:type="pct"/>
            <w:vAlign w:val="bottom"/>
          </w:tcPr>
          <w:p w14:paraId="11387709" w14:textId="77777777" w:rsidR="00810FAC" w:rsidRPr="00033F3D" w:rsidRDefault="00810FAC" w:rsidP="00033F3D">
            <w:pPr>
              <w:spacing w:before="20" w:after="20"/>
              <w:jc w:val="center"/>
              <w:rPr>
                <w:rFonts w:ascii="Times New Roman" w:eastAsia="Arial" w:hAnsi="Times New Roman" w:cs="Times New Roman"/>
                <w:b/>
                <w:color w:val="231F20"/>
                <w:sz w:val="20"/>
                <w:szCs w:val="20"/>
              </w:rPr>
            </w:pPr>
            <w:r w:rsidRPr="00033F3D">
              <w:rPr>
                <w:rFonts w:ascii="Times New Roman" w:eastAsia="Arial" w:hAnsi="Times New Roman" w:cs="Times New Roman"/>
                <w:b/>
                <w:color w:val="231F20"/>
                <w:sz w:val="20"/>
                <w:szCs w:val="20"/>
              </w:rPr>
              <w:t>98.5</w:t>
            </w:r>
          </w:p>
        </w:tc>
        <w:tc>
          <w:tcPr>
            <w:tcW w:w="586" w:type="pct"/>
            <w:vAlign w:val="bottom"/>
          </w:tcPr>
          <w:p w14:paraId="3E3B5CBA" w14:textId="77777777" w:rsidR="00810FAC" w:rsidRPr="00033F3D" w:rsidRDefault="00810FAC" w:rsidP="00033F3D">
            <w:pPr>
              <w:spacing w:before="20" w:after="20"/>
              <w:jc w:val="center"/>
              <w:rPr>
                <w:rFonts w:ascii="Times New Roman" w:eastAsia="Arial" w:hAnsi="Times New Roman" w:cs="Times New Roman"/>
                <w:b/>
                <w:color w:val="231F20"/>
                <w:sz w:val="20"/>
                <w:szCs w:val="20"/>
              </w:rPr>
            </w:pPr>
            <w:r w:rsidRPr="00033F3D">
              <w:rPr>
                <w:rFonts w:ascii="Times New Roman" w:eastAsia="Arial" w:hAnsi="Times New Roman" w:cs="Times New Roman"/>
                <w:b/>
                <w:color w:val="231F20"/>
                <w:sz w:val="20"/>
                <w:szCs w:val="20"/>
              </w:rPr>
              <w:t>16.8</w:t>
            </w:r>
          </w:p>
        </w:tc>
        <w:tc>
          <w:tcPr>
            <w:tcW w:w="586" w:type="pct"/>
            <w:vAlign w:val="bottom"/>
          </w:tcPr>
          <w:p w14:paraId="066117DA" w14:textId="77777777" w:rsidR="00810FAC" w:rsidRPr="00033F3D" w:rsidRDefault="00810FAC" w:rsidP="00033F3D">
            <w:pPr>
              <w:spacing w:before="20" w:after="20"/>
              <w:jc w:val="center"/>
              <w:rPr>
                <w:rFonts w:ascii="Times New Roman" w:eastAsia="Arial" w:hAnsi="Times New Roman" w:cs="Times New Roman"/>
                <w:b/>
                <w:color w:val="231F20"/>
                <w:sz w:val="20"/>
                <w:szCs w:val="20"/>
              </w:rPr>
            </w:pPr>
            <w:r w:rsidRPr="00033F3D">
              <w:rPr>
                <w:rFonts w:ascii="Times New Roman" w:eastAsia="Arial" w:hAnsi="Times New Roman" w:cs="Times New Roman"/>
                <w:b/>
                <w:color w:val="231F20"/>
                <w:sz w:val="20"/>
                <w:szCs w:val="20"/>
              </w:rPr>
              <w:t>51.6</w:t>
            </w:r>
          </w:p>
        </w:tc>
        <w:tc>
          <w:tcPr>
            <w:tcW w:w="703" w:type="pct"/>
            <w:shd w:val="clear" w:color="auto" w:fill="FFFFFF"/>
            <w:vAlign w:val="bottom"/>
          </w:tcPr>
          <w:p w14:paraId="55DCB639" w14:textId="77777777" w:rsidR="00810FAC" w:rsidRPr="00033F3D" w:rsidRDefault="00810FAC" w:rsidP="00033F3D">
            <w:pPr>
              <w:spacing w:before="20" w:after="20"/>
              <w:jc w:val="center"/>
              <w:rPr>
                <w:rFonts w:ascii="Times New Roman" w:eastAsia="Arial" w:hAnsi="Times New Roman" w:cs="Times New Roman"/>
                <w:b/>
                <w:color w:val="231F20"/>
                <w:sz w:val="20"/>
                <w:szCs w:val="20"/>
              </w:rPr>
            </w:pPr>
            <w:r w:rsidRPr="00033F3D">
              <w:rPr>
                <w:rFonts w:ascii="Times New Roman" w:eastAsia="Arial" w:hAnsi="Times New Roman" w:cs="Times New Roman"/>
                <w:b/>
                <w:color w:val="231F20"/>
                <w:sz w:val="20"/>
                <w:szCs w:val="20"/>
              </w:rPr>
              <w:t>142.3</w:t>
            </w:r>
          </w:p>
        </w:tc>
        <w:tc>
          <w:tcPr>
            <w:tcW w:w="586" w:type="pct"/>
            <w:shd w:val="clear" w:color="auto" w:fill="FFFFFF"/>
            <w:vAlign w:val="bottom"/>
          </w:tcPr>
          <w:p w14:paraId="0F47931C" w14:textId="77777777" w:rsidR="00810FAC" w:rsidRPr="00033F3D" w:rsidRDefault="00810FAC" w:rsidP="00033F3D">
            <w:pPr>
              <w:tabs>
                <w:tab w:val="left" w:pos="660"/>
              </w:tabs>
              <w:spacing w:before="20" w:after="20"/>
              <w:jc w:val="center"/>
              <w:rPr>
                <w:rFonts w:ascii="Times New Roman" w:eastAsia="Arial" w:hAnsi="Times New Roman" w:cs="Times New Roman"/>
                <w:b/>
                <w:color w:val="231F20"/>
                <w:sz w:val="20"/>
                <w:szCs w:val="20"/>
              </w:rPr>
            </w:pPr>
            <w:r w:rsidRPr="00033F3D">
              <w:rPr>
                <w:rFonts w:ascii="Times New Roman" w:eastAsia="Arial" w:hAnsi="Times New Roman" w:cs="Times New Roman"/>
                <w:b/>
                <w:color w:val="231F20"/>
                <w:sz w:val="20"/>
                <w:szCs w:val="20"/>
              </w:rPr>
              <w:t>27.0</w:t>
            </w:r>
          </w:p>
        </w:tc>
        <w:tc>
          <w:tcPr>
            <w:tcW w:w="525" w:type="pct"/>
            <w:vAlign w:val="bottom"/>
          </w:tcPr>
          <w:p w14:paraId="47E349F3" w14:textId="77777777" w:rsidR="00810FAC" w:rsidRPr="00033F3D" w:rsidRDefault="00810FAC" w:rsidP="00033F3D">
            <w:pPr>
              <w:spacing w:before="20" w:after="20"/>
              <w:jc w:val="center"/>
              <w:rPr>
                <w:rFonts w:ascii="Times New Roman" w:eastAsia="Arial" w:hAnsi="Times New Roman" w:cs="Times New Roman"/>
                <w:b/>
                <w:color w:val="231F20"/>
                <w:sz w:val="20"/>
                <w:szCs w:val="20"/>
              </w:rPr>
            </w:pPr>
            <w:r w:rsidRPr="00033F3D">
              <w:rPr>
                <w:rFonts w:ascii="Times New Roman" w:eastAsia="Arial" w:hAnsi="Times New Roman" w:cs="Times New Roman"/>
                <w:b/>
                <w:color w:val="231F20"/>
                <w:sz w:val="20"/>
                <w:szCs w:val="20"/>
              </w:rPr>
              <w:t>51.6</w:t>
            </w:r>
          </w:p>
        </w:tc>
      </w:tr>
      <w:tr w:rsidR="00810FAC" w:rsidRPr="00033F3D" w14:paraId="4F96239E" w14:textId="77777777" w:rsidTr="000A6D80">
        <w:tc>
          <w:tcPr>
            <w:tcW w:w="5000" w:type="pct"/>
            <w:gridSpan w:val="7"/>
            <w:shd w:val="clear" w:color="auto" w:fill="F2F2F2" w:themeFill="background1" w:themeFillShade="F2"/>
            <w:vAlign w:val="center"/>
          </w:tcPr>
          <w:p w14:paraId="02D56526" w14:textId="77777777" w:rsidR="00810FAC" w:rsidRPr="00033F3D" w:rsidRDefault="00810FAC" w:rsidP="00033F3D">
            <w:pPr>
              <w:spacing w:before="20" w:after="20"/>
              <w:jc w:val="center"/>
              <w:rPr>
                <w:rFonts w:ascii="Times New Roman" w:eastAsia="Arial" w:hAnsi="Times New Roman" w:cs="Times New Roman"/>
                <w:sz w:val="20"/>
                <w:szCs w:val="20"/>
              </w:rPr>
            </w:pPr>
            <w:r w:rsidRPr="00033F3D">
              <w:rPr>
                <w:rFonts w:ascii="Times New Roman" w:eastAsia="Arial" w:hAnsi="Times New Roman" w:cs="Times New Roman"/>
                <w:b/>
                <w:color w:val="231F20"/>
                <w:sz w:val="20"/>
                <w:szCs w:val="20"/>
              </w:rPr>
              <w:t>COMMERCIAL AND INDUSTRIAL STANDARDS</w:t>
            </w:r>
          </w:p>
        </w:tc>
      </w:tr>
      <w:tr w:rsidR="00810FAC" w:rsidRPr="00033F3D" w14:paraId="1FC37EE2" w14:textId="77777777" w:rsidTr="00810FAC">
        <w:tc>
          <w:tcPr>
            <w:tcW w:w="1309" w:type="pct"/>
          </w:tcPr>
          <w:p w14:paraId="4DE142CF" w14:textId="77777777" w:rsidR="00810FAC" w:rsidRPr="00033F3D" w:rsidRDefault="00810FAC" w:rsidP="00033F3D">
            <w:pPr>
              <w:tabs>
                <w:tab w:val="left" w:pos="2300"/>
              </w:tabs>
              <w:spacing w:before="20" w:after="20"/>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Walk-in coolers and freezers</w:t>
            </w:r>
          </w:p>
        </w:tc>
        <w:tc>
          <w:tcPr>
            <w:tcW w:w="706" w:type="pct"/>
            <w:vAlign w:val="bottom"/>
          </w:tcPr>
          <w:p w14:paraId="55CCEAF2" w14:textId="77777777" w:rsidR="00810FAC" w:rsidRPr="00033F3D" w:rsidRDefault="00810FAC" w:rsidP="00033F3D">
            <w:pPr>
              <w:tabs>
                <w:tab w:val="left" w:pos="2300"/>
              </w:tabs>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14.7</w:t>
            </w:r>
          </w:p>
        </w:tc>
        <w:tc>
          <w:tcPr>
            <w:tcW w:w="586" w:type="pct"/>
            <w:vAlign w:val="bottom"/>
          </w:tcPr>
          <w:p w14:paraId="315E2766" w14:textId="77777777" w:rsidR="00810FAC" w:rsidRPr="00033F3D" w:rsidRDefault="00810FAC" w:rsidP="00033F3D">
            <w:pPr>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3.4</w:t>
            </w:r>
          </w:p>
        </w:tc>
        <w:tc>
          <w:tcPr>
            <w:tcW w:w="586" w:type="pct"/>
            <w:vAlign w:val="bottom"/>
          </w:tcPr>
          <w:p w14:paraId="041A3399" w14:textId="77777777" w:rsidR="00810FAC" w:rsidRPr="00033F3D" w:rsidRDefault="00810FAC" w:rsidP="00033F3D">
            <w:pPr>
              <w:spacing w:before="20" w:after="20"/>
              <w:jc w:val="center"/>
              <w:rPr>
                <w:rFonts w:ascii="Times New Roman" w:eastAsia="Arial" w:hAnsi="Times New Roman" w:cs="Times New Roman"/>
                <w:sz w:val="20"/>
                <w:szCs w:val="20"/>
              </w:rPr>
            </w:pPr>
            <w:r w:rsidRPr="00033F3D">
              <w:rPr>
                <w:rFonts w:ascii="Times New Roman" w:eastAsia="Arial" w:hAnsi="Times New Roman" w:cs="Times New Roman"/>
                <w:sz w:val="20"/>
                <w:szCs w:val="20"/>
              </w:rPr>
              <w:t>—</w:t>
            </w:r>
          </w:p>
        </w:tc>
        <w:tc>
          <w:tcPr>
            <w:tcW w:w="703" w:type="pct"/>
            <w:shd w:val="clear" w:color="auto" w:fill="FFFFFF"/>
            <w:vAlign w:val="bottom"/>
          </w:tcPr>
          <w:p w14:paraId="7C3A2941" w14:textId="77777777" w:rsidR="00810FAC" w:rsidRPr="00033F3D" w:rsidRDefault="00810FAC" w:rsidP="00033F3D">
            <w:pPr>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14.7</w:t>
            </w:r>
          </w:p>
        </w:tc>
        <w:tc>
          <w:tcPr>
            <w:tcW w:w="586" w:type="pct"/>
            <w:shd w:val="clear" w:color="auto" w:fill="FFFFFF"/>
            <w:vAlign w:val="bottom"/>
          </w:tcPr>
          <w:p w14:paraId="5E4D970D" w14:textId="77777777" w:rsidR="00810FAC" w:rsidRPr="00033F3D" w:rsidRDefault="00810FAC" w:rsidP="00033F3D">
            <w:pPr>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3.4</w:t>
            </w:r>
          </w:p>
        </w:tc>
        <w:tc>
          <w:tcPr>
            <w:tcW w:w="525" w:type="pct"/>
            <w:vAlign w:val="bottom"/>
          </w:tcPr>
          <w:p w14:paraId="61A8B20D" w14:textId="77777777" w:rsidR="00810FAC" w:rsidRPr="00033F3D" w:rsidRDefault="00810FAC" w:rsidP="00033F3D">
            <w:pPr>
              <w:spacing w:before="20" w:after="20"/>
              <w:jc w:val="center"/>
              <w:rPr>
                <w:rFonts w:ascii="Times New Roman" w:eastAsia="Arial" w:hAnsi="Times New Roman" w:cs="Times New Roman"/>
                <w:sz w:val="20"/>
                <w:szCs w:val="20"/>
              </w:rPr>
            </w:pPr>
            <w:r w:rsidRPr="00033F3D">
              <w:rPr>
                <w:rFonts w:ascii="Times New Roman" w:eastAsia="Arial" w:hAnsi="Times New Roman" w:cs="Times New Roman"/>
                <w:sz w:val="20"/>
                <w:szCs w:val="20"/>
              </w:rPr>
              <w:t>—</w:t>
            </w:r>
          </w:p>
        </w:tc>
      </w:tr>
      <w:tr w:rsidR="00810FAC" w:rsidRPr="00033F3D" w14:paraId="0C59788D" w14:textId="77777777" w:rsidTr="00810FAC">
        <w:tc>
          <w:tcPr>
            <w:tcW w:w="1309" w:type="pct"/>
          </w:tcPr>
          <w:p w14:paraId="29E755A1" w14:textId="77777777" w:rsidR="00810FAC" w:rsidRPr="00033F3D" w:rsidRDefault="00810FAC" w:rsidP="00033F3D">
            <w:pPr>
              <w:tabs>
                <w:tab w:val="left" w:pos="2300"/>
              </w:tabs>
              <w:spacing w:before="20" w:after="20"/>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Distribution transformers</w:t>
            </w:r>
          </w:p>
        </w:tc>
        <w:tc>
          <w:tcPr>
            <w:tcW w:w="706" w:type="pct"/>
            <w:vAlign w:val="bottom"/>
          </w:tcPr>
          <w:p w14:paraId="2ACCDDCD" w14:textId="77777777" w:rsidR="00810FAC" w:rsidRPr="00033F3D" w:rsidRDefault="00810FAC" w:rsidP="00033F3D">
            <w:pPr>
              <w:tabs>
                <w:tab w:val="left" w:pos="2300"/>
              </w:tabs>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10.9</w:t>
            </w:r>
          </w:p>
        </w:tc>
        <w:tc>
          <w:tcPr>
            <w:tcW w:w="586" w:type="pct"/>
            <w:vAlign w:val="bottom"/>
          </w:tcPr>
          <w:p w14:paraId="1065D2EC" w14:textId="77777777" w:rsidR="00810FAC" w:rsidRPr="00033F3D" w:rsidRDefault="00810FAC" w:rsidP="00033F3D">
            <w:pPr>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1.5</w:t>
            </w:r>
          </w:p>
        </w:tc>
        <w:tc>
          <w:tcPr>
            <w:tcW w:w="586" w:type="pct"/>
            <w:vAlign w:val="bottom"/>
          </w:tcPr>
          <w:p w14:paraId="2D596C38" w14:textId="77777777" w:rsidR="00810FAC" w:rsidRPr="00033F3D" w:rsidRDefault="00810FAC" w:rsidP="00033F3D">
            <w:pPr>
              <w:spacing w:before="20" w:after="20"/>
              <w:jc w:val="center"/>
              <w:rPr>
                <w:rFonts w:ascii="Times New Roman" w:eastAsia="Arial" w:hAnsi="Times New Roman" w:cs="Times New Roman"/>
                <w:sz w:val="20"/>
                <w:szCs w:val="20"/>
              </w:rPr>
            </w:pPr>
            <w:r w:rsidRPr="00033F3D">
              <w:rPr>
                <w:rFonts w:ascii="Times New Roman" w:eastAsia="Arial" w:hAnsi="Times New Roman" w:cs="Times New Roman"/>
                <w:sz w:val="20"/>
                <w:szCs w:val="20"/>
              </w:rPr>
              <w:t>—</w:t>
            </w:r>
          </w:p>
        </w:tc>
        <w:tc>
          <w:tcPr>
            <w:tcW w:w="703" w:type="pct"/>
            <w:shd w:val="clear" w:color="auto" w:fill="FFFFFF"/>
            <w:vAlign w:val="bottom"/>
          </w:tcPr>
          <w:p w14:paraId="5A997AEE" w14:textId="77777777" w:rsidR="00810FAC" w:rsidRPr="00033F3D" w:rsidRDefault="00810FAC" w:rsidP="00033F3D">
            <w:pPr>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22.4</w:t>
            </w:r>
          </w:p>
        </w:tc>
        <w:tc>
          <w:tcPr>
            <w:tcW w:w="586" w:type="pct"/>
            <w:shd w:val="clear" w:color="auto" w:fill="FFFFFF"/>
            <w:vAlign w:val="bottom"/>
          </w:tcPr>
          <w:p w14:paraId="4D0DED74" w14:textId="77777777" w:rsidR="00810FAC" w:rsidRPr="00033F3D" w:rsidRDefault="00810FAC" w:rsidP="00033F3D">
            <w:pPr>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3.1</w:t>
            </w:r>
          </w:p>
        </w:tc>
        <w:tc>
          <w:tcPr>
            <w:tcW w:w="525" w:type="pct"/>
            <w:vAlign w:val="bottom"/>
          </w:tcPr>
          <w:p w14:paraId="2A5B51AF" w14:textId="77777777" w:rsidR="00810FAC" w:rsidRPr="00033F3D" w:rsidRDefault="00810FAC" w:rsidP="00033F3D">
            <w:pPr>
              <w:spacing w:before="20" w:after="20"/>
              <w:jc w:val="center"/>
              <w:rPr>
                <w:rFonts w:ascii="Times New Roman" w:eastAsia="Arial" w:hAnsi="Times New Roman" w:cs="Times New Roman"/>
                <w:sz w:val="20"/>
                <w:szCs w:val="20"/>
              </w:rPr>
            </w:pPr>
            <w:r w:rsidRPr="00033F3D">
              <w:rPr>
                <w:rFonts w:ascii="Times New Roman" w:eastAsia="Arial" w:hAnsi="Times New Roman" w:cs="Times New Roman"/>
                <w:sz w:val="20"/>
                <w:szCs w:val="20"/>
              </w:rPr>
              <w:t>—</w:t>
            </w:r>
          </w:p>
        </w:tc>
      </w:tr>
      <w:tr w:rsidR="00810FAC" w:rsidRPr="00033F3D" w14:paraId="3A0656B9" w14:textId="77777777" w:rsidTr="00810FAC">
        <w:tc>
          <w:tcPr>
            <w:tcW w:w="1309" w:type="pct"/>
          </w:tcPr>
          <w:p w14:paraId="5F7261C2" w14:textId="77777777" w:rsidR="00810FAC" w:rsidRPr="00033F3D" w:rsidRDefault="00810FAC" w:rsidP="00033F3D">
            <w:pPr>
              <w:tabs>
                <w:tab w:val="left" w:pos="2300"/>
              </w:tabs>
              <w:spacing w:before="20" w:after="20"/>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Electric motors</w:t>
            </w:r>
          </w:p>
        </w:tc>
        <w:tc>
          <w:tcPr>
            <w:tcW w:w="706" w:type="pct"/>
            <w:vAlign w:val="bottom"/>
          </w:tcPr>
          <w:p w14:paraId="421D3395" w14:textId="77777777" w:rsidR="00810FAC" w:rsidRPr="00033F3D" w:rsidRDefault="00810FAC" w:rsidP="00033F3D">
            <w:pPr>
              <w:tabs>
                <w:tab w:val="left" w:pos="2300"/>
              </w:tabs>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9.0</w:t>
            </w:r>
          </w:p>
        </w:tc>
        <w:tc>
          <w:tcPr>
            <w:tcW w:w="586" w:type="pct"/>
            <w:vAlign w:val="bottom"/>
          </w:tcPr>
          <w:p w14:paraId="7550A861" w14:textId="77777777" w:rsidR="00810FAC" w:rsidRPr="00033F3D" w:rsidRDefault="00810FAC" w:rsidP="00033F3D">
            <w:pPr>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1.4</w:t>
            </w:r>
          </w:p>
        </w:tc>
        <w:tc>
          <w:tcPr>
            <w:tcW w:w="586" w:type="pct"/>
            <w:vAlign w:val="bottom"/>
          </w:tcPr>
          <w:p w14:paraId="3258757E" w14:textId="77777777" w:rsidR="00810FAC" w:rsidRPr="00033F3D" w:rsidRDefault="00810FAC" w:rsidP="00033F3D">
            <w:pPr>
              <w:spacing w:before="20" w:after="20"/>
              <w:jc w:val="center"/>
              <w:rPr>
                <w:rFonts w:ascii="Times New Roman" w:eastAsia="Arial" w:hAnsi="Times New Roman" w:cs="Times New Roman"/>
                <w:sz w:val="20"/>
                <w:szCs w:val="20"/>
              </w:rPr>
            </w:pPr>
            <w:r w:rsidRPr="00033F3D">
              <w:rPr>
                <w:rFonts w:ascii="Times New Roman" w:eastAsia="Arial" w:hAnsi="Times New Roman" w:cs="Times New Roman"/>
                <w:sz w:val="20"/>
                <w:szCs w:val="20"/>
              </w:rPr>
              <w:t>—</w:t>
            </w:r>
          </w:p>
        </w:tc>
        <w:tc>
          <w:tcPr>
            <w:tcW w:w="703" w:type="pct"/>
            <w:shd w:val="clear" w:color="auto" w:fill="FFFFFF"/>
            <w:vAlign w:val="bottom"/>
          </w:tcPr>
          <w:p w14:paraId="06A03E1D" w14:textId="77777777" w:rsidR="00810FAC" w:rsidRPr="00033F3D" w:rsidRDefault="00810FAC" w:rsidP="00033F3D">
            <w:pPr>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18.6</w:t>
            </w:r>
          </w:p>
        </w:tc>
        <w:tc>
          <w:tcPr>
            <w:tcW w:w="586" w:type="pct"/>
            <w:shd w:val="clear" w:color="auto" w:fill="FFFFFF"/>
            <w:vAlign w:val="bottom"/>
          </w:tcPr>
          <w:p w14:paraId="4C7BA21F" w14:textId="77777777" w:rsidR="00810FAC" w:rsidRPr="00033F3D" w:rsidRDefault="00810FAC" w:rsidP="00033F3D">
            <w:pPr>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2.9</w:t>
            </w:r>
          </w:p>
        </w:tc>
        <w:tc>
          <w:tcPr>
            <w:tcW w:w="525" w:type="pct"/>
            <w:vAlign w:val="bottom"/>
          </w:tcPr>
          <w:p w14:paraId="3E0752F5" w14:textId="77777777" w:rsidR="00810FAC" w:rsidRPr="00033F3D" w:rsidRDefault="00810FAC" w:rsidP="00033F3D">
            <w:pPr>
              <w:spacing w:before="20" w:after="20"/>
              <w:jc w:val="center"/>
              <w:rPr>
                <w:rFonts w:ascii="Times New Roman" w:eastAsia="Arial" w:hAnsi="Times New Roman" w:cs="Times New Roman"/>
                <w:sz w:val="20"/>
                <w:szCs w:val="20"/>
              </w:rPr>
            </w:pPr>
            <w:r w:rsidRPr="00033F3D">
              <w:rPr>
                <w:rFonts w:ascii="Times New Roman" w:eastAsia="Arial" w:hAnsi="Times New Roman" w:cs="Times New Roman"/>
                <w:sz w:val="20"/>
                <w:szCs w:val="20"/>
              </w:rPr>
              <w:t>—</w:t>
            </w:r>
          </w:p>
        </w:tc>
      </w:tr>
      <w:tr w:rsidR="00810FAC" w:rsidRPr="00033F3D" w14:paraId="49D2C763" w14:textId="77777777" w:rsidTr="00810FAC">
        <w:tc>
          <w:tcPr>
            <w:tcW w:w="1309" w:type="pct"/>
          </w:tcPr>
          <w:p w14:paraId="2039C941" w14:textId="77777777" w:rsidR="00810FAC" w:rsidRPr="00033F3D" w:rsidRDefault="00810FAC" w:rsidP="00033F3D">
            <w:pPr>
              <w:tabs>
                <w:tab w:val="left" w:pos="2300"/>
              </w:tabs>
              <w:spacing w:before="20" w:after="20"/>
              <w:rPr>
                <w:rFonts w:ascii="Times New Roman" w:eastAsia="Arial" w:hAnsi="Times New Roman" w:cs="Times New Roman"/>
                <w:b/>
                <w:color w:val="231F20"/>
                <w:sz w:val="20"/>
                <w:szCs w:val="20"/>
              </w:rPr>
            </w:pPr>
            <w:r w:rsidRPr="00033F3D">
              <w:rPr>
                <w:rFonts w:ascii="Times New Roman" w:eastAsia="Arial" w:hAnsi="Times New Roman" w:cs="Times New Roman"/>
                <w:b/>
                <w:color w:val="231F20"/>
                <w:sz w:val="20"/>
                <w:szCs w:val="20"/>
              </w:rPr>
              <w:t>Total (13 products)</w:t>
            </w:r>
          </w:p>
        </w:tc>
        <w:tc>
          <w:tcPr>
            <w:tcW w:w="706" w:type="pct"/>
            <w:vAlign w:val="bottom"/>
          </w:tcPr>
          <w:p w14:paraId="63EA987B" w14:textId="77777777" w:rsidR="00810FAC" w:rsidRPr="00033F3D" w:rsidRDefault="00810FAC" w:rsidP="00033F3D">
            <w:pPr>
              <w:spacing w:before="20" w:after="20"/>
              <w:jc w:val="center"/>
              <w:rPr>
                <w:rFonts w:ascii="Times New Roman" w:eastAsia="Arial" w:hAnsi="Times New Roman" w:cs="Times New Roman"/>
                <w:b/>
                <w:color w:val="231F20"/>
                <w:sz w:val="20"/>
                <w:szCs w:val="20"/>
              </w:rPr>
            </w:pPr>
            <w:r w:rsidRPr="00033F3D">
              <w:rPr>
                <w:rFonts w:ascii="Times New Roman" w:eastAsia="Arial" w:hAnsi="Times New Roman" w:cs="Times New Roman"/>
                <w:b/>
                <w:color w:val="231F20"/>
                <w:sz w:val="20"/>
                <w:szCs w:val="20"/>
              </w:rPr>
              <w:t>62.4</w:t>
            </w:r>
          </w:p>
        </w:tc>
        <w:tc>
          <w:tcPr>
            <w:tcW w:w="586" w:type="pct"/>
            <w:vAlign w:val="bottom"/>
          </w:tcPr>
          <w:p w14:paraId="39E886AB" w14:textId="77777777" w:rsidR="00810FAC" w:rsidRPr="00033F3D" w:rsidRDefault="00810FAC" w:rsidP="00033F3D">
            <w:pPr>
              <w:spacing w:before="20" w:after="20"/>
              <w:jc w:val="center"/>
              <w:rPr>
                <w:rFonts w:ascii="Times New Roman" w:eastAsia="Arial" w:hAnsi="Times New Roman" w:cs="Times New Roman"/>
                <w:b/>
                <w:color w:val="231F20"/>
                <w:sz w:val="20"/>
                <w:szCs w:val="20"/>
              </w:rPr>
            </w:pPr>
            <w:r w:rsidRPr="00033F3D">
              <w:rPr>
                <w:rFonts w:ascii="Times New Roman" w:eastAsia="Arial" w:hAnsi="Times New Roman" w:cs="Times New Roman"/>
                <w:b/>
                <w:color w:val="231F20"/>
                <w:sz w:val="20"/>
                <w:szCs w:val="20"/>
              </w:rPr>
              <w:t>15.5</w:t>
            </w:r>
          </w:p>
        </w:tc>
        <w:tc>
          <w:tcPr>
            <w:tcW w:w="586" w:type="pct"/>
            <w:vAlign w:val="bottom"/>
          </w:tcPr>
          <w:p w14:paraId="28831BC0" w14:textId="77777777" w:rsidR="00810FAC" w:rsidRPr="00033F3D" w:rsidRDefault="00810FAC" w:rsidP="00033F3D">
            <w:pPr>
              <w:spacing w:before="20" w:after="20"/>
              <w:jc w:val="center"/>
              <w:rPr>
                <w:rFonts w:ascii="Times New Roman" w:eastAsia="Arial" w:hAnsi="Times New Roman" w:cs="Times New Roman"/>
                <w:b/>
                <w:color w:val="231F20"/>
                <w:sz w:val="20"/>
                <w:szCs w:val="20"/>
              </w:rPr>
            </w:pPr>
            <w:r w:rsidRPr="00033F3D">
              <w:rPr>
                <w:rFonts w:ascii="Times New Roman" w:eastAsia="Arial" w:hAnsi="Times New Roman" w:cs="Times New Roman"/>
                <w:b/>
                <w:color w:val="231F20"/>
                <w:sz w:val="20"/>
                <w:szCs w:val="20"/>
              </w:rPr>
              <w:t>74.2</w:t>
            </w:r>
          </w:p>
        </w:tc>
        <w:tc>
          <w:tcPr>
            <w:tcW w:w="703" w:type="pct"/>
            <w:shd w:val="clear" w:color="auto" w:fill="FFFFFF"/>
            <w:vAlign w:val="bottom"/>
          </w:tcPr>
          <w:p w14:paraId="48CC4F1E" w14:textId="77777777" w:rsidR="00810FAC" w:rsidRPr="00033F3D" w:rsidRDefault="00810FAC" w:rsidP="00033F3D">
            <w:pPr>
              <w:spacing w:before="20" w:after="20"/>
              <w:jc w:val="center"/>
              <w:rPr>
                <w:rFonts w:ascii="Times New Roman" w:eastAsia="Arial" w:hAnsi="Times New Roman" w:cs="Times New Roman"/>
                <w:b/>
                <w:color w:val="231F20"/>
                <w:sz w:val="20"/>
                <w:szCs w:val="20"/>
              </w:rPr>
            </w:pPr>
            <w:r w:rsidRPr="00033F3D">
              <w:rPr>
                <w:rFonts w:ascii="Times New Roman" w:eastAsia="Arial" w:hAnsi="Times New Roman" w:cs="Times New Roman"/>
                <w:b/>
                <w:color w:val="231F20"/>
                <w:sz w:val="20"/>
                <w:szCs w:val="20"/>
              </w:rPr>
              <w:t>98.5</w:t>
            </w:r>
          </w:p>
        </w:tc>
        <w:tc>
          <w:tcPr>
            <w:tcW w:w="586" w:type="pct"/>
            <w:shd w:val="clear" w:color="auto" w:fill="FFFFFF"/>
            <w:vAlign w:val="bottom"/>
          </w:tcPr>
          <w:p w14:paraId="61041ED8" w14:textId="77777777" w:rsidR="00810FAC" w:rsidRPr="00033F3D" w:rsidRDefault="00810FAC" w:rsidP="00033F3D">
            <w:pPr>
              <w:tabs>
                <w:tab w:val="left" w:pos="660"/>
              </w:tabs>
              <w:spacing w:before="20" w:after="20"/>
              <w:jc w:val="center"/>
              <w:rPr>
                <w:rFonts w:ascii="Times New Roman" w:eastAsia="Arial" w:hAnsi="Times New Roman" w:cs="Times New Roman"/>
                <w:b/>
                <w:color w:val="231F20"/>
                <w:sz w:val="20"/>
                <w:szCs w:val="20"/>
              </w:rPr>
            </w:pPr>
            <w:r w:rsidRPr="00033F3D">
              <w:rPr>
                <w:rFonts w:ascii="Times New Roman" w:eastAsia="Arial" w:hAnsi="Times New Roman" w:cs="Times New Roman"/>
                <w:b/>
                <w:color w:val="231F20"/>
                <w:sz w:val="20"/>
                <w:szCs w:val="20"/>
              </w:rPr>
              <w:t>24.5</w:t>
            </w:r>
          </w:p>
        </w:tc>
        <w:tc>
          <w:tcPr>
            <w:tcW w:w="525" w:type="pct"/>
            <w:vAlign w:val="bottom"/>
          </w:tcPr>
          <w:p w14:paraId="7620225A" w14:textId="77777777" w:rsidR="00810FAC" w:rsidRPr="00033F3D" w:rsidRDefault="00810FAC" w:rsidP="00033F3D">
            <w:pPr>
              <w:spacing w:before="20" w:after="20"/>
              <w:jc w:val="center"/>
              <w:rPr>
                <w:rFonts w:ascii="Times New Roman" w:eastAsia="Arial" w:hAnsi="Times New Roman" w:cs="Times New Roman"/>
                <w:b/>
                <w:color w:val="231F20"/>
                <w:sz w:val="20"/>
                <w:szCs w:val="20"/>
              </w:rPr>
            </w:pPr>
            <w:r w:rsidRPr="00033F3D">
              <w:rPr>
                <w:rFonts w:ascii="Times New Roman" w:eastAsia="Arial" w:hAnsi="Times New Roman" w:cs="Times New Roman"/>
                <w:b/>
                <w:color w:val="231F20"/>
                <w:sz w:val="20"/>
                <w:szCs w:val="20"/>
              </w:rPr>
              <w:t>139.9</w:t>
            </w:r>
          </w:p>
        </w:tc>
      </w:tr>
      <w:tr w:rsidR="00810FAC" w:rsidRPr="00033F3D" w14:paraId="1DB17618" w14:textId="77777777" w:rsidTr="000A6D80">
        <w:tc>
          <w:tcPr>
            <w:tcW w:w="5000" w:type="pct"/>
            <w:gridSpan w:val="7"/>
            <w:shd w:val="clear" w:color="auto" w:fill="F2F2F2" w:themeFill="background1" w:themeFillShade="F2"/>
          </w:tcPr>
          <w:p w14:paraId="363801FF" w14:textId="77777777" w:rsidR="00810FAC" w:rsidRPr="00033F3D" w:rsidRDefault="00810FAC" w:rsidP="00033F3D">
            <w:pPr>
              <w:keepNext/>
              <w:keepLines/>
              <w:spacing w:before="20" w:after="20"/>
              <w:jc w:val="center"/>
              <w:rPr>
                <w:rFonts w:ascii="Times New Roman" w:eastAsia="Arial" w:hAnsi="Times New Roman" w:cs="Times New Roman"/>
                <w:sz w:val="20"/>
                <w:szCs w:val="20"/>
              </w:rPr>
            </w:pPr>
            <w:r w:rsidRPr="00033F3D">
              <w:rPr>
                <w:rFonts w:ascii="Times New Roman" w:eastAsia="Arial" w:hAnsi="Times New Roman" w:cs="Times New Roman"/>
                <w:b/>
                <w:color w:val="231F20"/>
                <w:sz w:val="20"/>
                <w:szCs w:val="20"/>
              </w:rPr>
              <w:t>LIGHTING STANDARDS</w:t>
            </w:r>
          </w:p>
        </w:tc>
      </w:tr>
      <w:tr w:rsidR="00810FAC" w:rsidRPr="00033F3D" w14:paraId="1CBD694F" w14:textId="77777777" w:rsidTr="00810FAC">
        <w:tc>
          <w:tcPr>
            <w:tcW w:w="1309" w:type="pct"/>
            <w:vAlign w:val="center"/>
          </w:tcPr>
          <w:p w14:paraId="3C0C441F" w14:textId="77777777" w:rsidR="00810FAC" w:rsidRPr="00033F3D" w:rsidRDefault="00810FAC" w:rsidP="00033F3D">
            <w:pPr>
              <w:tabs>
                <w:tab w:val="left" w:pos="2300"/>
              </w:tabs>
              <w:spacing w:before="20" w:after="20"/>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Incandescent reflector lamps</w:t>
            </w:r>
          </w:p>
        </w:tc>
        <w:tc>
          <w:tcPr>
            <w:tcW w:w="706" w:type="pct"/>
            <w:vAlign w:val="center"/>
          </w:tcPr>
          <w:p w14:paraId="3D9E2517" w14:textId="77777777" w:rsidR="00810FAC" w:rsidRPr="00033F3D" w:rsidRDefault="00810FAC" w:rsidP="00033F3D">
            <w:pPr>
              <w:tabs>
                <w:tab w:val="left" w:pos="2300"/>
              </w:tabs>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20.2</w:t>
            </w:r>
          </w:p>
        </w:tc>
        <w:tc>
          <w:tcPr>
            <w:tcW w:w="586" w:type="pct"/>
            <w:vAlign w:val="center"/>
          </w:tcPr>
          <w:p w14:paraId="7701B64C" w14:textId="77777777" w:rsidR="00810FAC" w:rsidRPr="00033F3D" w:rsidRDefault="00810FAC" w:rsidP="00033F3D">
            <w:pPr>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5.0</w:t>
            </w:r>
          </w:p>
        </w:tc>
        <w:tc>
          <w:tcPr>
            <w:tcW w:w="586" w:type="pct"/>
            <w:vAlign w:val="center"/>
          </w:tcPr>
          <w:p w14:paraId="17BB84BD" w14:textId="77777777" w:rsidR="00810FAC" w:rsidRPr="00033F3D" w:rsidRDefault="00810FAC" w:rsidP="00033F3D">
            <w:pPr>
              <w:spacing w:before="20" w:after="20"/>
              <w:jc w:val="center"/>
              <w:rPr>
                <w:rFonts w:ascii="Times New Roman" w:eastAsia="Arial" w:hAnsi="Times New Roman" w:cs="Times New Roman"/>
                <w:sz w:val="20"/>
                <w:szCs w:val="20"/>
              </w:rPr>
            </w:pPr>
            <w:r w:rsidRPr="00033F3D">
              <w:rPr>
                <w:rFonts w:ascii="Times New Roman" w:eastAsia="Arial" w:hAnsi="Times New Roman" w:cs="Times New Roman"/>
                <w:sz w:val="20"/>
                <w:szCs w:val="20"/>
              </w:rPr>
              <w:t>—</w:t>
            </w:r>
          </w:p>
        </w:tc>
        <w:tc>
          <w:tcPr>
            <w:tcW w:w="703" w:type="pct"/>
            <w:shd w:val="clear" w:color="auto" w:fill="FFFFFF"/>
            <w:vAlign w:val="center"/>
          </w:tcPr>
          <w:p w14:paraId="0FDFF558" w14:textId="77777777" w:rsidR="00810FAC" w:rsidRPr="00033F3D" w:rsidRDefault="00810FAC" w:rsidP="00033F3D">
            <w:pPr>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20.2</w:t>
            </w:r>
          </w:p>
        </w:tc>
        <w:tc>
          <w:tcPr>
            <w:tcW w:w="586" w:type="pct"/>
            <w:shd w:val="clear" w:color="auto" w:fill="FFFFFF"/>
            <w:vAlign w:val="center"/>
          </w:tcPr>
          <w:p w14:paraId="1DD3EAAA" w14:textId="77777777" w:rsidR="00810FAC" w:rsidRPr="00033F3D" w:rsidRDefault="00810FAC" w:rsidP="00033F3D">
            <w:pPr>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5.0</w:t>
            </w:r>
          </w:p>
        </w:tc>
        <w:tc>
          <w:tcPr>
            <w:tcW w:w="525" w:type="pct"/>
            <w:vAlign w:val="center"/>
          </w:tcPr>
          <w:p w14:paraId="65DE505A" w14:textId="77777777" w:rsidR="00810FAC" w:rsidRPr="00033F3D" w:rsidRDefault="00810FAC" w:rsidP="00033F3D">
            <w:pPr>
              <w:spacing w:before="20" w:after="20"/>
              <w:jc w:val="center"/>
              <w:rPr>
                <w:rFonts w:ascii="Times New Roman" w:eastAsia="Arial" w:hAnsi="Times New Roman" w:cs="Times New Roman"/>
                <w:sz w:val="20"/>
                <w:szCs w:val="20"/>
              </w:rPr>
            </w:pPr>
            <w:r w:rsidRPr="00033F3D">
              <w:rPr>
                <w:rFonts w:ascii="Times New Roman" w:eastAsia="Arial" w:hAnsi="Times New Roman" w:cs="Times New Roman"/>
                <w:sz w:val="20"/>
                <w:szCs w:val="20"/>
              </w:rPr>
              <w:t>—</w:t>
            </w:r>
          </w:p>
        </w:tc>
      </w:tr>
      <w:tr w:rsidR="00810FAC" w:rsidRPr="00033F3D" w14:paraId="11BA1A9C" w14:textId="77777777" w:rsidTr="00810FAC">
        <w:tc>
          <w:tcPr>
            <w:tcW w:w="1309" w:type="pct"/>
            <w:vAlign w:val="center"/>
          </w:tcPr>
          <w:p w14:paraId="297DC2A8" w14:textId="77777777" w:rsidR="00810FAC" w:rsidRPr="00033F3D" w:rsidRDefault="00810FAC" w:rsidP="00033F3D">
            <w:pPr>
              <w:tabs>
                <w:tab w:val="left" w:pos="2300"/>
              </w:tabs>
              <w:spacing w:before="20" w:after="20"/>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Outdoor lighting fixtures</w:t>
            </w:r>
          </w:p>
        </w:tc>
        <w:tc>
          <w:tcPr>
            <w:tcW w:w="706" w:type="pct"/>
            <w:vAlign w:val="center"/>
          </w:tcPr>
          <w:p w14:paraId="58A18165" w14:textId="77777777" w:rsidR="00810FAC" w:rsidRPr="00033F3D" w:rsidRDefault="00810FAC" w:rsidP="00033F3D">
            <w:pPr>
              <w:tabs>
                <w:tab w:val="left" w:pos="2300"/>
              </w:tabs>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10.3</w:t>
            </w:r>
          </w:p>
        </w:tc>
        <w:tc>
          <w:tcPr>
            <w:tcW w:w="586" w:type="pct"/>
            <w:vAlign w:val="center"/>
          </w:tcPr>
          <w:p w14:paraId="46EDDBC7" w14:textId="77777777" w:rsidR="00810FAC" w:rsidRPr="00033F3D" w:rsidRDefault="00810FAC" w:rsidP="00033F3D">
            <w:pPr>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0.7</w:t>
            </w:r>
          </w:p>
        </w:tc>
        <w:tc>
          <w:tcPr>
            <w:tcW w:w="586" w:type="pct"/>
            <w:vAlign w:val="center"/>
          </w:tcPr>
          <w:p w14:paraId="2E154433" w14:textId="77777777" w:rsidR="00810FAC" w:rsidRPr="00033F3D" w:rsidRDefault="00810FAC" w:rsidP="00033F3D">
            <w:pPr>
              <w:spacing w:before="20" w:after="20"/>
              <w:jc w:val="center"/>
              <w:rPr>
                <w:rFonts w:ascii="Times New Roman" w:eastAsia="Arial" w:hAnsi="Times New Roman" w:cs="Times New Roman"/>
                <w:sz w:val="20"/>
                <w:szCs w:val="20"/>
              </w:rPr>
            </w:pPr>
            <w:r w:rsidRPr="00033F3D">
              <w:rPr>
                <w:rFonts w:ascii="Times New Roman" w:eastAsia="Arial" w:hAnsi="Times New Roman" w:cs="Times New Roman"/>
                <w:sz w:val="20"/>
                <w:szCs w:val="20"/>
              </w:rPr>
              <w:t>—</w:t>
            </w:r>
          </w:p>
        </w:tc>
        <w:tc>
          <w:tcPr>
            <w:tcW w:w="703" w:type="pct"/>
            <w:shd w:val="clear" w:color="auto" w:fill="FFFFFF"/>
            <w:vAlign w:val="center"/>
          </w:tcPr>
          <w:p w14:paraId="00E62961" w14:textId="77777777" w:rsidR="00810FAC" w:rsidRPr="00033F3D" w:rsidRDefault="00810FAC" w:rsidP="00033F3D">
            <w:pPr>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26.1</w:t>
            </w:r>
          </w:p>
        </w:tc>
        <w:tc>
          <w:tcPr>
            <w:tcW w:w="586" w:type="pct"/>
            <w:shd w:val="clear" w:color="auto" w:fill="FFFFFF"/>
            <w:vAlign w:val="center"/>
          </w:tcPr>
          <w:p w14:paraId="18CE2158" w14:textId="77777777" w:rsidR="00810FAC" w:rsidRPr="00033F3D" w:rsidRDefault="00810FAC" w:rsidP="00033F3D">
            <w:pPr>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1.8</w:t>
            </w:r>
          </w:p>
        </w:tc>
        <w:tc>
          <w:tcPr>
            <w:tcW w:w="525" w:type="pct"/>
            <w:vAlign w:val="center"/>
          </w:tcPr>
          <w:p w14:paraId="36E1DBCD" w14:textId="77777777" w:rsidR="00810FAC" w:rsidRPr="00033F3D" w:rsidRDefault="00810FAC" w:rsidP="00033F3D">
            <w:pPr>
              <w:spacing w:before="20" w:after="20"/>
              <w:jc w:val="center"/>
              <w:rPr>
                <w:rFonts w:ascii="Times New Roman" w:eastAsia="Arial" w:hAnsi="Times New Roman" w:cs="Times New Roman"/>
                <w:sz w:val="20"/>
                <w:szCs w:val="20"/>
              </w:rPr>
            </w:pPr>
            <w:r w:rsidRPr="00033F3D">
              <w:rPr>
                <w:rFonts w:ascii="Times New Roman" w:eastAsia="Arial" w:hAnsi="Times New Roman" w:cs="Times New Roman"/>
                <w:sz w:val="20"/>
                <w:szCs w:val="20"/>
              </w:rPr>
              <w:t>—</w:t>
            </w:r>
          </w:p>
        </w:tc>
      </w:tr>
      <w:tr w:rsidR="00810FAC" w:rsidRPr="00033F3D" w14:paraId="7B030A5E" w14:textId="77777777" w:rsidTr="00810FAC">
        <w:tc>
          <w:tcPr>
            <w:tcW w:w="1309" w:type="pct"/>
            <w:vAlign w:val="center"/>
          </w:tcPr>
          <w:p w14:paraId="2B9B8746" w14:textId="77777777" w:rsidR="00810FAC" w:rsidRPr="00033F3D" w:rsidRDefault="00810FAC" w:rsidP="00033F3D">
            <w:pPr>
              <w:tabs>
                <w:tab w:val="left" w:pos="2300"/>
              </w:tabs>
              <w:spacing w:before="20" w:after="20"/>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General service fluorescent lamps</w:t>
            </w:r>
          </w:p>
        </w:tc>
        <w:tc>
          <w:tcPr>
            <w:tcW w:w="706" w:type="pct"/>
            <w:vAlign w:val="center"/>
          </w:tcPr>
          <w:p w14:paraId="08A14F8A" w14:textId="77777777" w:rsidR="00810FAC" w:rsidRPr="00033F3D" w:rsidRDefault="00810FAC" w:rsidP="00033F3D">
            <w:pPr>
              <w:tabs>
                <w:tab w:val="left" w:pos="2300"/>
              </w:tabs>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6.9</w:t>
            </w:r>
          </w:p>
        </w:tc>
        <w:tc>
          <w:tcPr>
            <w:tcW w:w="586" w:type="pct"/>
            <w:vAlign w:val="center"/>
          </w:tcPr>
          <w:p w14:paraId="2F752312" w14:textId="77777777" w:rsidR="00810FAC" w:rsidRPr="00033F3D" w:rsidRDefault="00810FAC" w:rsidP="00033F3D">
            <w:pPr>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1.7</w:t>
            </w:r>
          </w:p>
        </w:tc>
        <w:tc>
          <w:tcPr>
            <w:tcW w:w="586" w:type="pct"/>
            <w:vAlign w:val="center"/>
          </w:tcPr>
          <w:p w14:paraId="3BCF3D62" w14:textId="77777777" w:rsidR="00810FAC" w:rsidRPr="00033F3D" w:rsidRDefault="00810FAC" w:rsidP="00033F3D">
            <w:pPr>
              <w:spacing w:before="20" w:after="20"/>
              <w:jc w:val="center"/>
              <w:rPr>
                <w:rFonts w:ascii="Times New Roman" w:eastAsia="Arial" w:hAnsi="Times New Roman" w:cs="Times New Roman"/>
                <w:sz w:val="20"/>
                <w:szCs w:val="20"/>
              </w:rPr>
            </w:pPr>
            <w:r w:rsidRPr="00033F3D">
              <w:rPr>
                <w:rFonts w:ascii="Times New Roman" w:eastAsia="Arial" w:hAnsi="Times New Roman" w:cs="Times New Roman"/>
                <w:sz w:val="20"/>
                <w:szCs w:val="20"/>
              </w:rPr>
              <w:t>—</w:t>
            </w:r>
          </w:p>
        </w:tc>
        <w:tc>
          <w:tcPr>
            <w:tcW w:w="703" w:type="pct"/>
            <w:shd w:val="clear" w:color="auto" w:fill="FFFFFF"/>
            <w:vAlign w:val="center"/>
          </w:tcPr>
          <w:p w14:paraId="1872BC42" w14:textId="77777777" w:rsidR="00810FAC" w:rsidRPr="00033F3D" w:rsidRDefault="00810FAC" w:rsidP="00033F3D">
            <w:pPr>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6.9</w:t>
            </w:r>
          </w:p>
        </w:tc>
        <w:tc>
          <w:tcPr>
            <w:tcW w:w="586" w:type="pct"/>
            <w:shd w:val="clear" w:color="auto" w:fill="FFFFFF"/>
            <w:vAlign w:val="center"/>
          </w:tcPr>
          <w:p w14:paraId="04ACF9C9" w14:textId="77777777" w:rsidR="00810FAC" w:rsidRPr="00033F3D" w:rsidRDefault="00810FAC" w:rsidP="00033F3D">
            <w:pPr>
              <w:spacing w:before="20" w:after="20"/>
              <w:jc w:val="center"/>
              <w:rPr>
                <w:rFonts w:ascii="Times New Roman" w:eastAsia="Arial" w:hAnsi="Times New Roman" w:cs="Times New Roman"/>
                <w:color w:val="231F20"/>
                <w:sz w:val="20"/>
                <w:szCs w:val="20"/>
              </w:rPr>
            </w:pPr>
            <w:r w:rsidRPr="00033F3D">
              <w:rPr>
                <w:rFonts w:ascii="Times New Roman" w:eastAsia="Arial" w:hAnsi="Times New Roman" w:cs="Times New Roman"/>
                <w:color w:val="231F20"/>
                <w:sz w:val="20"/>
                <w:szCs w:val="20"/>
              </w:rPr>
              <w:t>1.7</w:t>
            </w:r>
          </w:p>
        </w:tc>
        <w:tc>
          <w:tcPr>
            <w:tcW w:w="525" w:type="pct"/>
            <w:vAlign w:val="center"/>
          </w:tcPr>
          <w:p w14:paraId="7AF74445" w14:textId="77777777" w:rsidR="00810FAC" w:rsidRPr="00033F3D" w:rsidRDefault="00810FAC" w:rsidP="00033F3D">
            <w:pPr>
              <w:spacing w:before="20" w:after="20"/>
              <w:jc w:val="center"/>
              <w:rPr>
                <w:rFonts w:ascii="Times New Roman" w:eastAsia="Arial" w:hAnsi="Times New Roman" w:cs="Times New Roman"/>
                <w:sz w:val="20"/>
                <w:szCs w:val="20"/>
              </w:rPr>
            </w:pPr>
            <w:r w:rsidRPr="00033F3D">
              <w:rPr>
                <w:rFonts w:ascii="Times New Roman" w:eastAsia="Arial" w:hAnsi="Times New Roman" w:cs="Times New Roman"/>
                <w:sz w:val="20"/>
                <w:szCs w:val="20"/>
              </w:rPr>
              <w:t>—</w:t>
            </w:r>
          </w:p>
        </w:tc>
      </w:tr>
      <w:tr w:rsidR="00810FAC" w:rsidRPr="00033F3D" w14:paraId="443DBA53" w14:textId="77777777" w:rsidTr="00810FAC">
        <w:tc>
          <w:tcPr>
            <w:tcW w:w="1309" w:type="pct"/>
            <w:vAlign w:val="center"/>
          </w:tcPr>
          <w:p w14:paraId="3EB1A95E" w14:textId="77777777" w:rsidR="00810FAC" w:rsidRPr="00033F3D" w:rsidRDefault="00810FAC" w:rsidP="00033F3D">
            <w:pPr>
              <w:tabs>
                <w:tab w:val="left" w:pos="2300"/>
              </w:tabs>
              <w:spacing w:before="20" w:after="20"/>
              <w:rPr>
                <w:rFonts w:ascii="Times New Roman" w:eastAsia="Arial" w:hAnsi="Times New Roman" w:cs="Times New Roman"/>
                <w:b/>
                <w:color w:val="231F20"/>
                <w:sz w:val="20"/>
                <w:szCs w:val="20"/>
              </w:rPr>
            </w:pPr>
            <w:r w:rsidRPr="00033F3D">
              <w:rPr>
                <w:rFonts w:ascii="Times New Roman" w:eastAsia="Arial" w:hAnsi="Times New Roman" w:cs="Times New Roman"/>
                <w:b/>
                <w:color w:val="231F20"/>
                <w:sz w:val="20"/>
                <w:szCs w:val="20"/>
              </w:rPr>
              <w:t>Total (7 products)</w:t>
            </w:r>
          </w:p>
        </w:tc>
        <w:tc>
          <w:tcPr>
            <w:tcW w:w="706" w:type="pct"/>
            <w:vAlign w:val="center"/>
          </w:tcPr>
          <w:p w14:paraId="40BB404F" w14:textId="77777777" w:rsidR="00810FAC" w:rsidRPr="00033F3D" w:rsidRDefault="00810FAC" w:rsidP="00033F3D">
            <w:pPr>
              <w:tabs>
                <w:tab w:val="left" w:pos="2300"/>
              </w:tabs>
              <w:spacing w:before="20" w:after="20"/>
              <w:jc w:val="center"/>
              <w:rPr>
                <w:rFonts w:ascii="Times New Roman" w:eastAsia="Arial" w:hAnsi="Times New Roman" w:cs="Times New Roman"/>
                <w:b/>
                <w:color w:val="231F20"/>
                <w:sz w:val="20"/>
                <w:szCs w:val="20"/>
              </w:rPr>
            </w:pPr>
            <w:r w:rsidRPr="00033F3D">
              <w:rPr>
                <w:rFonts w:ascii="Times New Roman" w:eastAsia="Arial" w:hAnsi="Times New Roman" w:cs="Times New Roman"/>
                <w:b/>
                <w:color w:val="231F20"/>
                <w:sz w:val="20"/>
                <w:szCs w:val="20"/>
              </w:rPr>
              <w:t>50.8</w:t>
            </w:r>
          </w:p>
        </w:tc>
        <w:tc>
          <w:tcPr>
            <w:tcW w:w="586" w:type="pct"/>
            <w:vAlign w:val="center"/>
          </w:tcPr>
          <w:p w14:paraId="6A9EE346" w14:textId="77777777" w:rsidR="00810FAC" w:rsidRPr="00033F3D" w:rsidRDefault="00810FAC" w:rsidP="00033F3D">
            <w:pPr>
              <w:spacing w:before="20" w:after="20"/>
              <w:jc w:val="center"/>
              <w:rPr>
                <w:rFonts w:ascii="Times New Roman" w:eastAsia="Arial" w:hAnsi="Times New Roman" w:cs="Times New Roman"/>
                <w:b/>
                <w:color w:val="231F20"/>
                <w:sz w:val="20"/>
                <w:szCs w:val="20"/>
              </w:rPr>
            </w:pPr>
            <w:r w:rsidRPr="00033F3D">
              <w:rPr>
                <w:rFonts w:ascii="Times New Roman" w:eastAsia="Arial" w:hAnsi="Times New Roman" w:cs="Times New Roman"/>
                <w:b/>
                <w:color w:val="231F20"/>
                <w:sz w:val="20"/>
                <w:szCs w:val="20"/>
              </w:rPr>
              <w:t>9.3</w:t>
            </w:r>
          </w:p>
        </w:tc>
        <w:tc>
          <w:tcPr>
            <w:tcW w:w="586" w:type="pct"/>
            <w:vAlign w:val="center"/>
          </w:tcPr>
          <w:p w14:paraId="6C81E6B1" w14:textId="77777777" w:rsidR="00810FAC" w:rsidRPr="00033F3D" w:rsidRDefault="00810FAC" w:rsidP="00033F3D">
            <w:pPr>
              <w:spacing w:before="20" w:after="20"/>
              <w:jc w:val="center"/>
              <w:rPr>
                <w:rFonts w:ascii="Times New Roman" w:eastAsia="Arial" w:hAnsi="Times New Roman" w:cs="Times New Roman"/>
                <w:b/>
                <w:sz w:val="20"/>
                <w:szCs w:val="20"/>
              </w:rPr>
            </w:pPr>
            <w:r w:rsidRPr="00033F3D">
              <w:rPr>
                <w:rFonts w:ascii="Times New Roman" w:eastAsia="Arial" w:hAnsi="Times New Roman" w:cs="Times New Roman"/>
                <w:b/>
                <w:sz w:val="20"/>
                <w:szCs w:val="20"/>
              </w:rPr>
              <w:t>—</w:t>
            </w:r>
          </w:p>
        </w:tc>
        <w:tc>
          <w:tcPr>
            <w:tcW w:w="703" w:type="pct"/>
            <w:shd w:val="clear" w:color="auto" w:fill="FFFFFF"/>
            <w:vAlign w:val="center"/>
          </w:tcPr>
          <w:p w14:paraId="4E7C1494" w14:textId="77777777" w:rsidR="00810FAC" w:rsidRPr="00033F3D" w:rsidRDefault="00810FAC" w:rsidP="00033F3D">
            <w:pPr>
              <w:spacing w:before="20" w:after="20"/>
              <w:jc w:val="center"/>
              <w:rPr>
                <w:rFonts w:ascii="Times New Roman" w:eastAsia="Arial" w:hAnsi="Times New Roman" w:cs="Times New Roman"/>
                <w:b/>
                <w:color w:val="231F20"/>
                <w:sz w:val="20"/>
                <w:szCs w:val="20"/>
              </w:rPr>
            </w:pPr>
            <w:r w:rsidRPr="00033F3D">
              <w:rPr>
                <w:rFonts w:ascii="Times New Roman" w:eastAsia="Arial" w:hAnsi="Times New Roman" w:cs="Times New Roman"/>
                <w:b/>
                <w:color w:val="231F20"/>
                <w:sz w:val="20"/>
                <w:szCs w:val="20"/>
              </w:rPr>
              <w:t>65.6</w:t>
            </w:r>
          </w:p>
        </w:tc>
        <w:tc>
          <w:tcPr>
            <w:tcW w:w="586" w:type="pct"/>
            <w:shd w:val="clear" w:color="auto" w:fill="FFFFFF"/>
            <w:vAlign w:val="center"/>
          </w:tcPr>
          <w:p w14:paraId="092E4A69" w14:textId="77777777" w:rsidR="00810FAC" w:rsidRPr="00033F3D" w:rsidRDefault="00810FAC" w:rsidP="00033F3D">
            <w:pPr>
              <w:spacing w:before="20" w:after="20"/>
              <w:jc w:val="center"/>
              <w:rPr>
                <w:rFonts w:ascii="Times New Roman" w:eastAsia="Arial" w:hAnsi="Times New Roman" w:cs="Times New Roman"/>
                <w:b/>
                <w:color w:val="231F20"/>
                <w:sz w:val="20"/>
                <w:szCs w:val="20"/>
              </w:rPr>
            </w:pPr>
            <w:r w:rsidRPr="00033F3D">
              <w:rPr>
                <w:rFonts w:ascii="Times New Roman" w:eastAsia="Arial" w:hAnsi="Times New Roman" w:cs="Times New Roman"/>
                <w:b/>
                <w:color w:val="231F20"/>
                <w:sz w:val="20"/>
                <w:szCs w:val="20"/>
              </w:rPr>
              <w:t>15.6</w:t>
            </w:r>
          </w:p>
        </w:tc>
        <w:tc>
          <w:tcPr>
            <w:tcW w:w="525" w:type="pct"/>
            <w:vAlign w:val="center"/>
          </w:tcPr>
          <w:p w14:paraId="4FE94D0D" w14:textId="77777777" w:rsidR="00810FAC" w:rsidRPr="00033F3D" w:rsidRDefault="00810FAC" w:rsidP="00033F3D">
            <w:pPr>
              <w:spacing w:before="20" w:after="20"/>
              <w:jc w:val="center"/>
              <w:rPr>
                <w:rFonts w:ascii="Times New Roman" w:eastAsia="Arial" w:hAnsi="Times New Roman" w:cs="Times New Roman"/>
                <w:b/>
                <w:sz w:val="20"/>
                <w:szCs w:val="20"/>
              </w:rPr>
            </w:pPr>
            <w:r w:rsidRPr="00033F3D">
              <w:rPr>
                <w:rFonts w:ascii="Times New Roman" w:eastAsia="Arial" w:hAnsi="Times New Roman" w:cs="Times New Roman"/>
                <w:b/>
                <w:sz w:val="20"/>
                <w:szCs w:val="20"/>
              </w:rPr>
              <w:t>—</w:t>
            </w:r>
          </w:p>
        </w:tc>
      </w:tr>
      <w:tr w:rsidR="00810FAC" w:rsidRPr="00033F3D" w14:paraId="5036DE50" w14:textId="77777777" w:rsidTr="000A6D80">
        <w:tc>
          <w:tcPr>
            <w:tcW w:w="1309" w:type="pct"/>
            <w:shd w:val="clear" w:color="auto" w:fill="F2F2F2" w:themeFill="background1" w:themeFillShade="F2"/>
          </w:tcPr>
          <w:p w14:paraId="0F21CA63" w14:textId="77777777" w:rsidR="00810FAC" w:rsidRPr="00033F3D" w:rsidRDefault="00810FAC" w:rsidP="00033F3D">
            <w:pPr>
              <w:tabs>
                <w:tab w:val="left" w:pos="2300"/>
              </w:tabs>
              <w:spacing w:before="20" w:after="20"/>
              <w:rPr>
                <w:rFonts w:ascii="Times New Roman" w:eastAsia="Arial" w:hAnsi="Times New Roman" w:cs="Times New Roman"/>
                <w:sz w:val="20"/>
                <w:szCs w:val="20"/>
              </w:rPr>
            </w:pPr>
            <w:r w:rsidRPr="00033F3D">
              <w:rPr>
                <w:rFonts w:ascii="Times New Roman" w:eastAsia="Arial" w:hAnsi="Times New Roman" w:cs="Times New Roman"/>
                <w:b/>
                <w:color w:val="231F20"/>
                <w:sz w:val="20"/>
                <w:szCs w:val="20"/>
              </w:rPr>
              <w:t>ALL PRODUCTS</w:t>
            </w:r>
          </w:p>
        </w:tc>
        <w:tc>
          <w:tcPr>
            <w:tcW w:w="706" w:type="pct"/>
            <w:shd w:val="clear" w:color="auto" w:fill="F2F2F2" w:themeFill="background1" w:themeFillShade="F2"/>
            <w:vAlign w:val="bottom"/>
          </w:tcPr>
          <w:p w14:paraId="1E5DEF57" w14:textId="77777777" w:rsidR="00810FAC" w:rsidRPr="00033F3D" w:rsidRDefault="00810FAC" w:rsidP="00033F3D">
            <w:pPr>
              <w:spacing w:before="20" w:after="20"/>
              <w:jc w:val="center"/>
              <w:rPr>
                <w:rFonts w:ascii="Times New Roman" w:eastAsia="Arial" w:hAnsi="Times New Roman" w:cs="Times New Roman"/>
                <w:b/>
                <w:color w:val="231F20"/>
                <w:sz w:val="20"/>
                <w:szCs w:val="20"/>
              </w:rPr>
            </w:pPr>
            <w:r w:rsidRPr="00033F3D">
              <w:rPr>
                <w:rFonts w:ascii="Times New Roman" w:eastAsia="Arial" w:hAnsi="Times New Roman" w:cs="Times New Roman"/>
                <w:b/>
                <w:color w:val="231F20"/>
                <w:sz w:val="20"/>
                <w:szCs w:val="20"/>
              </w:rPr>
              <w:t>212</w:t>
            </w:r>
          </w:p>
        </w:tc>
        <w:tc>
          <w:tcPr>
            <w:tcW w:w="586" w:type="pct"/>
            <w:shd w:val="clear" w:color="auto" w:fill="F2F2F2" w:themeFill="background1" w:themeFillShade="F2"/>
            <w:vAlign w:val="bottom"/>
          </w:tcPr>
          <w:p w14:paraId="14B39900" w14:textId="77777777" w:rsidR="00810FAC" w:rsidRPr="00033F3D" w:rsidRDefault="00810FAC" w:rsidP="00033F3D">
            <w:pPr>
              <w:spacing w:before="20" w:after="20"/>
              <w:jc w:val="center"/>
              <w:rPr>
                <w:rFonts w:ascii="Times New Roman" w:eastAsia="Arial" w:hAnsi="Times New Roman" w:cs="Times New Roman"/>
                <w:b/>
                <w:color w:val="231F20"/>
                <w:sz w:val="20"/>
                <w:szCs w:val="20"/>
              </w:rPr>
            </w:pPr>
            <w:r w:rsidRPr="00033F3D">
              <w:rPr>
                <w:rFonts w:ascii="Times New Roman" w:eastAsia="Arial" w:hAnsi="Times New Roman" w:cs="Times New Roman"/>
                <w:b/>
                <w:color w:val="231F20"/>
                <w:sz w:val="20"/>
                <w:szCs w:val="20"/>
              </w:rPr>
              <w:t>42</w:t>
            </w:r>
          </w:p>
        </w:tc>
        <w:tc>
          <w:tcPr>
            <w:tcW w:w="586" w:type="pct"/>
            <w:shd w:val="clear" w:color="auto" w:fill="F2F2F2" w:themeFill="background1" w:themeFillShade="F2"/>
            <w:vAlign w:val="bottom"/>
          </w:tcPr>
          <w:p w14:paraId="490157E9" w14:textId="77777777" w:rsidR="00810FAC" w:rsidRPr="00033F3D" w:rsidRDefault="00810FAC" w:rsidP="00033F3D">
            <w:pPr>
              <w:spacing w:before="20" w:after="20"/>
              <w:jc w:val="center"/>
              <w:rPr>
                <w:rFonts w:ascii="Times New Roman" w:eastAsia="Arial" w:hAnsi="Times New Roman" w:cs="Times New Roman"/>
                <w:b/>
                <w:color w:val="231F20"/>
                <w:sz w:val="20"/>
                <w:szCs w:val="20"/>
              </w:rPr>
            </w:pPr>
            <w:r w:rsidRPr="00033F3D">
              <w:rPr>
                <w:rFonts w:ascii="Times New Roman" w:eastAsia="Arial" w:hAnsi="Times New Roman" w:cs="Times New Roman"/>
                <w:b/>
                <w:color w:val="231F20"/>
                <w:sz w:val="20"/>
                <w:szCs w:val="20"/>
              </w:rPr>
              <w:t>126</w:t>
            </w:r>
          </w:p>
        </w:tc>
        <w:tc>
          <w:tcPr>
            <w:tcW w:w="703" w:type="pct"/>
            <w:shd w:val="clear" w:color="auto" w:fill="F2F2F2" w:themeFill="background1" w:themeFillShade="F2"/>
            <w:vAlign w:val="bottom"/>
          </w:tcPr>
          <w:p w14:paraId="5396675A" w14:textId="77777777" w:rsidR="00810FAC" w:rsidRPr="00033F3D" w:rsidRDefault="00810FAC" w:rsidP="00033F3D">
            <w:pPr>
              <w:spacing w:before="20" w:after="20"/>
              <w:jc w:val="center"/>
              <w:rPr>
                <w:rFonts w:ascii="Times New Roman" w:eastAsia="Arial" w:hAnsi="Times New Roman" w:cs="Times New Roman"/>
                <w:b/>
                <w:color w:val="231F20"/>
                <w:sz w:val="20"/>
                <w:szCs w:val="20"/>
              </w:rPr>
            </w:pPr>
            <w:r w:rsidRPr="00033F3D">
              <w:rPr>
                <w:rFonts w:ascii="Times New Roman" w:eastAsia="Arial" w:hAnsi="Times New Roman" w:cs="Times New Roman"/>
                <w:b/>
                <w:color w:val="231F20"/>
                <w:sz w:val="20"/>
                <w:szCs w:val="20"/>
              </w:rPr>
              <w:t>306</w:t>
            </w:r>
          </w:p>
        </w:tc>
        <w:tc>
          <w:tcPr>
            <w:tcW w:w="586" w:type="pct"/>
            <w:shd w:val="clear" w:color="auto" w:fill="F2F2F2" w:themeFill="background1" w:themeFillShade="F2"/>
            <w:vAlign w:val="bottom"/>
          </w:tcPr>
          <w:p w14:paraId="4C07BC24" w14:textId="77777777" w:rsidR="00810FAC" w:rsidRPr="00033F3D" w:rsidRDefault="00810FAC" w:rsidP="00033F3D">
            <w:pPr>
              <w:spacing w:before="20" w:after="20"/>
              <w:jc w:val="center"/>
              <w:rPr>
                <w:rFonts w:ascii="Times New Roman" w:eastAsia="Arial" w:hAnsi="Times New Roman" w:cs="Times New Roman"/>
                <w:b/>
                <w:color w:val="231F20"/>
                <w:sz w:val="20"/>
                <w:szCs w:val="20"/>
              </w:rPr>
            </w:pPr>
            <w:r w:rsidRPr="00033F3D">
              <w:rPr>
                <w:rFonts w:ascii="Times New Roman" w:eastAsia="Arial" w:hAnsi="Times New Roman" w:cs="Times New Roman"/>
                <w:b/>
                <w:color w:val="231F20"/>
                <w:sz w:val="20"/>
                <w:szCs w:val="20"/>
              </w:rPr>
              <w:t>67</w:t>
            </w:r>
          </w:p>
        </w:tc>
        <w:tc>
          <w:tcPr>
            <w:tcW w:w="525" w:type="pct"/>
            <w:shd w:val="clear" w:color="auto" w:fill="F2F2F2" w:themeFill="background1" w:themeFillShade="F2"/>
            <w:vAlign w:val="bottom"/>
          </w:tcPr>
          <w:p w14:paraId="5FC97FC0" w14:textId="77777777" w:rsidR="00810FAC" w:rsidRPr="00033F3D" w:rsidRDefault="00810FAC" w:rsidP="00033F3D">
            <w:pPr>
              <w:spacing w:before="20" w:after="20"/>
              <w:jc w:val="center"/>
              <w:rPr>
                <w:rFonts w:ascii="Times New Roman" w:eastAsia="Arial" w:hAnsi="Times New Roman" w:cs="Times New Roman"/>
                <w:b/>
                <w:color w:val="231F20"/>
                <w:sz w:val="20"/>
                <w:szCs w:val="20"/>
              </w:rPr>
            </w:pPr>
            <w:r w:rsidRPr="00033F3D">
              <w:rPr>
                <w:rFonts w:ascii="Times New Roman" w:eastAsia="Arial" w:hAnsi="Times New Roman" w:cs="Times New Roman"/>
                <w:b/>
                <w:color w:val="231F20"/>
                <w:sz w:val="20"/>
                <w:szCs w:val="20"/>
              </w:rPr>
              <w:t>235</w:t>
            </w:r>
          </w:p>
        </w:tc>
      </w:tr>
    </w:tbl>
    <w:p w14:paraId="63FB7CAD" w14:textId="56A65C27" w:rsidR="00810FAC" w:rsidRPr="00196931" w:rsidRDefault="00810FAC" w:rsidP="00CF0D49">
      <w:pPr>
        <w:pStyle w:val="CH5TableSource"/>
        <w:rPr>
          <w:rFonts w:eastAsia="Arial"/>
        </w:rPr>
      </w:pPr>
      <w:r w:rsidRPr="00196931">
        <w:rPr>
          <w:rFonts w:eastAsia="Arial"/>
        </w:rPr>
        <w:t>Source: ASAP 2012</w:t>
      </w:r>
    </w:p>
    <w:p w14:paraId="41EADBFA" w14:textId="77777777" w:rsidR="00810FAC" w:rsidRPr="00196931" w:rsidRDefault="00810FAC" w:rsidP="009148E2">
      <w:pPr>
        <w:pStyle w:val="Heading2"/>
      </w:pPr>
      <w:bookmarkStart w:id="63" w:name="_Toc424675665"/>
      <w:bookmarkStart w:id="64" w:name="_Toc424721561"/>
      <w:r w:rsidRPr="00196931">
        <w:t>Energy Service Performance Contracting</w:t>
      </w:r>
      <w:bookmarkEnd w:id="63"/>
      <w:bookmarkEnd w:id="64"/>
    </w:p>
    <w:p w14:paraId="6A05EB92" w14:textId="77777777" w:rsidR="00810FAC" w:rsidRPr="003F01E1" w:rsidRDefault="00810FAC" w:rsidP="009148E2">
      <w:pPr>
        <w:pStyle w:val="Heading3"/>
      </w:pPr>
      <w:bookmarkStart w:id="65" w:name="_Toc424721562"/>
      <w:r w:rsidRPr="003F01E1">
        <w:t>Overview</w:t>
      </w:r>
      <w:bookmarkEnd w:id="65"/>
    </w:p>
    <w:p w14:paraId="002B3382" w14:textId="77777777" w:rsidR="00810FAC" w:rsidRPr="003F01E1" w:rsidRDefault="00810FAC" w:rsidP="007300F4">
      <w:pPr>
        <w:pStyle w:val="CH5BodyText"/>
      </w:pPr>
      <w:r w:rsidRPr="003F01E1">
        <w:t>Energy service performance contracting (ESPC) uses cost savings from reduced energy consumption to repay the cost of installing energy conservation measures (HUD 2014). Under an EPC program, an Energy Service Company (ESCO) first conducts an energy audit. The ESCO then designs and constructs a project that achieves the building owner’s energy efficiency needs and arranges for the project’s financing, usually through a third party. The third party is repaid by the building</w:t>
      </w:r>
      <w:r w:rsidRPr="00196931">
        <w:t xml:space="preserve"> owner/operator from the savings in their energy costs. In this type of E</w:t>
      </w:r>
      <w:r>
        <w:t>S</w:t>
      </w:r>
      <w:r w:rsidRPr="003F01E1">
        <w:t>PC arrangement, the builder owner/operator does not need to incur upfront expenses, and will experience the benefits of the upgrades, including monetary savings once the financer’s costs have been repaid (ICF 2007).</w:t>
      </w:r>
    </w:p>
    <w:p w14:paraId="1463B22F" w14:textId="77777777" w:rsidR="00810FAC" w:rsidRPr="003F01E1" w:rsidRDefault="00810FAC" w:rsidP="007300F4">
      <w:pPr>
        <w:pStyle w:val="CH5BodyText"/>
      </w:pPr>
      <w:r w:rsidRPr="003F01E1">
        <w:t>E</w:t>
      </w:r>
      <w:r>
        <w:t>S</w:t>
      </w:r>
      <w:r w:rsidRPr="003F01E1">
        <w:t xml:space="preserve">PC programs have been used extensively by state, federal, and local facilities to reduce utility and operating costs and to help meet environmental and energy efficiency goals, which </w:t>
      </w:r>
      <w:r w:rsidRPr="003F01E1">
        <w:lastRenderedPageBreak/>
        <w:t>can include the use of combined heat and power (CHP). Forty-nine states have implemented performance contracting activities, primarily through legislation, covering a combination of entities that include public agencies, school districts, municipalities, state colleges and universities, counties, or the state as a whole (</w:t>
      </w:r>
      <w:r>
        <w:t>ORNL</w:t>
      </w:r>
      <w:r w:rsidRPr="003F01E1">
        <w:t xml:space="preserve"> 201</w:t>
      </w:r>
      <w:r>
        <w:t>5</w:t>
      </w:r>
      <w:r w:rsidRPr="003F01E1">
        <w:t>).</w:t>
      </w:r>
      <w:r w:rsidRPr="007D5A84">
        <w:rPr>
          <w:rStyle w:val="FootnoteReference"/>
        </w:rPr>
        <w:footnoteReference w:id="27"/>
      </w:r>
      <w:r w:rsidRPr="003F01E1">
        <w:t xml:space="preserve"> While E</w:t>
      </w:r>
      <w:r>
        <w:t>S</w:t>
      </w:r>
      <w:r w:rsidRPr="003F01E1">
        <w:t>PC programs are already widespread, states have found that they can further utilize this approach by extending eligibility to all public facilities in the state (EPA 2015).</w:t>
      </w:r>
    </w:p>
    <w:p w14:paraId="4FB77224" w14:textId="472A26D9" w:rsidR="00810FAC" w:rsidRPr="003F01E1" w:rsidRDefault="00810FAC" w:rsidP="007300F4">
      <w:pPr>
        <w:pStyle w:val="CH5BodyText"/>
      </w:pPr>
      <w:r w:rsidRPr="003F01E1">
        <w:t>While ESCOs deliver E</w:t>
      </w:r>
      <w:r>
        <w:t>S</w:t>
      </w:r>
      <w:r w:rsidRPr="003F01E1">
        <w:t>PC projects, and the E</w:t>
      </w:r>
      <w:r>
        <w:t>S</w:t>
      </w:r>
      <w:r w:rsidRPr="003F01E1">
        <w:t>PC market is the main driver for ESCOs, the two markets do not overlap completely. Since 2006, the share of the ESCO market consisting of E</w:t>
      </w:r>
      <w:r>
        <w:t>S</w:t>
      </w:r>
      <w:r w:rsidRPr="003F01E1">
        <w:t>PC projects has remained stable at about 70 percent (ICF 2007</w:t>
      </w:r>
      <w:r>
        <w:t>;</w:t>
      </w:r>
      <w:r w:rsidRPr="003F01E1">
        <w:t xml:space="preserve"> </w:t>
      </w:r>
      <w:r>
        <w:t xml:space="preserve">LBNL </w:t>
      </w:r>
      <w:r w:rsidRPr="003F01E1">
        <w:t>2014</w:t>
      </w:r>
      <w:r>
        <w:t>a</w:t>
      </w:r>
      <w:r w:rsidRPr="003F01E1">
        <w:t>). The other 30 percent of the market is comprised of design/build services; engineering, procurement, and construction services; consulting services; and operation and maintenance contracts. These services are not considered to be EPC projects since the project financial performance risk is not incurred by the ESCO or potential third party lenders (ICF 2007).</w:t>
      </w:r>
    </w:p>
    <w:p w14:paraId="4BA2B8B5" w14:textId="77777777" w:rsidR="00810FAC" w:rsidRPr="003F01E1" w:rsidRDefault="00810FAC" w:rsidP="009148E2">
      <w:pPr>
        <w:pStyle w:val="Heading3"/>
      </w:pPr>
      <w:bookmarkStart w:id="66" w:name="_Toc424721563"/>
      <w:r w:rsidRPr="003F01E1">
        <w:t>History of E</w:t>
      </w:r>
      <w:r>
        <w:t>S</w:t>
      </w:r>
      <w:r w:rsidRPr="003F01E1">
        <w:t>PC Programs and the ESCO Business Model</w:t>
      </w:r>
      <w:bookmarkEnd w:id="66"/>
    </w:p>
    <w:p w14:paraId="3C94DDCF" w14:textId="77777777" w:rsidR="00810FAC" w:rsidRPr="00196931" w:rsidRDefault="00810FAC" w:rsidP="007300F4">
      <w:pPr>
        <w:pStyle w:val="CH5BodyText"/>
      </w:pPr>
      <w:r w:rsidRPr="00196931">
        <w:t>The ESCO business model emerged during the 1970s, supported in part by utilities paying ESCOs a fee for services such as energy audits provided to customers via their electric utilities and implementing federal energy management goals (</w:t>
      </w:r>
      <w:r>
        <w:t xml:space="preserve">NAESCO </w:t>
      </w:r>
      <w:r w:rsidRPr="00196931">
        <w:t>2011). EPC activities emerged in the mid-1980s as power plants became more expensive to build and utilities were ordered to produce Integrated Resource Plans (IRPs) where energy efficiency measures could be used to meet projected demand. ESCOs were used to deliver energy savings from projects implemented at industrial and institutional sites, relying on advances in energy efficiency monitoring and verification techniques (ICF 2007).</w:t>
      </w:r>
    </w:p>
    <w:p w14:paraId="360E10D0" w14:textId="4FBABE91" w:rsidR="00810FAC" w:rsidRPr="00196931" w:rsidRDefault="00810FAC" w:rsidP="007300F4">
      <w:pPr>
        <w:pStyle w:val="CH5BodyText"/>
      </w:pPr>
      <w:r w:rsidRPr="00196931">
        <w:t xml:space="preserve">By the late 1990s, funding for utility-sponsored energy efficiency programs was reduced in about half of the states due to changed regulatory structures and increased political and regulatory pressures to maintain lower electricity prices (EPA 2006). Many restructured electric utilities shifted their focus away from sponsoring programs to starting new affiliated ESCOs to deliver energy services directly to customers. However, the business model for these market-based ESCOs was limited in reach to mainly larger industrial, commercial and institutional customers. Several states and local governments also turned to EPC activities to provide services </w:t>
      </w:r>
      <w:r w:rsidRPr="00196931">
        <w:lastRenderedPageBreak/>
        <w:t>in public facilities via lea</w:t>
      </w:r>
      <w:r w:rsidRPr="003F01E1">
        <w:t>d-by-example policies (see section 3</w:t>
      </w:r>
      <w:r w:rsidRPr="00196931">
        <w:t>). These governments also saw the benefits of addressing capital equipment and maintenance projects that would not have otherwise been addressed through the capital budget process (ICF 2007). Commercial lenders also became involved in EPC funding, lowering the cost of projects through competition and paving the way for new financing vehicles (ICF 2007).</w:t>
      </w:r>
    </w:p>
    <w:p w14:paraId="54A7C165" w14:textId="51AD55B6" w:rsidR="00810FAC" w:rsidRPr="00196931" w:rsidRDefault="00810FAC" w:rsidP="007300F4">
      <w:pPr>
        <w:pStyle w:val="CH5BodyText"/>
      </w:pPr>
      <w:r w:rsidRPr="00196931">
        <w:t>During the early 2000s, however, the growth of the EPC and ESCO market declined due to loss of both performance contracting in federal buildings and market confidence for industrial financing mechanisms (</w:t>
      </w:r>
      <w:r>
        <w:t>NAESCO</w:t>
      </w:r>
      <w:r w:rsidRPr="00196931">
        <w:t xml:space="preserve"> 2011). This trend reversed in 2005 as the EPC and ESCO market increased focus on state and local public buildings and innovated program offerings to provide customers new technologies a</w:t>
      </w:r>
      <w:r w:rsidRPr="003F01E1">
        <w:t xml:space="preserve">nd financial models (see section 3 and </w:t>
      </w:r>
      <w:r w:rsidRPr="00196931">
        <w:t>ICF 2007).</w:t>
      </w:r>
    </w:p>
    <w:p w14:paraId="42B3249F" w14:textId="77777777" w:rsidR="00810FAC" w:rsidRPr="003F01E1" w:rsidRDefault="00810FAC" w:rsidP="009148E2">
      <w:pPr>
        <w:pStyle w:val="Heading3"/>
      </w:pPr>
      <w:bookmarkStart w:id="67" w:name="_Toc424721564"/>
      <w:r w:rsidRPr="003F01E1">
        <w:t>Remaining Market Potential</w:t>
      </w:r>
      <w:bookmarkEnd w:id="67"/>
    </w:p>
    <w:p w14:paraId="6D90B4EF" w14:textId="701C5C0C" w:rsidR="00810FAC" w:rsidRDefault="00810FAC" w:rsidP="007300F4">
      <w:pPr>
        <w:pStyle w:val="CH5BodyText"/>
      </w:pPr>
      <w:r w:rsidRPr="00196931">
        <w:t>The market potential for EPC programs and ESCOs remain significant. Annual revenues for the U.S. ESCO market was expected to increase from $5.3 billion in 2011 to about $6.4 billion in 2013 (</w:t>
      </w:r>
      <w:r>
        <w:t xml:space="preserve">LBNL </w:t>
      </w:r>
      <w:r w:rsidRPr="003D7B36">
        <w:t>2014</w:t>
      </w:r>
      <w:r>
        <w:t>a</w:t>
      </w:r>
      <w:r w:rsidRPr="00196931">
        <w:t>). An analysis by Lawrence Berkeley National Lab estimated the investment opportunity for ESCOs ranged between $71 billion and $133 billion</w:t>
      </w:r>
      <w:r>
        <w:t xml:space="preserve"> (LBNL 2013a)</w:t>
      </w:r>
      <w:r w:rsidRPr="00196931">
        <w:t xml:space="preserve">. Figure </w:t>
      </w:r>
      <w:r>
        <w:t>3</w:t>
      </w:r>
      <w:r w:rsidRPr="00196931">
        <w:t xml:space="preserve"> shows a breakdown of investment opportunity by market segment.</w:t>
      </w:r>
      <w:r>
        <w:t xml:space="preserve"> </w:t>
      </w:r>
      <w:r w:rsidRPr="003D7B36">
        <w:t>Commercial buildings, K-12 schools, and the health and hospital sectors have the highest remaining potential for ESCOs. Commercial buildings in particular have high barriers to implementing energy efficiency under EPC activities, as the private sector is generally averse to financing energy efficiency activities and has more stringent requirements for a lower payback period on projects (</w:t>
      </w:r>
      <w:r>
        <w:t>LBNL 2013a</w:t>
      </w:r>
      <w:r w:rsidRPr="003D7B36">
        <w:t>). While the two markets do not overlap completely, the potential for ESCO investments provide a strong indicator for the remaining potential of EPC activities.</w:t>
      </w:r>
    </w:p>
    <w:p w14:paraId="6C4BE9DC" w14:textId="1000658C" w:rsidR="00C50014" w:rsidRDefault="00810FAC" w:rsidP="00CF0D49">
      <w:pPr>
        <w:pStyle w:val="CH5FigureTitle"/>
      </w:pPr>
      <w:bookmarkStart w:id="68" w:name="_Toc424720248"/>
      <w:r>
        <w:lastRenderedPageBreak/>
        <w:t>Figure</w:t>
      </w:r>
      <w:r w:rsidRPr="003D7B36">
        <w:t xml:space="preserve"> </w:t>
      </w:r>
      <w:r>
        <w:t>3. Remaining M</w:t>
      </w:r>
      <w:r w:rsidRPr="003D7B36">
        <w:t xml:space="preserve">arket </w:t>
      </w:r>
      <w:r>
        <w:t>P</w:t>
      </w:r>
      <w:r w:rsidRPr="003D7B36">
        <w:t>o</w:t>
      </w:r>
      <w:r>
        <w:t>tential for ESCOs</w:t>
      </w:r>
      <w:bookmarkEnd w:id="68"/>
    </w:p>
    <w:p w14:paraId="637A3879" w14:textId="375790D6" w:rsidR="00810FAC" w:rsidRPr="00196931" w:rsidRDefault="00810FAC" w:rsidP="004448A6">
      <w:pPr>
        <w:jc w:val="center"/>
      </w:pPr>
      <w:r w:rsidRPr="00C50014">
        <w:rPr>
          <w:noProof/>
        </w:rPr>
        <w:drawing>
          <wp:inline distT="0" distB="0" distL="0" distR="0" wp14:anchorId="746592FD" wp14:editId="77C4F263">
            <wp:extent cx="6064370" cy="38129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61699" t="26776" r="11538" b="13406"/>
                    <a:stretch/>
                  </pic:blipFill>
                  <pic:spPr bwMode="auto">
                    <a:xfrm>
                      <a:off x="0" y="0"/>
                      <a:ext cx="6071889" cy="3817654"/>
                    </a:xfrm>
                    <a:prstGeom prst="rect">
                      <a:avLst/>
                    </a:prstGeom>
                    <a:ln>
                      <a:noFill/>
                    </a:ln>
                    <a:extLst>
                      <a:ext uri="{53640926-AAD7-44D8-BBD7-CCE9431645EC}">
                        <a14:shadowObscured xmlns:a14="http://schemas.microsoft.com/office/drawing/2010/main"/>
                      </a:ext>
                    </a:extLst>
                  </pic:spPr>
                </pic:pic>
              </a:graphicData>
            </a:graphic>
          </wp:inline>
        </w:drawing>
      </w:r>
    </w:p>
    <w:p w14:paraId="62D55957" w14:textId="77777777" w:rsidR="00810FAC" w:rsidRDefault="00810FAC" w:rsidP="00CF0D49">
      <w:pPr>
        <w:pStyle w:val="CH5TableSource"/>
      </w:pPr>
      <w:r>
        <w:t>Source: LBNL 2013a</w:t>
      </w:r>
    </w:p>
    <w:p w14:paraId="2DD14136" w14:textId="77777777" w:rsidR="00810FAC" w:rsidRDefault="00810FAC" w:rsidP="009148E2">
      <w:pPr>
        <w:pStyle w:val="Heading2"/>
      </w:pPr>
      <w:bookmarkStart w:id="69" w:name="_Toc424675666"/>
      <w:bookmarkStart w:id="70" w:name="_Toc424721565"/>
      <w:r w:rsidRPr="00196931">
        <w:t>Volt/VAR Optimization</w:t>
      </w:r>
      <w:bookmarkEnd w:id="69"/>
      <w:bookmarkEnd w:id="70"/>
    </w:p>
    <w:p w14:paraId="4FBF8FF4" w14:textId="77777777" w:rsidR="00810FAC" w:rsidRPr="003F01E1" w:rsidRDefault="00810FAC" w:rsidP="009148E2">
      <w:pPr>
        <w:pStyle w:val="Heading3"/>
      </w:pPr>
      <w:bookmarkStart w:id="71" w:name="_Toc424721566"/>
      <w:r>
        <w:t>Overview</w:t>
      </w:r>
      <w:bookmarkEnd w:id="71"/>
    </w:p>
    <w:p w14:paraId="03026D98" w14:textId="77777777" w:rsidR="00810FAC" w:rsidRPr="00196931" w:rsidRDefault="00810FAC" w:rsidP="007300F4">
      <w:pPr>
        <w:pStyle w:val="CH5BodyText"/>
      </w:pPr>
      <w:r w:rsidRPr="00196931">
        <w:t>Volt/VAR optimization (VVO) refers to coordinated efforts by utilities to manage and improve the delivery of real and reactive power</w:t>
      </w:r>
      <w:r w:rsidRPr="00196931">
        <w:rPr>
          <w:rStyle w:val="FootnoteReference"/>
        </w:rPr>
        <w:footnoteReference w:id="28"/>
      </w:r>
      <w:r w:rsidRPr="00196931">
        <w:t xml:space="preserve"> in order to increase the efficiency of electricity distribution. VVO is accomplished primarily through the implementation of Smart Grid technologies that improve the real-time response to the demand for real and reactive power. Technologies for VVO include load tap changers and voltage regulators, which can help manage voltage levels, as well as capacitor banks, which allow for the delivery of reactive power. By using local capacitor banks to respond to reactive power demand, rather than adjusting the output of remote generators, systems can achieve reductions in transmission line loss. The U.S. Energy Information Administration (EIA) estimates that on average, 7.5% of generated electricity is lost </w:t>
      </w:r>
      <w:r w:rsidRPr="00196931">
        <w:lastRenderedPageBreak/>
        <w:t>in transmission and distribution, a number that could be reduced by effective use of VVO (EIA 2012</w:t>
      </w:r>
      <w:r>
        <w:t>b</w:t>
      </w:r>
      <w:r w:rsidRPr="00196931">
        <w:t>).</w:t>
      </w:r>
    </w:p>
    <w:p w14:paraId="0F330D8E" w14:textId="3CE39382" w:rsidR="00810FAC" w:rsidRDefault="00810FAC" w:rsidP="007300F4">
      <w:pPr>
        <w:pStyle w:val="CH5BodyText"/>
      </w:pPr>
      <w:r w:rsidRPr="00196931">
        <w:t xml:space="preserve">VVO efforts are often closely related to conservation voltage reduction (CVR), which are actions taken to reduce initial delivered voltage levels in feeder transmission lines while remaining within the 114 volt to 126 volt range required at the customer meter (based on ANSI C84.1 standards). Like VVO, CVR relies on the use of Smart Grid technologies in order to more effectively manage voltage levels across all loads in a system. A simple </w:t>
      </w:r>
      <w:r>
        <w:t>presentation</w:t>
      </w:r>
      <w:r w:rsidRPr="00196931">
        <w:t xml:space="preserve"> of these benefits are shown in Figure </w:t>
      </w:r>
      <w:r>
        <w:t>4</w:t>
      </w:r>
      <w:r w:rsidRPr="00196931">
        <w:t>, where the implementation of VVO technologies allows electricity distributors to deliver electricity initially at a lower voltage, thus decreasing the generation fuel requirements, while still delivering within the acceptable range to all 7 loads. The combination of VVO and CVR can lead to a range of benefits, including reductions in peak electricity demand, reductions in energy requirements necessary to meet a certain level of demand, and a reduction in line loss.</w:t>
      </w:r>
    </w:p>
    <w:p w14:paraId="349BAFF2" w14:textId="2B2CE1E0" w:rsidR="00810FAC" w:rsidRPr="003D7B36" w:rsidRDefault="00810FAC" w:rsidP="00CF0D49">
      <w:pPr>
        <w:pStyle w:val="CH5FigureTitle"/>
      </w:pPr>
      <w:bookmarkStart w:id="72" w:name="_Toc424720249"/>
      <w:r>
        <w:lastRenderedPageBreak/>
        <w:t>Figure</w:t>
      </w:r>
      <w:r w:rsidRPr="003D7B36">
        <w:t xml:space="preserve"> </w:t>
      </w:r>
      <w:r>
        <w:t>4. Hypothetical V</w:t>
      </w:r>
      <w:r w:rsidRPr="003D7B36">
        <w:t xml:space="preserve">oltage </w:t>
      </w:r>
      <w:r>
        <w:t>P</w:t>
      </w:r>
      <w:r w:rsidRPr="003D7B36">
        <w:t xml:space="preserve">rofiles with and without VVO </w:t>
      </w:r>
      <w:r>
        <w:t>T</w:t>
      </w:r>
      <w:r w:rsidRPr="003D7B36">
        <w:t>echnologies</w:t>
      </w:r>
      <w:bookmarkEnd w:id="72"/>
    </w:p>
    <w:p w14:paraId="53B99999" w14:textId="77777777" w:rsidR="00810FAC" w:rsidRPr="003D7B36" w:rsidRDefault="00810FAC" w:rsidP="004448A6">
      <w:pPr>
        <w:spacing w:after="120" w:line="360" w:lineRule="auto"/>
        <w:jc w:val="center"/>
        <w:rPr>
          <w:rFonts w:cs="Times New Roman"/>
          <w:sz w:val="24"/>
          <w:szCs w:val="24"/>
        </w:rPr>
      </w:pPr>
      <w:r w:rsidRPr="003D7B36">
        <w:rPr>
          <w:rFonts w:cs="Times New Roman"/>
          <w:noProof/>
          <w:sz w:val="24"/>
          <w:szCs w:val="24"/>
        </w:rPr>
        <w:drawing>
          <wp:inline distT="0" distB="0" distL="0" distR="0" wp14:anchorId="5993B12E" wp14:editId="12011D3C">
            <wp:extent cx="4781467" cy="2456121"/>
            <wp:effectExtent l="0" t="0" r="63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png"/>
                    <pic:cNvPicPr/>
                  </pic:nvPicPr>
                  <pic:blipFill>
                    <a:blip r:embed="rId25">
                      <a:extLst>
                        <a:ext uri="{28A0092B-C50C-407E-A947-70E740481C1C}">
                          <a14:useLocalDpi xmlns:a14="http://schemas.microsoft.com/office/drawing/2010/main" val="0"/>
                        </a:ext>
                      </a:extLst>
                    </a:blip>
                    <a:stretch>
                      <a:fillRect/>
                    </a:stretch>
                  </pic:blipFill>
                  <pic:spPr>
                    <a:xfrm>
                      <a:off x="0" y="0"/>
                      <a:ext cx="4781467" cy="2456121"/>
                    </a:xfrm>
                    <a:prstGeom prst="rect">
                      <a:avLst/>
                    </a:prstGeom>
                  </pic:spPr>
                </pic:pic>
              </a:graphicData>
            </a:graphic>
          </wp:inline>
        </w:drawing>
      </w:r>
      <w:r w:rsidRPr="003D7B36">
        <w:rPr>
          <w:rFonts w:cs="Times New Roman"/>
          <w:noProof/>
          <w:sz w:val="24"/>
          <w:szCs w:val="24"/>
        </w:rPr>
        <w:drawing>
          <wp:inline distT="0" distB="0" distL="0" distR="0" wp14:anchorId="4FCB535F" wp14:editId="464A55C7">
            <wp:extent cx="4774019" cy="2553794"/>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png"/>
                    <pic:cNvPicPr/>
                  </pic:nvPicPr>
                  <pic:blipFill>
                    <a:blip r:embed="rId26">
                      <a:extLst>
                        <a:ext uri="{28A0092B-C50C-407E-A947-70E740481C1C}">
                          <a14:useLocalDpi xmlns:a14="http://schemas.microsoft.com/office/drawing/2010/main" val="0"/>
                        </a:ext>
                      </a:extLst>
                    </a:blip>
                    <a:stretch>
                      <a:fillRect/>
                    </a:stretch>
                  </pic:blipFill>
                  <pic:spPr>
                    <a:xfrm>
                      <a:off x="0" y="0"/>
                      <a:ext cx="4783360" cy="2558791"/>
                    </a:xfrm>
                    <a:prstGeom prst="rect">
                      <a:avLst/>
                    </a:prstGeom>
                  </pic:spPr>
                </pic:pic>
              </a:graphicData>
            </a:graphic>
          </wp:inline>
        </w:drawing>
      </w:r>
    </w:p>
    <w:p w14:paraId="124675C0" w14:textId="77777777" w:rsidR="00810FAC" w:rsidRPr="003D7B36" w:rsidRDefault="00810FAC" w:rsidP="00CF0D49">
      <w:pPr>
        <w:pStyle w:val="CH5TableSource"/>
      </w:pPr>
      <w:r w:rsidRPr="003D7B36">
        <w:t>Source: DOE 2011</w:t>
      </w:r>
    </w:p>
    <w:p w14:paraId="34200132" w14:textId="77777777" w:rsidR="00810FAC" w:rsidRPr="00196931" w:rsidRDefault="00810FAC" w:rsidP="009148E2">
      <w:pPr>
        <w:pStyle w:val="Heading3"/>
      </w:pPr>
      <w:bookmarkStart w:id="73" w:name="_Toc424721567"/>
      <w:r w:rsidRPr="00196931">
        <w:t>History of VVO Programs</w:t>
      </w:r>
      <w:bookmarkEnd w:id="73"/>
    </w:p>
    <w:p w14:paraId="4ADAA8B7" w14:textId="77777777" w:rsidR="00810FAC" w:rsidRPr="00196931" w:rsidRDefault="00810FAC" w:rsidP="007300F4">
      <w:pPr>
        <w:pStyle w:val="CH5BodyText"/>
      </w:pPr>
      <w:r w:rsidRPr="00196931">
        <w:t>VVO and CVR efforts were first introduced with partial implementation in California in 1977 (</w:t>
      </w:r>
      <w:r>
        <w:t xml:space="preserve">UNLV </w:t>
      </w:r>
      <w:r w:rsidRPr="00196931">
        <w:t xml:space="preserve">2014). In 1987, the Snohomish Public Utility District instituted a pilot CVR project that demonstrated the possibility of reducing voltage and energy requirements by approximately 2.1% (NRECA 2013). More recently, the advent of Smart Grid technology with increased availability of energy use data, has led to a renewed interest in VVO and CVR as the potential for increased efficiency has become more apparent. Of the 99 projects funded by the Smart Grid Investment Grant program under the American Recovery and Reinvestment Act of 2009, 26 </w:t>
      </w:r>
      <w:r w:rsidRPr="00196931">
        <w:lastRenderedPageBreak/>
        <w:t>included the implementation of VVO technologies. These projects, which target reduced voltage during peak demand, electricity conservation due to reduced voltage, and reduced losses from feeder lines, are expected to achieve a 1% reduction in energy consumption for every 1% reduction in voltage level (DOE 2012</w:t>
      </w:r>
      <w:r>
        <w:t>a</w:t>
      </w:r>
      <w:r w:rsidRPr="00196931">
        <w:t>).</w:t>
      </w:r>
    </w:p>
    <w:p w14:paraId="41874E3F" w14:textId="77777777" w:rsidR="00810FAC" w:rsidRPr="00196931" w:rsidRDefault="00810FAC" w:rsidP="007300F4">
      <w:pPr>
        <w:pStyle w:val="CH5BodyText"/>
      </w:pPr>
      <w:r w:rsidRPr="00196931">
        <w:t xml:space="preserve">There is no formal </w:t>
      </w:r>
      <w:r>
        <w:t xml:space="preserve">state requirement directing </w:t>
      </w:r>
      <w:r w:rsidRPr="00196931">
        <w:t xml:space="preserve">implementation of Volt/VAR optimization. However, in 2012, the National Association of Regulatory Utility Commissioners published a resolution in support of VVO implementation at the state-level. The resolution encouraged public utility commissions to work with state legislature to include deployment of VVO technologies as part of energy efficiency resource standards (NARUC 2012). </w:t>
      </w:r>
    </w:p>
    <w:p w14:paraId="7ED19196" w14:textId="77777777" w:rsidR="00810FAC" w:rsidRPr="00196931" w:rsidRDefault="00810FAC" w:rsidP="009148E2">
      <w:pPr>
        <w:pStyle w:val="Heading3"/>
      </w:pPr>
      <w:bookmarkStart w:id="74" w:name="_Toc424721568"/>
      <w:r w:rsidRPr="00196931">
        <w:t>VVO Market Potential</w:t>
      </w:r>
      <w:bookmarkEnd w:id="74"/>
    </w:p>
    <w:p w14:paraId="48CB2B5E" w14:textId="77777777" w:rsidR="00810FAC" w:rsidRPr="00196931" w:rsidRDefault="00810FAC" w:rsidP="007300F4">
      <w:pPr>
        <w:pStyle w:val="CH5BodyText"/>
      </w:pPr>
      <w:r w:rsidRPr="00196931">
        <w:t xml:space="preserve">Large market potential currently exists for the implementation of VVO. The Pacific Northwest National Laboratory estimates that implementing VVO nationwide </w:t>
      </w:r>
      <w:r>
        <w:t xml:space="preserve">could potentially </w:t>
      </w:r>
      <w:r w:rsidRPr="00196931">
        <w:t xml:space="preserve">yield </w:t>
      </w:r>
      <w:r>
        <w:t xml:space="preserve">as much as </w:t>
      </w:r>
      <w:r w:rsidRPr="00196931">
        <w:t>a 3.2% annual reduction in energy consumption (</w:t>
      </w:r>
      <w:r>
        <w:t>PNNL</w:t>
      </w:r>
      <w:r w:rsidRPr="00196931">
        <w:t xml:space="preserve"> 2012). The Bonneville Power Administration estimates that the cost-benefit ratio for transmission and distribution optimization is positive and well understood, and that CVR is a key component of these positive effects (BPA</w:t>
      </w:r>
      <w:r>
        <w:t xml:space="preserve"> n.d.</w:t>
      </w:r>
      <w:r w:rsidRPr="00196931">
        <w:t>). McKinsey estimates that VVO could provide $43 billion in gross annual benefits in 2019 in the U.S., with CVR comprising the largest share of these benefits (McKinsey 2010). IHS Technology estimates that the shipments of VVO technology devices will double between 2013 and 2018, with a quadrupling of revenue over the same time period (IHS 2013). The Institute of Electrical and Electronics Engineers estimates that CVR has the potential to save approximately 750 trillion BTUs of electricity, equivalent to 5.4% of total U.S. electricity generation, at a total cost of $3.3 billion dollars (IEEE 2014). While these estimates vary in level of impact, they display the strong market potential that exists for VVO projects.</w:t>
      </w:r>
    </w:p>
    <w:p w14:paraId="354B8300" w14:textId="77777777" w:rsidR="00810FAC" w:rsidRPr="003F01E1" w:rsidRDefault="00810FAC" w:rsidP="009148E2">
      <w:pPr>
        <w:pStyle w:val="Heading1"/>
      </w:pPr>
      <w:bookmarkStart w:id="75" w:name="_Toc424675667"/>
      <w:bookmarkStart w:id="76" w:name="_Toc424721569"/>
      <w:r w:rsidRPr="003F01E1">
        <w:t>Utility Regulatory Models for Supporting Demand-Side EE</w:t>
      </w:r>
      <w:bookmarkEnd w:id="75"/>
      <w:bookmarkEnd w:id="76"/>
    </w:p>
    <w:p w14:paraId="2CED6647" w14:textId="77777777" w:rsidR="00810FAC" w:rsidRPr="00196931" w:rsidRDefault="00810FAC" w:rsidP="007300F4">
      <w:pPr>
        <w:pStyle w:val="CH5BodyText"/>
      </w:pPr>
      <w:r w:rsidRPr="00196931">
        <w:t>The electricity sector widely recognizes that state utility regulatory models for supporting energy efficiency are key to expanding utility investments and higher energy savings from programs</w:t>
      </w:r>
      <w:r>
        <w:t xml:space="preserve"> (IEI 2014)</w:t>
      </w:r>
      <w:r w:rsidRPr="00196931">
        <w:t>.  Further, all states which regulate investor-owned utilities have adopted or modified one or more policies in order to better align utility incentives with the delivery of cost-effective energy efficiency</w:t>
      </w:r>
      <w:r>
        <w:t xml:space="preserve"> (IEI 2014)</w:t>
      </w:r>
      <w:r w:rsidRPr="00196931">
        <w:t xml:space="preserve">.  States with the highest per capita spending on energy </w:t>
      </w:r>
      <w:r w:rsidRPr="00196931">
        <w:lastRenderedPageBreak/>
        <w:t>efficiency programs have the most comprehensive regulatory models for energy efficiency in place</w:t>
      </w:r>
      <w:r>
        <w:t xml:space="preserve"> (NRDC 2012)</w:t>
      </w:r>
      <w:r w:rsidRPr="00196931">
        <w:t xml:space="preserve">.  </w:t>
      </w:r>
    </w:p>
    <w:p w14:paraId="2A796C04" w14:textId="77777777" w:rsidR="00810FAC" w:rsidRPr="00196931" w:rsidRDefault="00810FAC" w:rsidP="007300F4">
      <w:pPr>
        <w:pStyle w:val="CH5BodyText"/>
      </w:pPr>
      <w:r w:rsidRPr="00196931">
        <w:t xml:space="preserve">The most common regulatory models for incentivizing energy efficiency through electric utilities include decoupling revenue from sales volumes, ensuring program cost recovery, and providing shareholder incentives linked to program performance.  The Edison Foundation reports on the adoption of these policies across states through its Institute for Electric Innovation, as shown in Table </w:t>
      </w:r>
      <w:r>
        <w:t>8</w:t>
      </w:r>
      <w:r w:rsidRPr="00196931">
        <w:t xml:space="preserve">. </w:t>
      </w:r>
    </w:p>
    <w:p w14:paraId="0F318E1A" w14:textId="73E20BE3" w:rsidR="00810FAC" w:rsidRPr="00D323DC" w:rsidRDefault="00810FAC" w:rsidP="00CF0D49">
      <w:pPr>
        <w:pStyle w:val="CH5TableTitle"/>
        <w:rPr>
          <w:rStyle w:val="A6"/>
          <w:rFonts w:cs="Times New Roman"/>
          <w:bCs w:val="0"/>
          <w:color w:val="auto"/>
          <w:sz w:val="24"/>
        </w:rPr>
      </w:pPr>
      <w:bookmarkStart w:id="77" w:name="_Toc424720258"/>
      <w:r w:rsidRPr="00D323DC">
        <w:rPr>
          <w:rStyle w:val="A6"/>
          <w:b/>
          <w:color w:val="auto"/>
          <w:sz w:val="24"/>
        </w:rPr>
        <w:t>Table 8. Summary of State Regulatory Frameworks: December 2014</w:t>
      </w:r>
      <w:bookmarkEnd w:id="77"/>
    </w:p>
    <w:tbl>
      <w:tblPr>
        <w:tblStyle w:val="TableGrid"/>
        <w:tblW w:w="9535" w:type="dxa"/>
        <w:tblLook w:val="04A0" w:firstRow="1" w:lastRow="0" w:firstColumn="1" w:lastColumn="0" w:noHBand="0" w:noVBand="1"/>
      </w:tblPr>
      <w:tblGrid>
        <w:gridCol w:w="2785"/>
        <w:gridCol w:w="2970"/>
        <w:gridCol w:w="2340"/>
        <w:gridCol w:w="1440"/>
      </w:tblGrid>
      <w:tr w:rsidR="00810FAC" w:rsidRPr="000A6D80" w14:paraId="23FCA735" w14:textId="77777777" w:rsidTr="000A6D80">
        <w:tc>
          <w:tcPr>
            <w:tcW w:w="5755" w:type="dxa"/>
            <w:gridSpan w:val="2"/>
            <w:shd w:val="clear" w:color="auto" w:fill="D9D9D9" w:themeFill="background1" w:themeFillShade="D9"/>
            <w:vAlign w:val="bottom"/>
          </w:tcPr>
          <w:p w14:paraId="7B253B35" w14:textId="77777777" w:rsidR="00810FAC" w:rsidRPr="000A6D80" w:rsidRDefault="00810FAC" w:rsidP="000A6D80">
            <w:pPr>
              <w:spacing w:before="20" w:after="20"/>
              <w:jc w:val="center"/>
              <w:rPr>
                <w:rFonts w:ascii="Times New Roman" w:hAnsi="Times New Roman" w:cs="Times New Roman"/>
                <w:b/>
                <w:sz w:val="20"/>
                <w:szCs w:val="20"/>
              </w:rPr>
            </w:pPr>
            <w:r w:rsidRPr="000A6D80">
              <w:rPr>
                <w:rFonts w:ascii="Times New Roman" w:hAnsi="Times New Roman" w:cs="Times New Roman"/>
                <w:b/>
                <w:color w:val="000000"/>
                <w:sz w:val="20"/>
                <w:szCs w:val="20"/>
              </w:rPr>
              <w:t>Energy Efficiency Incentive Mechanism</w:t>
            </w:r>
          </w:p>
        </w:tc>
        <w:tc>
          <w:tcPr>
            <w:tcW w:w="2340" w:type="dxa"/>
            <w:shd w:val="clear" w:color="auto" w:fill="D9D9D9" w:themeFill="background1" w:themeFillShade="D9"/>
            <w:vAlign w:val="bottom"/>
          </w:tcPr>
          <w:p w14:paraId="5E5D5032" w14:textId="77777777" w:rsidR="00810FAC" w:rsidRPr="000A6D80" w:rsidRDefault="00810FAC" w:rsidP="000A6D80">
            <w:pPr>
              <w:spacing w:before="20" w:after="20"/>
              <w:jc w:val="center"/>
              <w:rPr>
                <w:rFonts w:ascii="Times New Roman" w:hAnsi="Times New Roman" w:cs="Times New Roman"/>
                <w:b/>
                <w:sz w:val="20"/>
                <w:szCs w:val="20"/>
              </w:rPr>
            </w:pPr>
            <w:r w:rsidRPr="000A6D80">
              <w:rPr>
                <w:rFonts w:ascii="Times New Roman" w:hAnsi="Times New Roman" w:cs="Times New Roman"/>
                <w:b/>
                <w:color w:val="000000"/>
                <w:sz w:val="20"/>
                <w:szCs w:val="20"/>
              </w:rPr>
              <w:t>Number of States</w:t>
            </w:r>
          </w:p>
        </w:tc>
        <w:tc>
          <w:tcPr>
            <w:tcW w:w="1440" w:type="dxa"/>
            <w:shd w:val="clear" w:color="auto" w:fill="D9D9D9" w:themeFill="background1" w:themeFillShade="D9"/>
            <w:vAlign w:val="bottom"/>
          </w:tcPr>
          <w:p w14:paraId="3CDA7664" w14:textId="77777777" w:rsidR="00810FAC" w:rsidRPr="000A6D80" w:rsidRDefault="00810FAC" w:rsidP="000A6D80">
            <w:pPr>
              <w:spacing w:before="20" w:after="20"/>
              <w:jc w:val="center"/>
              <w:rPr>
                <w:rFonts w:ascii="Times New Roman" w:hAnsi="Times New Roman" w:cs="Times New Roman"/>
                <w:b/>
                <w:sz w:val="20"/>
                <w:szCs w:val="20"/>
              </w:rPr>
            </w:pPr>
            <w:r w:rsidRPr="000A6D80">
              <w:rPr>
                <w:rFonts w:ascii="Times New Roman" w:hAnsi="Times New Roman" w:cs="Times New Roman"/>
                <w:b/>
                <w:color w:val="000000"/>
                <w:sz w:val="20"/>
                <w:szCs w:val="20"/>
              </w:rPr>
              <w:t>Pending</w:t>
            </w:r>
          </w:p>
        </w:tc>
      </w:tr>
      <w:tr w:rsidR="00810FAC" w:rsidRPr="000A6D80" w14:paraId="35BD1E00" w14:textId="77777777" w:rsidTr="000A6D80">
        <w:tc>
          <w:tcPr>
            <w:tcW w:w="2785" w:type="dxa"/>
            <w:vMerge w:val="restart"/>
            <w:vAlign w:val="center"/>
          </w:tcPr>
          <w:p w14:paraId="2EA75DAB" w14:textId="77777777" w:rsidR="00810FAC" w:rsidRPr="00B97CD4" w:rsidRDefault="00810FAC" w:rsidP="00B97CD4">
            <w:pPr>
              <w:pStyle w:val="TableText"/>
              <w:rPr>
                <w:b/>
              </w:rPr>
            </w:pPr>
            <w:r w:rsidRPr="00B97CD4">
              <w:rPr>
                <w:b/>
              </w:rPr>
              <w:t>Fixed-Cost Recovery Mechanisms</w:t>
            </w:r>
          </w:p>
        </w:tc>
        <w:tc>
          <w:tcPr>
            <w:tcW w:w="2970" w:type="dxa"/>
            <w:vAlign w:val="center"/>
          </w:tcPr>
          <w:p w14:paraId="65C1328D" w14:textId="77777777" w:rsidR="00810FAC" w:rsidRPr="00B97CD4" w:rsidRDefault="00810FAC" w:rsidP="00B97CD4">
            <w:pPr>
              <w:pStyle w:val="TableText"/>
              <w:rPr>
                <w:b/>
              </w:rPr>
            </w:pPr>
            <w:r w:rsidRPr="00B97CD4">
              <w:rPr>
                <w:b/>
              </w:rPr>
              <w:t>Lost Revenue Recovery</w:t>
            </w:r>
          </w:p>
        </w:tc>
        <w:tc>
          <w:tcPr>
            <w:tcW w:w="2340" w:type="dxa"/>
            <w:vAlign w:val="bottom"/>
          </w:tcPr>
          <w:p w14:paraId="3FBD255D" w14:textId="77777777" w:rsidR="00810FAC" w:rsidRPr="000A6D80" w:rsidRDefault="00810FAC" w:rsidP="000A6D80">
            <w:pPr>
              <w:spacing w:before="20" w:after="20"/>
              <w:jc w:val="center"/>
              <w:rPr>
                <w:rFonts w:ascii="Times New Roman" w:hAnsi="Times New Roman" w:cs="Times New Roman"/>
                <w:sz w:val="20"/>
                <w:szCs w:val="20"/>
              </w:rPr>
            </w:pPr>
            <w:r w:rsidRPr="000A6D80">
              <w:rPr>
                <w:rFonts w:ascii="Times New Roman" w:hAnsi="Times New Roman" w:cs="Times New Roman"/>
                <w:sz w:val="20"/>
                <w:szCs w:val="20"/>
              </w:rPr>
              <w:t>19</w:t>
            </w:r>
          </w:p>
        </w:tc>
        <w:tc>
          <w:tcPr>
            <w:tcW w:w="1440" w:type="dxa"/>
            <w:vAlign w:val="bottom"/>
          </w:tcPr>
          <w:p w14:paraId="564F27F7" w14:textId="77777777" w:rsidR="00810FAC" w:rsidRPr="000A6D80" w:rsidRDefault="00810FAC" w:rsidP="000A6D80">
            <w:pPr>
              <w:spacing w:before="20" w:after="20"/>
              <w:jc w:val="center"/>
              <w:rPr>
                <w:rFonts w:ascii="Times New Roman" w:hAnsi="Times New Roman" w:cs="Times New Roman"/>
                <w:sz w:val="20"/>
                <w:szCs w:val="20"/>
              </w:rPr>
            </w:pPr>
            <w:r w:rsidRPr="000A6D80">
              <w:rPr>
                <w:rFonts w:ascii="Times New Roman" w:hAnsi="Times New Roman" w:cs="Times New Roman"/>
                <w:sz w:val="20"/>
                <w:szCs w:val="20"/>
              </w:rPr>
              <w:t>0</w:t>
            </w:r>
          </w:p>
        </w:tc>
      </w:tr>
      <w:tr w:rsidR="00810FAC" w:rsidRPr="000A6D80" w14:paraId="3722DB69" w14:textId="77777777" w:rsidTr="000A6D80">
        <w:tc>
          <w:tcPr>
            <w:tcW w:w="2785" w:type="dxa"/>
            <w:vMerge/>
            <w:vAlign w:val="center"/>
          </w:tcPr>
          <w:p w14:paraId="3334B5BA" w14:textId="77777777" w:rsidR="00810FAC" w:rsidRPr="00B97CD4" w:rsidRDefault="00810FAC" w:rsidP="00B97CD4">
            <w:pPr>
              <w:pStyle w:val="TableText"/>
              <w:rPr>
                <w:b/>
              </w:rPr>
            </w:pPr>
          </w:p>
        </w:tc>
        <w:tc>
          <w:tcPr>
            <w:tcW w:w="2970" w:type="dxa"/>
            <w:vAlign w:val="center"/>
          </w:tcPr>
          <w:p w14:paraId="082C5E3D" w14:textId="77777777" w:rsidR="00810FAC" w:rsidRPr="00B97CD4" w:rsidRDefault="00810FAC" w:rsidP="00B97CD4">
            <w:pPr>
              <w:pStyle w:val="TableText"/>
              <w:rPr>
                <w:b/>
              </w:rPr>
            </w:pPr>
            <w:r w:rsidRPr="00B97CD4">
              <w:rPr>
                <w:b/>
              </w:rPr>
              <w:t>Revenue Decoupling</w:t>
            </w:r>
          </w:p>
        </w:tc>
        <w:tc>
          <w:tcPr>
            <w:tcW w:w="2340" w:type="dxa"/>
            <w:vAlign w:val="bottom"/>
          </w:tcPr>
          <w:p w14:paraId="29281072" w14:textId="77777777" w:rsidR="00810FAC" w:rsidRPr="000A6D80" w:rsidRDefault="00810FAC" w:rsidP="000A6D80">
            <w:pPr>
              <w:spacing w:before="20" w:after="20"/>
              <w:jc w:val="center"/>
              <w:rPr>
                <w:rFonts w:ascii="Times New Roman" w:hAnsi="Times New Roman" w:cs="Times New Roman"/>
                <w:sz w:val="20"/>
                <w:szCs w:val="20"/>
              </w:rPr>
            </w:pPr>
            <w:r w:rsidRPr="000A6D80">
              <w:rPr>
                <w:rFonts w:ascii="Times New Roman" w:hAnsi="Times New Roman" w:cs="Times New Roman"/>
                <w:sz w:val="20"/>
                <w:szCs w:val="20"/>
              </w:rPr>
              <w:t>14</w:t>
            </w:r>
          </w:p>
        </w:tc>
        <w:tc>
          <w:tcPr>
            <w:tcW w:w="1440" w:type="dxa"/>
            <w:vAlign w:val="bottom"/>
          </w:tcPr>
          <w:p w14:paraId="010BA76E" w14:textId="77777777" w:rsidR="00810FAC" w:rsidRPr="000A6D80" w:rsidRDefault="00810FAC" w:rsidP="000A6D80">
            <w:pPr>
              <w:spacing w:before="20" w:after="20"/>
              <w:jc w:val="center"/>
              <w:rPr>
                <w:rFonts w:ascii="Times New Roman" w:hAnsi="Times New Roman" w:cs="Times New Roman"/>
                <w:sz w:val="20"/>
                <w:szCs w:val="20"/>
              </w:rPr>
            </w:pPr>
            <w:r w:rsidRPr="000A6D80">
              <w:rPr>
                <w:rFonts w:ascii="Times New Roman" w:hAnsi="Times New Roman" w:cs="Times New Roman"/>
                <w:sz w:val="20"/>
                <w:szCs w:val="20"/>
              </w:rPr>
              <w:t>1</w:t>
            </w:r>
          </w:p>
        </w:tc>
      </w:tr>
      <w:tr w:rsidR="00810FAC" w:rsidRPr="000A6D80" w14:paraId="6DEBED34" w14:textId="77777777" w:rsidTr="000A6D80">
        <w:tc>
          <w:tcPr>
            <w:tcW w:w="5755" w:type="dxa"/>
            <w:gridSpan w:val="2"/>
            <w:vAlign w:val="bottom"/>
          </w:tcPr>
          <w:p w14:paraId="4F482AAE" w14:textId="77777777" w:rsidR="00810FAC" w:rsidRPr="000A6D80" w:rsidRDefault="00810FAC" w:rsidP="000A6D80">
            <w:pPr>
              <w:spacing w:before="20" w:after="20"/>
              <w:jc w:val="center"/>
              <w:rPr>
                <w:rFonts w:ascii="Times New Roman" w:hAnsi="Times New Roman" w:cs="Times New Roman"/>
                <w:b/>
                <w:sz w:val="20"/>
                <w:szCs w:val="20"/>
              </w:rPr>
            </w:pPr>
            <w:r w:rsidRPr="000A6D80">
              <w:rPr>
                <w:rFonts w:ascii="Times New Roman" w:hAnsi="Times New Roman" w:cs="Times New Roman"/>
                <w:b/>
                <w:color w:val="000000"/>
                <w:sz w:val="20"/>
                <w:szCs w:val="20"/>
              </w:rPr>
              <w:t>Performance Incentives</w:t>
            </w:r>
          </w:p>
        </w:tc>
        <w:tc>
          <w:tcPr>
            <w:tcW w:w="2340" w:type="dxa"/>
            <w:vAlign w:val="bottom"/>
          </w:tcPr>
          <w:p w14:paraId="1E9A2ADB" w14:textId="77777777" w:rsidR="00810FAC" w:rsidRPr="000A6D80" w:rsidRDefault="00810FAC" w:rsidP="000A6D80">
            <w:pPr>
              <w:spacing w:before="20" w:after="20"/>
              <w:jc w:val="center"/>
              <w:rPr>
                <w:rFonts w:ascii="Times New Roman" w:hAnsi="Times New Roman" w:cs="Times New Roman"/>
                <w:sz w:val="20"/>
                <w:szCs w:val="20"/>
              </w:rPr>
            </w:pPr>
            <w:r w:rsidRPr="000A6D80">
              <w:rPr>
                <w:rFonts w:ascii="Times New Roman" w:hAnsi="Times New Roman" w:cs="Times New Roman"/>
                <w:sz w:val="20"/>
                <w:szCs w:val="20"/>
              </w:rPr>
              <w:t>29</w:t>
            </w:r>
          </w:p>
        </w:tc>
        <w:tc>
          <w:tcPr>
            <w:tcW w:w="1440" w:type="dxa"/>
            <w:vAlign w:val="bottom"/>
          </w:tcPr>
          <w:p w14:paraId="1B6ADEA4" w14:textId="77777777" w:rsidR="00810FAC" w:rsidRPr="000A6D80" w:rsidRDefault="00810FAC" w:rsidP="000A6D80">
            <w:pPr>
              <w:spacing w:before="20" w:after="20"/>
              <w:jc w:val="center"/>
              <w:rPr>
                <w:rFonts w:ascii="Times New Roman" w:hAnsi="Times New Roman" w:cs="Times New Roman"/>
                <w:sz w:val="20"/>
                <w:szCs w:val="20"/>
              </w:rPr>
            </w:pPr>
            <w:r w:rsidRPr="000A6D80">
              <w:rPr>
                <w:rFonts w:ascii="Times New Roman" w:hAnsi="Times New Roman" w:cs="Times New Roman"/>
                <w:sz w:val="20"/>
                <w:szCs w:val="20"/>
              </w:rPr>
              <w:t>2</w:t>
            </w:r>
          </w:p>
        </w:tc>
      </w:tr>
      <w:tr w:rsidR="00810FAC" w:rsidRPr="000A6D80" w14:paraId="505327DD" w14:textId="77777777" w:rsidTr="000A6D80">
        <w:tc>
          <w:tcPr>
            <w:tcW w:w="5755" w:type="dxa"/>
            <w:gridSpan w:val="2"/>
            <w:vAlign w:val="bottom"/>
          </w:tcPr>
          <w:p w14:paraId="0EF7C381" w14:textId="77777777" w:rsidR="00810FAC" w:rsidRPr="000A6D80" w:rsidRDefault="00810FAC" w:rsidP="000A6D80">
            <w:pPr>
              <w:spacing w:before="20" w:after="20"/>
              <w:jc w:val="center"/>
              <w:rPr>
                <w:rFonts w:ascii="Times New Roman" w:hAnsi="Times New Roman" w:cs="Times New Roman"/>
                <w:b/>
                <w:sz w:val="20"/>
                <w:szCs w:val="20"/>
              </w:rPr>
            </w:pPr>
            <w:r w:rsidRPr="000A6D80">
              <w:rPr>
                <w:rFonts w:ascii="Times New Roman" w:hAnsi="Times New Roman" w:cs="Times New Roman"/>
                <w:b/>
                <w:color w:val="000000"/>
                <w:sz w:val="20"/>
                <w:szCs w:val="20"/>
              </w:rPr>
              <w:t>Program Cost Recovery</w:t>
            </w:r>
          </w:p>
        </w:tc>
        <w:tc>
          <w:tcPr>
            <w:tcW w:w="2340" w:type="dxa"/>
            <w:vAlign w:val="bottom"/>
          </w:tcPr>
          <w:p w14:paraId="5213D6A6" w14:textId="77777777" w:rsidR="00810FAC" w:rsidRPr="000A6D80" w:rsidRDefault="00810FAC" w:rsidP="000A6D80">
            <w:pPr>
              <w:spacing w:before="20" w:after="20"/>
              <w:jc w:val="center"/>
              <w:rPr>
                <w:rFonts w:ascii="Times New Roman" w:hAnsi="Times New Roman" w:cs="Times New Roman"/>
                <w:sz w:val="20"/>
                <w:szCs w:val="20"/>
              </w:rPr>
            </w:pPr>
            <w:r w:rsidRPr="000A6D80">
              <w:rPr>
                <w:rFonts w:ascii="Times New Roman" w:hAnsi="Times New Roman" w:cs="Times New Roman"/>
                <w:sz w:val="20"/>
                <w:szCs w:val="20"/>
              </w:rPr>
              <w:t>46</w:t>
            </w:r>
          </w:p>
        </w:tc>
        <w:tc>
          <w:tcPr>
            <w:tcW w:w="1440" w:type="dxa"/>
            <w:vAlign w:val="bottom"/>
          </w:tcPr>
          <w:p w14:paraId="5E1E6D47" w14:textId="77777777" w:rsidR="00810FAC" w:rsidRPr="000A6D80" w:rsidRDefault="00810FAC" w:rsidP="000A6D80">
            <w:pPr>
              <w:spacing w:before="20" w:after="20"/>
              <w:jc w:val="center"/>
              <w:rPr>
                <w:rFonts w:ascii="Times New Roman" w:hAnsi="Times New Roman" w:cs="Times New Roman"/>
                <w:sz w:val="20"/>
                <w:szCs w:val="20"/>
              </w:rPr>
            </w:pPr>
            <w:r w:rsidRPr="000A6D80">
              <w:rPr>
                <w:rFonts w:ascii="Times New Roman" w:hAnsi="Times New Roman" w:cs="Times New Roman"/>
                <w:sz w:val="20"/>
                <w:szCs w:val="20"/>
              </w:rPr>
              <w:t>0</w:t>
            </w:r>
          </w:p>
        </w:tc>
      </w:tr>
    </w:tbl>
    <w:p w14:paraId="212D38C8" w14:textId="77777777" w:rsidR="00810FAC" w:rsidRPr="00196931" w:rsidRDefault="00810FAC" w:rsidP="00CF0D49">
      <w:pPr>
        <w:pStyle w:val="CH5TableSource"/>
      </w:pPr>
      <w:r w:rsidRPr="00196931">
        <w:t xml:space="preserve">Source: </w:t>
      </w:r>
      <w:r>
        <w:t>IEI 2014</w:t>
      </w:r>
    </w:p>
    <w:p w14:paraId="5EE80EEC" w14:textId="59538DA9" w:rsidR="00810FAC" w:rsidRPr="00196931" w:rsidRDefault="00810FAC" w:rsidP="007300F4">
      <w:pPr>
        <w:pStyle w:val="CH5BodyText"/>
      </w:pPr>
      <w:r w:rsidRPr="00196931">
        <w:t>These approaches have been widely used for over a decade, with performance incentives approved by Connecticut as early as 1988</w:t>
      </w:r>
      <w:r>
        <w:t xml:space="preserve"> (IEI 2014)</w:t>
      </w:r>
      <w:r w:rsidRPr="00196931">
        <w:t>.  In 2006, the need for such policies was recognized by the National Action Plan for Energy Efficiency Leadership Group of gas and electric utilities, state agencies, energy consumers, energy service providers, environmental groups, and energy efficiency organizations.  Over 100 states, utilities, and key stakeholders across 49 states made aggressive commitments to energy efficiency under the Action Plan and endorsed the Action Plan five key policy recommendations which included modifying utility incentives</w:t>
      </w:r>
      <w:r>
        <w:t xml:space="preserve"> (EPA </w:t>
      </w:r>
      <w:r w:rsidR="00E0440B">
        <w:t xml:space="preserve">and DOE </w:t>
      </w:r>
      <w:r>
        <w:t>2006)</w:t>
      </w:r>
      <w:r w:rsidRPr="00196931">
        <w:t>.  In 2014, the Edison Electric Institute (EEI) and the Natural Resources Defense Council (NRDC) issued a joint statement urging state utility regulators to adopt a number of policies to sustain utility financial health given the greater investment being made in both energy efficiency and customer-sited electricity generation</w:t>
      </w:r>
      <w:r>
        <w:t xml:space="preserve"> (NRDC 2014)</w:t>
      </w:r>
      <w:r w:rsidRPr="00196931">
        <w:t>.</w:t>
      </w:r>
    </w:p>
    <w:p w14:paraId="07914B67" w14:textId="77777777" w:rsidR="00810FAC" w:rsidRPr="00196931" w:rsidRDefault="00810FAC" w:rsidP="007300F4">
      <w:pPr>
        <w:pStyle w:val="CH5BodyText"/>
      </w:pPr>
      <w:r w:rsidRPr="00196931">
        <w:t xml:space="preserve">The need for states to adopt utility financial incentive policies is due in part to how traditional ratemaking allows utilities to recovery costs based on the volume of electricity sold. This creates an incentive to maximize the volume of sales (often referred to as the “throughput incentive”), which in turn creates a disincentive to invest in energy efficiency since such programs will reduce sales volume.  A decoupling policy counteracts the financial incentive to </w:t>
      </w:r>
      <w:r w:rsidRPr="00196931">
        <w:lastRenderedPageBreak/>
        <w:t xml:space="preserve">increase sales by fixing a utility’s revenue for a specific term, in order to match the amount of anticipated costs incurred plus an appropriate profit. If the utility can reduce its costs during the term through energy efficiency, the utility will be able to increase its profits. Alternately, lost revenue adjustment mechanisms may be used to diminish the throughput incentive by allowing utilities to directly recover the lost revenue associated with not selling energy due to energy efficiency programs.  </w:t>
      </w:r>
    </w:p>
    <w:p w14:paraId="6C0675D3" w14:textId="77777777" w:rsidR="00810FAC" w:rsidRPr="00196931" w:rsidRDefault="00810FAC" w:rsidP="007300F4">
      <w:pPr>
        <w:pStyle w:val="CH5BodyText"/>
      </w:pPr>
      <w:r w:rsidRPr="00196931">
        <w:t xml:space="preserve">Reduced electricity sales may affect utility finances in additional ways, including reducing the utility’s opportunity to earn additional profit from the regulated rate of return on new capital projects which would otherwise be needed to meet higher load growth, such as new generators and transformers upgrades. As an alternative, performance incentive policies are used to allow utilities to earn a profit for achieving high levels of energy savings, recognizing that multiple benefits of energy efficiency resources that are not otherwise explicitly accounted for in traditional regulatory models.  Performance incentive policies come in different forms, such as earning bonuses and allowing a utility to earn a higher rate of return on capital invested in energy efficiency. </w:t>
      </w:r>
    </w:p>
    <w:p w14:paraId="4EE2FD76" w14:textId="77777777" w:rsidR="00810FAC" w:rsidRPr="00196931" w:rsidRDefault="00810FAC" w:rsidP="007300F4">
      <w:pPr>
        <w:pStyle w:val="CH5BodyText"/>
      </w:pPr>
      <w:r w:rsidRPr="00196931">
        <w:t>The level of capital investment made by a utility is often informed by electricity resource planning. Most states require one or more forms of electricity resource planning, such processes used to inform long-term integrated resources plans (IRPs) and regulatory approvals for large projects often referred to as Certificates of Public Convenience and Necessity (CPCNs).  IRPs are required or present in more than 30 states, including most vertically integrated states, and at least 19 states have some form of CPCN</w:t>
      </w:r>
      <w:r>
        <w:t xml:space="preserve"> (EPA 2015)</w:t>
      </w:r>
      <w:r w:rsidRPr="00196931">
        <w:t>.  Incorporating energy efficiency into electricity resource planning enables the utility to consider a broad range of electricity resource options and avoid capital investment in more expensive electricity supply or delivery infrastructure.</w:t>
      </w:r>
    </w:p>
    <w:p w14:paraId="75228197" w14:textId="7ABE9A8F" w:rsidR="00810FAC" w:rsidRPr="00196931" w:rsidRDefault="00E43FD5" w:rsidP="007300F4">
      <w:pPr>
        <w:pStyle w:val="CH5BodyText"/>
      </w:pPr>
      <w:r>
        <w:t>Due in part to the shifts in long-term incentives from regulators, u</w:t>
      </w:r>
      <w:r w:rsidR="00810FAC" w:rsidRPr="00196931">
        <w:t>tilities are also increasing</w:t>
      </w:r>
      <w:r w:rsidR="000F3120">
        <w:t>ly</w:t>
      </w:r>
      <w:r w:rsidR="00810FAC" w:rsidRPr="00196931">
        <w:t xml:space="preserve"> seeing energy efficiency as part of their business model. According to a 2015 survey of utility executives, 71% of utilities are developing new business models for energy efficiency and demand response</w:t>
      </w:r>
      <w:r w:rsidR="00810FAC">
        <w:t xml:space="preserve"> (UtilityDIVE 2015)</w:t>
      </w:r>
      <w:r w:rsidR="00810FAC" w:rsidRPr="00196931">
        <w:t xml:space="preserve">.  A significant number of the utilities surveyed see their business model changing from a traditional vertically integrated utility, to an energy services or smart integrator businesses model.  Further, states such as New York and Hawaii </w:t>
      </w:r>
      <w:r w:rsidR="00810FAC" w:rsidRPr="00196931">
        <w:lastRenderedPageBreak/>
        <w:t>have initiated actions at their public utility commissions to examine and encourage changes to the utility business model.</w:t>
      </w:r>
      <w:r w:rsidR="00810FAC" w:rsidRPr="00196931">
        <w:rPr>
          <w:rStyle w:val="FootnoteReference"/>
        </w:rPr>
        <w:footnoteReference w:id="29"/>
      </w:r>
      <w:r w:rsidR="00810FAC" w:rsidRPr="00196931">
        <w:t xml:space="preserve"> Both of these state are experiencing growth in distributed electricity generation and can build upon their existing energy efficiency regulatory frameworks which include energy efficiency program cost recovery, decoupling, and performance incentives.</w:t>
      </w:r>
    </w:p>
    <w:p w14:paraId="47D26302" w14:textId="77777777" w:rsidR="00810FAC" w:rsidRPr="003F01E1" w:rsidRDefault="00810FAC" w:rsidP="009148E2">
      <w:pPr>
        <w:pStyle w:val="Heading1"/>
      </w:pPr>
      <w:bookmarkStart w:id="78" w:name="_Toc424675668"/>
      <w:bookmarkStart w:id="79" w:name="_Toc424721570"/>
      <w:r w:rsidRPr="003F01E1">
        <w:t>Energy Efficiency Certificates</w:t>
      </w:r>
      <w:bookmarkEnd w:id="78"/>
      <w:bookmarkEnd w:id="79"/>
    </w:p>
    <w:p w14:paraId="6D2D25F5" w14:textId="77777777" w:rsidR="00810FAC" w:rsidRPr="00196931" w:rsidRDefault="00810FAC" w:rsidP="007300F4">
      <w:pPr>
        <w:pStyle w:val="CH5BodyText"/>
      </w:pPr>
      <w:r w:rsidRPr="00196931">
        <w:t>In the U.S., extensive consideration of tradable energy efficiency credits (EEC) developed almost a decade ago, most often framed as a potential compliance mechanism for state energy efficiency resource standards (EERS), a widely adopted and effective policy mechanism for achieving cost-effective electricity savings through utility energy efficiency programs.</w:t>
      </w:r>
      <w:r w:rsidRPr="00A257A3">
        <w:rPr>
          <w:vertAlign w:val="superscript"/>
        </w:rPr>
        <w:footnoteReference w:id="30"/>
      </w:r>
      <w:r w:rsidRPr="00196931">
        <w:t xml:space="preserve"> State EERS as a key policy strategy and the use of EECs for compliance were concepts borrowed from the earlier adoption of renewable portfolio standards (RPS) and the use of renewable energy credits (RECs) for compliance. </w:t>
      </w:r>
    </w:p>
    <w:p w14:paraId="781606DC" w14:textId="23A99008" w:rsidR="00810FAC" w:rsidRPr="00196931" w:rsidRDefault="00810FAC" w:rsidP="004448A6">
      <w:pPr>
        <w:pStyle w:val="CH5BodyText"/>
      </w:pPr>
      <w:r w:rsidRPr="00196931">
        <w:t>Building from the successful experience with EERS/RECs, several significant policy papers discussed how the generation, tracking, and trading of energy efficiency credits could work as a means for supporting compliance with EERS or as a mechanism for achieving greenhouse gas reductions</w:t>
      </w:r>
      <w:r>
        <w:t xml:space="preserve"> (NREL 2008; CRS 2007; IEA 2012a)</w:t>
      </w:r>
      <w:r w:rsidRPr="00196931">
        <w:t>. A few states put regulations in place that allowed for the use of EECs for EERS or RPS compliance.</w:t>
      </w:r>
      <w:r w:rsidRPr="00196931">
        <w:rPr>
          <w:rStyle w:val="FootnoteReference"/>
        </w:rPr>
        <w:footnoteReference w:id="31"/>
      </w:r>
      <w:r w:rsidRPr="00196931">
        <w:t xml:space="preserve"> Consistent with these developments, several of the regional tracking systems developed to support the use of RECs for compliance with state RPS also included a capability to perform the same functions for the use of EECs for potential compliance with state policies.</w:t>
      </w:r>
      <w:r w:rsidRPr="00196931">
        <w:rPr>
          <w:vertAlign w:val="superscript"/>
        </w:rPr>
        <w:footnoteReference w:id="32"/>
      </w:r>
      <w:r w:rsidRPr="00196931">
        <w:t xml:space="preserve"> However, these capabilities have yet to be widely used as significant levels of EEC transactions have not developed in the U.S.</w:t>
      </w:r>
    </w:p>
    <w:p w14:paraId="001224A1" w14:textId="77777777" w:rsidR="00810FAC" w:rsidRPr="00196931" w:rsidRDefault="00810FAC" w:rsidP="007300F4">
      <w:pPr>
        <w:pStyle w:val="CH5BodyText"/>
      </w:pPr>
      <w:r w:rsidRPr="00196931">
        <w:t xml:space="preserve">There are, however, some voluntary markets for energy savings credits. For example, North American Renewable Registry extended its certificate tracking system to energy efficiency, and registered the first voluntary energy efficiency certificates for IBM Corporation </w:t>
      </w:r>
      <w:r w:rsidRPr="00196931">
        <w:lastRenderedPageBreak/>
        <w:t>in March 2010</w:t>
      </w:r>
      <w:r>
        <w:t xml:space="preserve"> (NARR 2010)</w:t>
      </w:r>
      <w:r w:rsidRPr="00196931">
        <w:t>.</w:t>
      </w:r>
      <w:r w:rsidRPr="00196931">
        <w:rPr>
          <w:vertAlign w:val="superscript"/>
        </w:rPr>
        <w:t xml:space="preserve">  </w:t>
      </w:r>
      <w:r w:rsidRPr="00196931">
        <w:t>Sterling Planet, a retailer of RECs and carbon off</w:t>
      </w:r>
      <w:r>
        <w:t>s</w:t>
      </w:r>
      <w:r w:rsidRPr="00196931">
        <w:t>ets, also offers White Tags® trading instruments that recognize the meter-measured, performance-based results of energy efficiency projects. In June 2012, Sterling Planet completed the first White Tags transaction by purchasing Michigan’s Selfridge Air National Guard Base’s 2011 White Tags in order to fulfill energy efficiency compliance requirements for a Michigan utility</w:t>
      </w:r>
      <w:r>
        <w:t xml:space="preserve"> (Sterling Planet 2012)</w:t>
      </w:r>
      <w:r w:rsidRPr="00196931">
        <w:t>. The Climate Registry has a program called “Cool Planet Energy Efficiency” which provides assistance to utility company business customers with measuring and managing their energy and carbon outputs</w:t>
      </w:r>
      <w:r>
        <w:t xml:space="preserve"> (TCR 2015)</w:t>
      </w:r>
      <w:r w:rsidRPr="00196931">
        <w:t>.</w:t>
      </w:r>
      <w:r w:rsidRPr="00196931">
        <w:rPr>
          <w:vertAlign w:val="superscript"/>
        </w:rPr>
        <w:t xml:space="preserve"> </w:t>
      </w:r>
    </w:p>
    <w:p w14:paraId="5313EDF5" w14:textId="77777777" w:rsidR="00810FAC" w:rsidRPr="00196931" w:rsidRDefault="00810FAC" w:rsidP="007300F4">
      <w:pPr>
        <w:pStyle w:val="CH5BodyText"/>
      </w:pPr>
      <w:r w:rsidRPr="00196931">
        <w:t>Even though experience with EECs in the U.S. is limited, their use internationally has been significant. Nine energy efficiency policies across seven countries outside of the United States allow for trading of the energy savings used for compliance</w:t>
      </w:r>
      <w:r>
        <w:t xml:space="preserve"> (IEA 2012a)</w:t>
      </w:r>
      <w:r w:rsidRPr="00196931">
        <w:t xml:space="preserve">.  Trading has been incorporated in the design of these policies to help identify cost-effective opportunities from a broader pool of participating projects and parties.  Table </w:t>
      </w:r>
      <w:r w:rsidR="000A6D80">
        <w:t xml:space="preserve">9 </w:t>
      </w:r>
      <w:r w:rsidRPr="00196931">
        <w:t>summarizes the types of energy savings and trading included in policy design. Over half of these policies allow for trading through the creation and sale of EECs.</w:t>
      </w:r>
    </w:p>
    <w:p w14:paraId="3E9CB60F" w14:textId="3B07431F" w:rsidR="00810FAC" w:rsidRPr="00196931" w:rsidRDefault="00810FAC" w:rsidP="007B2A82">
      <w:pPr>
        <w:pStyle w:val="CH5TableTitle"/>
      </w:pPr>
      <w:bookmarkStart w:id="80" w:name="_Toc424720259"/>
      <w:r w:rsidRPr="00196931">
        <w:lastRenderedPageBreak/>
        <w:t>T</w:t>
      </w:r>
      <w:r>
        <w:t>able</w:t>
      </w:r>
      <w:r w:rsidRPr="00196931">
        <w:t xml:space="preserve"> 9. International Examples of Trading Energy Savings</w:t>
      </w:r>
      <w:bookmarkEnd w:id="80"/>
      <w:r w:rsidRPr="00196931">
        <w:t xml:space="preserve"> </w:t>
      </w:r>
    </w:p>
    <w:tbl>
      <w:tblPr>
        <w:tblW w:w="8910" w:type="dxa"/>
        <w:jc w:val="center"/>
        <w:tblLook w:val="04A0" w:firstRow="1" w:lastRow="0" w:firstColumn="1" w:lastColumn="0" w:noHBand="0" w:noVBand="1"/>
      </w:tblPr>
      <w:tblGrid>
        <w:gridCol w:w="2425"/>
        <w:gridCol w:w="3330"/>
        <w:gridCol w:w="3155"/>
      </w:tblGrid>
      <w:tr w:rsidR="00810FAC" w:rsidRPr="000A6D80" w14:paraId="3E3B0617" w14:textId="77777777" w:rsidTr="000A6D80">
        <w:trPr>
          <w:jc w:val="center"/>
        </w:trPr>
        <w:tc>
          <w:tcPr>
            <w:tcW w:w="2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012DB3" w14:textId="77777777" w:rsidR="00810FAC" w:rsidRPr="000A6D80" w:rsidRDefault="00810FAC" w:rsidP="00CF0D49">
            <w:pPr>
              <w:keepNext/>
              <w:spacing w:before="20" w:after="20"/>
              <w:jc w:val="center"/>
              <w:rPr>
                <w:rFonts w:ascii="Times New Roman" w:hAnsi="Times New Roman" w:cs="Times New Roman"/>
                <w:b/>
                <w:bCs/>
                <w:color w:val="000000"/>
                <w:sz w:val="20"/>
                <w:szCs w:val="20"/>
              </w:rPr>
            </w:pPr>
            <w:r w:rsidRPr="000A6D80">
              <w:rPr>
                <w:rFonts w:ascii="Times New Roman" w:hAnsi="Times New Roman" w:cs="Times New Roman"/>
                <w:b/>
                <w:bCs/>
                <w:color w:val="000000"/>
                <w:sz w:val="20"/>
                <w:szCs w:val="20"/>
              </w:rPr>
              <w:t>Country (Jurisdiction)</w:t>
            </w:r>
          </w:p>
        </w:tc>
        <w:tc>
          <w:tcPr>
            <w:tcW w:w="333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142F41C" w14:textId="77777777" w:rsidR="00810FAC" w:rsidRPr="000A6D80" w:rsidRDefault="00810FAC" w:rsidP="00CF0D49">
            <w:pPr>
              <w:keepNext/>
              <w:spacing w:before="20" w:after="20"/>
              <w:jc w:val="center"/>
              <w:rPr>
                <w:rFonts w:ascii="Times New Roman" w:hAnsi="Times New Roman" w:cs="Times New Roman"/>
                <w:b/>
                <w:bCs/>
                <w:color w:val="000000"/>
                <w:sz w:val="20"/>
                <w:szCs w:val="20"/>
              </w:rPr>
            </w:pPr>
            <w:r w:rsidRPr="000A6D80">
              <w:rPr>
                <w:rFonts w:ascii="Times New Roman" w:hAnsi="Times New Roman" w:cs="Times New Roman"/>
                <w:b/>
                <w:bCs/>
                <w:color w:val="000000"/>
                <w:sz w:val="20"/>
                <w:szCs w:val="20"/>
              </w:rPr>
              <w:t>Eligible Energy savings</w:t>
            </w:r>
          </w:p>
        </w:tc>
        <w:tc>
          <w:tcPr>
            <w:tcW w:w="3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9BA5F9" w14:textId="77777777" w:rsidR="00810FAC" w:rsidRPr="000A6D80" w:rsidRDefault="00810FAC" w:rsidP="00CF0D49">
            <w:pPr>
              <w:keepNext/>
              <w:spacing w:before="20" w:after="20"/>
              <w:jc w:val="center"/>
              <w:rPr>
                <w:rFonts w:ascii="Times New Roman" w:hAnsi="Times New Roman" w:cs="Times New Roman"/>
                <w:b/>
                <w:bCs/>
                <w:color w:val="000000"/>
                <w:sz w:val="20"/>
                <w:szCs w:val="20"/>
              </w:rPr>
            </w:pPr>
            <w:r w:rsidRPr="000A6D80">
              <w:rPr>
                <w:rFonts w:ascii="Times New Roman" w:hAnsi="Times New Roman" w:cs="Times New Roman"/>
                <w:b/>
                <w:bCs/>
                <w:color w:val="000000"/>
                <w:sz w:val="20"/>
                <w:szCs w:val="20"/>
              </w:rPr>
              <w:t>Type of Trading</w:t>
            </w:r>
          </w:p>
        </w:tc>
      </w:tr>
      <w:tr w:rsidR="00810FAC" w:rsidRPr="000A6D80" w14:paraId="1248D610" w14:textId="77777777" w:rsidTr="00810FAC">
        <w:trPr>
          <w:trHeight w:val="276"/>
          <w:jc w:val="center"/>
        </w:trPr>
        <w:tc>
          <w:tcPr>
            <w:tcW w:w="2425" w:type="dxa"/>
            <w:tcBorders>
              <w:top w:val="nil"/>
              <w:left w:val="single" w:sz="4" w:space="0" w:color="auto"/>
              <w:bottom w:val="single" w:sz="4" w:space="0" w:color="auto"/>
              <w:right w:val="single" w:sz="4" w:space="0" w:color="auto"/>
            </w:tcBorders>
            <w:shd w:val="clear" w:color="auto" w:fill="auto"/>
            <w:noWrap/>
            <w:vAlign w:val="center"/>
          </w:tcPr>
          <w:p w14:paraId="796588E1" w14:textId="77777777" w:rsidR="00810FAC" w:rsidRPr="000A6D80" w:rsidRDefault="00810FAC" w:rsidP="00CF0D49">
            <w:pPr>
              <w:keepNext/>
              <w:jc w:val="center"/>
              <w:rPr>
                <w:rFonts w:ascii="Times New Roman" w:hAnsi="Times New Roman" w:cs="Times New Roman"/>
                <w:sz w:val="20"/>
                <w:szCs w:val="20"/>
              </w:rPr>
            </w:pPr>
            <w:r w:rsidRPr="000A6D80">
              <w:rPr>
                <w:rFonts w:ascii="Times New Roman" w:hAnsi="Times New Roman" w:cs="Times New Roman"/>
                <w:sz w:val="20"/>
                <w:szCs w:val="20"/>
              </w:rPr>
              <w:t xml:space="preserve">Australia </w:t>
            </w:r>
            <w:r w:rsidRPr="000A6D80">
              <w:rPr>
                <w:rFonts w:ascii="Times New Roman" w:hAnsi="Times New Roman" w:cs="Times New Roman"/>
                <w:sz w:val="20"/>
                <w:szCs w:val="20"/>
              </w:rPr>
              <w:br/>
              <w:t>(New South Wales)</w:t>
            </w:r>
          </w:p>
        </w:tc>
        <w:tc>
          <w:tcPr>
            <w:tcW w:w="3330" w:type="dxa"/>
            <w:tcBorders>
              <w:top w:val="single" w:sz="4" w:space="0" w:color="auto"/>
              <w:left w:val="nil"/>
              <w:bottom w:val="single" w:sz="4" w:space="0" w:color="auto"/>
              <w:right w:val="single" w:sz="4" w:space="0" w:color="auto"/>
            </w:tcBorders>
            <w:vAlign w:val="center"/>
          </w:tcPr>
          <w:p w14:paraId="4741087D" w14:textId="77777777" w:rsidR="00810FAC" w:rsidRPr="000A6D80" w:rsidRDefault="00810FAC" w:rsidP="00CF0D49">
            <w:pPr>
              <w:keepNext/>
              <w:rPr>
                <w:rFonts w:ascii="Times New Roman" w:hAnsi="Times New Roman" w:cs="Times New Roman"/>
                <w:color w:val="000000"/>
                <w:sz w:val="20"/>
                <w:szCs w:val="20"/>
              </w:rPr>
            </w:pPr>
            <w:r w:rsidRPr="000A6D80">
              <w:rPr>
                <w:rFonts w:ascii="Times New Roman" w:hAnsi="Times New Roman" w:cs="Times New Roman"/>
                <w:color w:val="000000"/>
                <w:sz w:val="20"/>
                <w:szCs w:val="20"/>
              </w:rPr>
              <w:t>Preapproved projects implemented by obligated and accredited non-obligated parties</w:t>
            </w:r>
          </w:p>
        </w:tc>
        <w:tc>
          <w:tcPr>
            <w:tcW w:w="3155" w:type="dxa"/>
            <w:tcBorders>
              <w:top w:val="single" w:sz="4" w:space="0" w:color="auto"/>
              <w:left w:val="single" w:sz="4" w:space="0" w:color="auto"/>
              <w:bottom w:val="single" w:sz="4" w:space="0" w:color="auto"/>
              <w:right w:val="single" w:sz="4" w:space="0" w:color="auto"/>
            </w:tcBorders>
          </w:tcPr>
          <w:p w14:paraId="24EF7ADA" w14:textId="77777777" w:rsidR="00810FAC" w:rsidRPr="000A6D80" w:rsidRDefault="00810FAC" w:rsidP="00CF0D49">
            <w:pPr>
              <w:keepNext/>
              <w:rPr>
                <w:rFonts w:ascii="Times New Roman" w:hAnsi="Times New Roman" w:cs="Times New Roman"/>
                <w:color w:val="000000"/>
                <w:sz w:val="20"/>
                <w:szCs w:val="20"/>
              </w:rPr>
            </w:pPr>
            <w:r w:rsidRPr="000A6D80">
              <w:rPr>
                <w:rFonts w:ascii="Times New Roman" w:hAnsi="Times New Roman" w:cs="Times New Roman"/>
                <w:color w:val="000000"/>
                <w:sz w:val="20"/>
                <w:szCs w:val="20"/>
              </w:rPr>
              <w:t>EECs</w:t>
            </w:r>
          </w:p>
        </w:tc>
      </w:tr>
      <w:tr w:rsidR="00810FAC" w:rsidRPr="000A6D80" w14:paraId="43C58C53" w14:textId="77777777" w:rsidTr="00810FAC">
        <w:trPr>
          <w:trHeight w:val="276"/>
          <w:jc w:val="center"/>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48E7A0" w14:textId="77777777" w:rsidR="00810FAC" w:rsidRPr="000A6D80" w:rsidRDefault="00810FAC" w:rsidP="00CF0D49">
            <w:pPr>
              <w:keepNext/>
              <w:jc w:val="center"/>
              <w:rPr>
                <w:rFonts w:ascii="Times New Roman" w:hAnsi="Times New Roman" w:cs="Times New Roman"/>
                <w:sz w:val="20"/>
                <w:szCs w:val="20"/>
              </w:rPr>
            </w:pPr>
            <w:r w:rsidRPr="000A6D80">
              <w:rPr>
                <w:rFonts w:ascii="Times New Roman" w:hAnsi="Times New Roman" w:cs="Times New Roman"/>
                <w:sz w:val="20"/>
                <w:szCs w:val="20"/>
              </w:rPr>
              <w:t xml:space="preserve">Australia </w:t>
            </w:r>
            <w:r w:rsidRPr="000A6D80">
              <w:rPr>
                <w:rFonts w:ascii="Times New Roman" w:hAnsi="Times New Roman" w:cs="Times New Roman"/>
                <w:sz w:val="20"/>
                <w:szCs w:val="20"/>
              </w:rPr>
              <w:br/>
              <w:t>(South Australia)</w:t>
            </w:r>
          </w:p>
        </w:tc>
        <w:tc>
          <w:tcPr>
            <w:tcW w:w="3330" w:type="dxa"/>
            <w:tcBorders>
              <w:top w:val="single" w:sz="4" w:space="0" w:color="auto"/>
              <w:left w:val="nil"/>
              <w:bottom w:val="single" w:sz="4" w:space="0" w:color="auto"/>
              <w:right w:val="single" w:sz="4" w:space="0" w:color="auto"/>
            </w:tcBorders>
            <w:vAlign w:val="center"/>
          </w:tcPr>
          <w:p w14:paraId="7AEAA75C" w14:textId="77777777" w:rsidR="00810FAC" w:rsidRPr="000A6D80" w:rsidRDefault="00810FAC" w:rsidP="00CF0D49">
            <w:pPr>
              <w:keepNext/>
              <w:rPr>
                <w:rFonts w:ascii="Times New Roman" w:hAnsi="Times New Roman" w:cs="Times New Roman"/>
                <w:color w:val="000000"/>
                <w:sz w:val="20"/>
                <w:szCs w:val="20"/>
              </w:rPr>
            </w:pPr>
            <w:r w:rsidRPr="000A6D80">
              <w:rPr>
                <w:rFonts w:ascii="Times New Roman" w:hAnsi="Times New Roman" w:cs="Times New Roman"/>
                <w:color w:val="000000"/>
                <w:sz w:val="20"/>
                <w:szCs w:val="20"/>
              </w:rPr>
              <w:t>Activities undertaken by, or on behalf of, obligated energy retailer</w:t>
            </w:r>
          </w:p>
        </w:tc>
        <w:tc>
          <w:tcPr>
            <w:tcW w:w="3155" w:type="dxa"/>
            <w:tcBorders>
              <w:top w:val="single" w:sz="4" w:space="0" w:color="auto"/>
              <w:left w:val="single" w:sz="4" w:space="0" w:color="auto"/>
              <w:bottom w:val="single" w:sz="4" w:space="0" w:color="auto"/>
              <w:right w:val="single" w:sz="4" w:space="0" w:color="auto"/>
            </w:tcBorders>
          </w:tcPr>
          <w:p w14:paraId="17236425" w14:textId="77777777" w:rsidR="00810FAC" w:rsidRPr="000A6D80" w:rsidRDefault="00810FAC" w:rsidP="00CF0D49">
            <w:pPr>
              <w:keepNext/>
              <w:rPr>
                <w:rFonts w:ascii="Times New Roman" w:hAnsi="Times New Roman" w:cs="Times New Roman"/>
                <w:color w:val="000000"/>
                <w:sz w:val="20"/>
                <w:szCs w:val="20"/>
              </w:rPr>
            </w:pPr>
            <w:r w:rsidRPr="000A6D80">
              <w:rPr>
                <w:rFonts w:ascii="Times New Roman" w:hAnsi="Times New Roman" w:cs="Times New Roman"/>
                <w:color w:val="000000"/>
                <w:sz w:val="20"/>
                <w:szCs w:val="20"/>
              </w:rPr>
              <w:t>Limited transfer of credits among obligated parties</w:t>
            </w:r>
          </w:p>
        </w:tc>
      </w:tr>
      <w:tr w:rsidR="00810FAC" w:rsidRPr="000A6D80" w14:paraId="0653C516" w14:textId="77777777" w:rsidTr="00810FAC">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center"/>
          </w:tcPr>
          <w:p w14:paraId="0CA51E6D" w14:textId="77777777" w:rsidR="00810FAC" w:rsidRPr="000A6D80" w:rsidRDefault="00810FAC" w:rsidP="00CF0D49">
            <w:pPr>
              <w:keepNext/>
              <w:jc w:val="center"/>
              <w:rPr>
                <w:rFonts w:ascii="Times New Roman" w:hAnsi="Times New Roman" w:cs="Times New Roman"/>
                <w:sz w:val="20"/>
                <w:szCs w:val="20"/>
              </w:rPr>
            </w:pPr>
            <w:r w:rsidRPr="000A6D80">
              <w:rPr>
                <w:rFonts w:ascii="Times New Roman" w:hAnsi="Times New Roman" w:cs="Times New Roman"/>
                <w:sz w:val="20"/>
                <w:szCs w:val="20"/>
              </w:rPr>
              <w:t xml:space="preserve">Australia </w:t>
            </w:r>
            <w:r w:rsidRPr="000A6D80">
              <w:rPr>
                <w:rFonts w:ascii="Times New Roman" w:hAnsi="Times New Roman" w:cs="Times New Roman"/>
                <w:sz w:val="20"/>
                <w:szCs w:val="20"/>
              </w:rPr>
              <w:br/>
              <w:t>(Victoria)</w:t>
            </w:r>
          </w:p>
        </w:tc>
        <w:tc>
          <w:tcPr>
            <w:tcW w:w="3330" w:type="dxa"/>
            <w:tcBorders>
              <w:top w:val="single" w:sz="4" w:space="0" w:color="auto"/>
              <w:left w:val="nil"/>
              <w:bottom w:val="single" w:sz="4" w:space="0" w:color="auto"/>
              <w:right w:val="single" w:sz="4" w:space="0" w:color="auto"/>
            </w:tcBorders>
            <w:vAlign w:val="center"/>
          </w:tcPr>
          <w:p w14:paraId="358D0002" w14:textId="77777777" w:rsidR="00810FAC" w:rsidRPr="000A6D80" w:rsidRDefault="00810FAC" w:rsidP="00CF0D49">
            <w:pPr>
              <w:keepNext/>
              <w:rPr>
                <w:rFonts w:ascii="Times New Roman" w:hAnsi="Times New Roman" w:cs="Times New Roman"/>
                <w:color w:val="000000"/>
                <w:sz w:val="20"/>
                <w:szCs w:val="20"/>
              </w:rPr>
            </w:pPr>
            <w:r w:rsidRPr="000A6D80">
              <w:rPr>
                <w:rFonts w:ascii="Times New Roman" w:hAnsi="Times New Roman" w:cs="Times New Roman"/>
                <w:color w:val="000000"/>
                <w:sz w:val="20"/>
                <w:szCs w:val="20"/>
              </w:rPr>
              <w:t>Installation of preapproved energy efficiency products by obligated and accredited non-obligated parties</w:t>
            </w:r>
          </w:p>
        </w:tc>
        <w:tc>
          <w:tcPr>
            <w:tcW w:w="3155" w:type="dxa"/>
            <w:tcBorders>
              <w:top w:val="single" w:sz="4" w:space="0" w:color="auto"/>
              <w:left w:val="single" w:sz="4" w:space="0" w:color="auto"/>
              <w:bottom w:val="single" w:sz="4" w:space="0" w:color="auto"/>
              <w:right w:val="single" w:sz="4" w:space="0" w:color="auto"/>
            </w:tcBorders>
          </w:tcPr>
          <w:p w14:paraId="7D462058" w14:textId="77777777" w:rsidR="00810FAC" w:rsidRPr="000A6D80" w:rsidRDefault="00810FAC" w:rsidP="00CF0D49">
            <w:pPr>
              <w:keepNext/>
              <w:rPr>
                <w:rFonts w:ascii="Times New Roman" w:hAnsi="Times New Roman" w:cs="Times New Roman"/>
                <w:color w:val="000000"/>
                <w:sz w:val="20"/>
                <w:szCs w:val="20"/>
              </w:rPr>
            </w:pPr>
            <w:r w:rsidRPr="000A6D80">
              <w:rPr>
                <w:rFonts w:ascii="Times New Roman" w:hAnsi="Times New Roman" w:cs="Times New Roman"/>
                <w:color w:val="000000"/>
                <w:sz w:val="20"/>
                <w:szCs w:val="20"/>
              </w:rPr>
              <w:t>EECs</w:t>
            </w:r>
          </w:p>
        </w:tc>
      </w:tr>
      <w:tr w:rsidR="00810FAC" w:rsidRPr="000A6D80" w14:paraId="6D52C435" w14:textId="77777777" w:rsidTr="00810FAC">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center"/>
          </w:tcPr>
          <w:p w14:paraId="56BC8CDF" w14:textId="77777777" w:rsidR="00810FAC" w:rsidRPr="000A6D80" w:rsidRDefault="00810FAC" w:rsidP="00CF0D49">
            <w:pPr>
              <w:keepNext/>
              <w:jc w:val="center"/>
              <w:rPr>
                <w:rFonts w:ascii="Times New Roman" w:hAnsi="Times New Roman" w:cs="Times New Roman"/>
                <w:sz w:val="20"/>
                <w:szCs w:val="20"/>
              </w:rPr>
            </w:pPr>
            <w:r w:rsidRPr="000A6D80">
              <w:rPr>
                <w:rFonts w:ascii="Times New Roman" w:hAnsi="Times New Roman" w:cs="Times New Roman"/>
                <w:sz w:val="20"/>
                <w:szCs w:val="20"/>
              </w:rPr>
              <w:t>China</w:t>
            </w:r>
          </w:p>
        </w:tc>
        <w:tc>
          <w:tcPr>
            <w:tcW w:w="3330" w:type="dxa"/>
            <w:tcBorders>
              <w:top w:val="single" w:sz="4" w:space="0" w:color="auto"/>
              <w:left w:val="nil"/>
              <w:bottom w:val="single" w:sz="4" w:space="0" w:color="auto"/>
              <w:right w:val="single" w:sz="4" w:space="0" w:color="auto"/>
            </w:tcBorders>
            <w:vAlign w:val="center"/>
          </w:tcPr>
          <w:p w14:paraId="1A75237A" w14:textId="77777777" w:rsidR="00810FAC" w:rsidRPr="000A6D80" w:rsidRDefault="00810FAC" w:rsidP="00CF0D49">
            <w:pPr>
              <w:keepNext/>
              <w:rPr>
                <w:rFonts w:ascii="Times New Roman" w:hAnsi="Times New Roman" w:cs="Times New Roman"/>
                <w:color w:val="000000"/>
                <w:sz w:val="20"/>
                <w:szCs w:val="20"/>
              </w:rPr>
            </w:pPr>
            <w:r w:rsidRPr="000A6D80">
              <w:rPr>
                <w:rFonts w:ascii="Times New Roman" w:hAnsi="Times New Roman" w:cs="Times New Roman"/>
                <w:color w:val="000000"/>
                <w:sz w:val="20"/>
                <w:szCs w:val="20"/>
              </w:rPr>
              <w:t>Achieved by grid companies and energy service companies subsidiaries of grid companies</w:t>
            </w:r>
          </w:p>
        </w:tc>
        <w:tc>
          <w:tcPr>
            <w:tcW w:w="3155" w:type="dxa"/>
            <w:tcBorders>
              <w:top w:val="single" w:sz="4" w:space="0" w:color="auto"/>
              <w:left w:val="single" w:sz="4" w:space="0" w:color="auto"/>
              <w:bottom w:val="single" w:sz="4" w:space="0" w:color="auto"/>
              <w:right w:val="single" w:sz="4" w:space="0" w:color="auto"/>
            </w:tcBorders>
          </w:tcPr>
          <w:p w14:paraId="1ADEB858" w14:textId="77777777" w:rsidR="00810FAC" w:rsidRPr="000A6D80" w:rsidRDefault="00810FAC" w:rsidP="00CF0D49">
            <w:pPr>
              <w:keepNext/>
              <w:rPr>
                <w:rFonts w:ascii="Times New Roman" w:hAnsi="Times New Roman" w:cs="Times New Roman"/>
                <w:color w:val="000000"/>
                <w:sz w:val="20"/>
                <w:szCs w:val="20"/>
              </w:rPr>
            </w:pPr>
            <w:r w:rsidRPr="000A6D80">
              <w:rPr>
                <w:rFonts w:ascii="Times New Roman" w:hAnsi="Times New Roman" w:cs="Times New Roman"/>
                <w:color w:val="000000"/>
                <w:sz w:val="20"/>
                <w:szCs w:val="20"/>
              </w:rPr>
              <w:t>Obligated parties may purchase savings from customers and ESCOs under bilateral contracts</w:t>
            </w:r>
          </w:p>
        </w:tc>
      </w:tr>
      <w:tr w:rsidR="00810FAC" w:rsidRPr="000A6D80" w14:paraId="77530CD4" w14:textId="77777777" w:rsidTr="00810FAC">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center"/>
          </w:tcPr>
          <w:p w14:paraId="1B3E26F5" w14:textId="77777777" w:rsidR="00810FAC" w:rsidRPr="000A6D80" w:rsidRDefault="00810FAC" w:rsidP="00CF0D49">
            <w:pPr>
              <w:keepNext/>
              <w:jc w:val="center"/>
              <w:rPr>
                <w:rFonts w:ascii="Times New Roman" w:hAnsi="Times New Roman" w:cs="Times New Roman"/>
                <w:sz w:val="20"/>
                <w:szCs w:val="20"/>
              </w:rPr>
            </w:pPr>
            <w:r w:rsidRPr="000A6D80">
              <w:rPr>
                <w:rFonts w:ascii="Times New Roman" w:hAnsi="Times New Roman" w:cs="Times New Roman"/>
                <w:sz w:val="20"/>
                <w:szCs w:val="20"/>
              </w:rPr>
              <w:t>Denmark</w:t>
            </w:r>
          </w:p>
        </w:tc>
        <w:tc>
          <w:tcPr>
            <w:tcW w:w="3330" w:type="dxa"/>
            <w:tcBorders>
              <w:top w:val="single" w:sz="4" w:space="0" w:color="auto"/>
              <w:left w:val="nil"/>
              <w:bottom w:val="single" w:sz="4" w:space="0" w:color="auto"/>
              <w:right w:val="single" w:sz="4" w:space="0" w:color="auto"/>
            </w:tcBorders>
            <w:vAlign w:val="center"/>
          </w:tcPr>
          <w:p w14:paraId="3A6948AA" w14:textId="77777777" w:rsidR="00810FAC" w:rsidRPr="000A6D80" w:rsidRDefault="00810FAC" w:rsidP="00CF0D49">
            <w:pPr>
              <w:keepNext/>
              <w:rPr>
                <w:rFonts w:ascii="Times New Roman" w:hAnsi="Times New Roman" w:cs="Times New Roman"/>
                <w:color w:val="000000"/>
                <w:sz w:val="20"/>
                <w:szCs w:val="20"/>
              </w:rPr>
            </w:pPr>
            <w:r w:rsidRPr="000A6D80">
              <w:rPr>
                <w:rFonts w:ascii="Times New Roman" w:hAnsi="Times New Roman" w:cs="Times New Roman"/>
                <w:color w:val="000000"/>
                <w:sz w:val="20"/>
                <w:szCs w:val="20"/>
              </w:rPr>
              <w:t>Distributors must engage third parties to achieve energy savings across energy types</w:t>
            </w:r>
          </w:p>
        </w:tc>
        <w:tc>
          <w:tcPr>
            <w:tcW w:w="3155" w:type="dxa"/>
            <w:tcBorders>
              <w:top w:val="single" w:sz="4" w:space="0" w:color="auto"/>
              <w:left w:val="single" w:sz="4" w:space="0" w:color="auto"/>
              <w:bottom w:val="single" w:sz="4" w:space="0" w:color="auto"/>
              <w:right w:val="single" w:sz="4" w:space="0" w:color="auto"/>
            </w:tcBorders>
          </w:tcPr>
          <w:p w14:paraId="74157C6B" w14:textId="77777777" w:rsidR="00810FAC" w:rsidRPr="000A6D80" w:rsidRDefault="00810FAC" w:rsidP="00CF0D49">
            <w:pPr>
              <w:keepNext/>
              <w:rPr>
                <w:rFonts w:ascii="Times New Roman" w:hAnsi="Times New Roman" w:cs="Times New Roman"/>
                <w:color w:val="000000"/>
                <w:sz w:val="20"/>
                <w:szCs w:val="20"/>
              </w:rPr>
            </w:pPr>
            <w:r w:rsidRPr="000A6D80">
              <w:rPr>
                <w:rFonts w:ascii="Times New Roman" w:hAnsi="Times New Roman" w:cs="Times New Roman"/>
                <w:color w:val="000000"/>
                <w:sz w:val="20"/>
                <w:szCs w:val="20"/>
              </w:rPr>
              <w:t>Energy savings may only be traded among obligated energy distributors</w:t>
            </w:r>
          </w:p>
        </w:tc>
      </w:tr>
      <w:tr w:rsidR="00810FAC" w:rsidRPr="000A6D80" w14:paraId="04F957B8" w14:textId="77777777" w:rsidTr="00810FAC">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center"/>
          </w:tcPr>
          <w:p w14:paraId="482019E0" w14:textId="77777777" w:rsidR="00810FAC" w:rsidRPr="000A6D80" w:rsidRDefault="00810FAC" w:rsidP="00CF0D49">
            <w:pPr>
              <w:keepNext/>
              <w:jc w:val="center"/>
              <w:rPr>
                <w:rFonts w:ascii="Times New Roman" w:hAnsi="Times New Roman" w:cs="Times New Roman"/>
                <w:sz w:val="20"/>
                <w:szCs w:val="20"/>
              </w:rPr>
            </w:pPr>
            <w:r w:rsidRPr="000A6D80">
              <w:rPr>
                <w:rFonts w:ascii="Times New Roman" w:hAnsi="Times New Roman" w:cs="Times New Roman"/>
                <w:sz w:val="20"/>
                <w:szCs w:val="20"/>
              </w:rPr>
              <w:t>France</w:t>
            </w:r>
          </w:p>
        </w:tc>
        <w:tc>
          <w:tcPr>
            <w:tcW w:w="3330" w:type="dxa"/>
            <w:tcBorders>
              <w:top w:val="single" w:sz="4" w:space="0" w:color="auto"/>
              <w:left w:val="nil"/>
              <w:bottom w:val="single" w:sz="4" w:space="0" w:color="auto"/>
              <w:right w:val="single" w:sz="4" w:space="0" w:color="auto"/>
            </w:tcBorders>
            <w:vAlign w:val="center"/>
          </w:tcPr>
          <w:p w14:paraId="128D7FC4" w14:textId="77777777" w:rsidR="00810FAC" w:rsidRPr="000A6D80" w:rsidRDefault="00810FAC" w:rsidP="00CF0D49">
            <w:pPr>
              <w:keepNext/>
              <w:rPr>
                <w:rFonts w:ascii="Times New Roman" w:hAnsi="Times New Roman" w:cs="Times New Roman"/>
                <w:color w:val="000000"/>
                <w:sz w:val="20"/>
                <w:szCs w:val="20"/>
              </w:rPr>
            </w:pPr>
            <w:r w:rsidRPr="000A6D80">
              <w:rPr>
                <w:rFonts w:ascii="Times New Roman" w:hAnsi="Times New Roman" w:cs="Times New Roman"/>
                <w:color w:val="000000"/>
                <w:sz w:val="20"/>
                <w:szCs w:val="20"/>
              </w:rPr>
              <w:t>Produced by obligated parties, local authorities, and social housing landlords</w:t>
            </w:r>
          </w:p>
        </w:tc>
        <w:tc>
          <w:tcPr>
            <w:tcW w:w="3155" w:type="dxa"/>
            <w:tcBorders>
              <w:top w:val="single" w:sz="4" w:space="0" w:color="auto"/>
              <w:left w:val="single" w:sz="4" w:space="0" w:color="auto"/>
              <w:bottom w:val="single" w:sz="4" w:space="0" w:color="auto"/>
              <w:right w:val="single" w:sz="4" w:space="0" w:color="auto"/>
            </w:tcBorders>
          </w:tcPr>
          <w:p w14:paraId="596B506D" w14:textId="77777777" w:rsidR="00810FAC" w:rsidRPr="000A6D80" w:rsidRDefault="00810FAC" w:rsidP="00CF0D49">
            <w:pPr>
              <w:keepNext/>
              <w:rPr>
                <w:rFonts w:ascii="Times New Roman" w:hAnsi="Times New Roman" w:cs="Times New Roman"/>
                <w:color w:val="000000"/>
                <w:sz w:val="20"/>
                <w:szCs w:val="20"/>
              </w:rPr>
            </w:pPr>
            <w:r w:rsidRPr="000A6D80">
              <w:rPr>
                <w:rFonts w:ascii="Times New Roman" w:hAnsi="Times New Roman" w:cs="Times New Roman"/>
                <w:color w:val="000000"/>
                <w:sz w:val="20"/>
                <w:szCs w:val="20"/>
              </w:rPr>
              <w:t>Over-the-counter trading of EECs</w:t>
            </w:r>
          </w:p>
        </w:tc>
      </w:tr>
      <w:tr w:rsidR="00810FAC" w:rsidRPr="000A6D80" w14:paraId="01EA9C91" w14:textId="77777777" w:rsidTr="00810FAC">
        <w:trPr>
          <w:trHeight w:val="276"/>
          <w:jc w:val="center"/>
        </w:trPr>
        <w:tc>
          <w:tcPr>
            <w:tcW w:w="2425" w:type="dxa"/>
            <w:tcBorders>
              <w:top w:val="nil"/>
              <w:left w:val="single" w:sz="4" w:space="0" w:color="auto"/>
              <w:bottom w:val="single" w:sz="4" w:space="0" w:color="auto"/>
              <w:right w:val="single" w:sz="4" w:space="0" w:color="auto"/>
            </w:tcBorders>
            <w:shd w:val="clear" w:color="auto" w:fill="auto"/>
            <w:noWrap/>
            <w:vAlign w:val="center"/>
          </w:tcPr>
          <w:p w14:paraId="6CA6D375" w14:textId="77777777" w:rsidR="00810FAC" w:rsidRPr="000A6D80" w:rsidRDefault="00810FAC" w:rsidP="00CF0D49">
            <w:pPr>
              <w:keepNext/>
              <w:jc w:val="center"/>
              <w:rPr>
                <w:rFonts w:ascii="Times New Roman" w:hAnsi="Times New Roman" w:cs="Times New Roman"/>
                <w:sz w:val="20"/>
                <w:szCs w:val="20"/>
              </w:rPr>
            </w:pPr>
            <w:r w:rsidRPr="000A6D80">
              <w:rPr>
                <w:rFonts w:ascii="Times New Roman" w:hAnsi="Times New Roman" w:cs="Times New Roman"/>
                <w:sz w:val="20"/>
                <w:szCs w:val="20"/>
              </w:rPr>
              <w:t>Italy</w:t>
            </w:r>
          </w:p>
        </w:tc>
        <w:tc>
          <w:tcPr>
            <w:tcW w:w="3330" w:type="dxa"/>
            <w:tcBorders>
              <w:top w:val="single" w:sz="4" w:space="0" w:color="auto"/>
              <w:left w:val="nil"/>
              <w:bottom w:val="single" w:sz="4" w:space="0" w:color="auto"/>
              <w:right w:val="single" w:sz="4" w:space="0" w:color="auto"/>
            </w:tcBorders>
            <w:vAlign w:val="center"/>
          </w:tcPr>
          <w:p w14:paraId="570B1063" w14:textId="77777777" w:rsidR="00810FAC" w:rsidRPr="000A6D80" w:rsidRDefault="00810FAC" w:rsidP="00CF0D49">
            <w:pPr>
              <w:keepNext/>
              <w:rPr>
                <w:rFonts w:ascii="Times New Roman" w:hAnsi="Times New Roman" w:cs="Times New Roman"/>
                <w:color w:val="000000"/>
                <w:sz w:val="20"/>
                <w:szCs w:val="20"/>
              </w:rPr>
            </w:pPr>
            <w:r w:rsidRPr="000A6D80">
              <w:rPr>
                <w:rFonts w:ascii="Times New Roman" w:hAnsi="Times New Roman" w:cs="Times New Roman"/>
                <w:color w:val="000000"/>
                <w:sz w:val="20"/>
                <w:szCs w:val="20"/>
              </w:rPr>
              <w:t>Produced by obligated distributors ad accredited energy service providers</w:t>
            </w:r>
          </w:p>
        </w:tc>
        <w:tc>
          <w:tcPr>
            <w:tcW w:w="3155" w:type="dxa"/>
            <w:tcBorders>
              <w:top w:val="single" w:sz="4" w:space="0" w:color="auto"/>
              <w:left w:val="single" w:sz="4" w:space="0" w:color="auto"/>
              <w:bottom w:val="single" w:sz="4" w:space="0" w:color="auto"/>
              <w:right w:val="single" w:sz="4" w:space="0" w:color="auto"/>
            </w:tcBorders>
          </w:tcPr>
          <w:p w14:paraId="5E807A8F" w14:textId="77777777" w:rsidR="00810FAC" w:rsidRPr="000A6D80" w:rsidRDefault="00810FAC" w:rsidP="00CF0D49">
            <w:pPr>
              <w:keepNext/>
              <w:rPr>
                <w:rFonts w:ascii="Times New Roman" w:hAnsi="Times New Roman" w:cs="Times New Roman"/>
                <w:color w:val="000000"/>
                <w:sz w:val="20"/>
                <w:szCs w:val="20"/>
              </w:rPr>
            </w:pPr>
            <w:r w:rsidRPr="000A6D80">
              <w:rPr>
                <w:rFonts w:ascii="Times New Roman" w:hAnsi="Times New Roman" w:cs="Times New Roman"/>
                <w:color w:val="000000"/>
                <w:sz w:val="20"/>
                <w:szCs w:val="20"/>
              </w:rPr>
              <w:t>Over-the-counter and spot market trading of EECs</w:t>
            </w:r>
          </w:p>
        </w:tc>
      </w:tr>
      <w:tr w:rsidR="00810FAC" w:rsidRPr="000A6D80" w14:paraId="1BADBB90" w14:textId="77777777" w:rsidTr="00810FAC">
        <w:trPr>
          <w:trHeight w:val="288"/>
          <w:jc w:val="center"/>
        </w:trPr>
        <w:tc>
          <w:tcPr>
            <w:tcW w:w="2425" w:type="dxa"/>
            <w:tcBorders>
              <w:top w:val="nil"/>
              <w:left w:val="single" w:sz="4" w:space="0" w:color="auto"/>
              <w:bottom w:val="single" w:sz="4" w:space="0" w:color="auto"/>
              <w:right w:val="single" w:sz="4" w:space="0" w:color="auto"/>
            </w:tcBorders>
            <w:shd w:val="clear" w:color="auto" w:fill="auto"/>
            <w:noWrap/>
            <w:vAlign w:val="center"/>
          </w:tcPr>
          <w:p w14:paraId="20850746" w14:textId="77777777" w:rsidR="00810FAC" w:rsidRPr="000A6D80" w:rsidRDefault="00810FAC" w:rsidP="00CF0D49">
            <w:pPr>
              <w:keepNext/>
              <w:jc w:val="center"/>
              <w:rPr>
                <w:rFonts w:ascii="Times New Roman" w:hAnsi="Times New Roman" w:cs="Times New Roman"/>
                <w:sz w:val="20"/>
                <w:szCs w:val="20"/>
              </w:rPr>
            </w:pPr>
            <w:r w:rsidRPr="000A6D80">
              <w:rPr>
                <w:rFonts w:ascii="Times New Roman" w:hAnsi="Times New Roman" w:cs="Times New Roman"/>
                <w:sz w:val="20"/>
                <w:szCs w:val="20"/>
              </w:rPr>
              <w:t>Poland</w:t>
            </w:r>
          </w:p>
        </w:tc>
        <w:tc>
          <w:tcPr>
            <w:tcW w:w="3330" w:type="dxa"/>
            <w:tcBorders>
              <w:top w:val="single" w:sz="4" w:space="0" w:color="auto"/>
              <w:left w:val="nil"/>
              <w:bottom w:val="single" w:sz="4" w:space="0" w:color="auto"/>
              <w:right w:val="single" w:sz="4" w:space="0" w:color="auto"/>
            </w:tcBorders>
            <w:vAlign w:val="center"/>
          </w:tcPr>
          <w:p w14:paraId="2A74BC6F" w14:textId="77777777" w:rsidR="00810FAC" w:rsidRPr="000A6D80" w:rsidRDefault="00810FAC" w:rsidP="00CF0D49">
            <w:pPr>
              <w:keepNext/>
              <w:rPr>
                <w:rFonts w:ascii="Times New Roman" w:hAnsi="Times New Roman" w:cs="Times New Roman"/>
                <w:color w:val="000000"/>
                <w:sz w:val="20"/>
                <w:szCs w:val="20"/>
              </w:rPr>
            </w:pPr>
            <w:r w:rsidRPr="000A6D80">
              <w:rPr>
                <w:rFonts w:ascii="Times New Roman" w:hAnsi="Times New Roman" w:cs="Times New Roman"/>
                <w:color w:val="000000"/>
                <w:sz w:val="20"/>
                <w:szCs w:val="20"/>
              </w:rPr>
              <w:t>Projects selected through annual auctions</w:t>
            </w:r>
          </w:p>
        </w:tc>
        <w:tc>
          <w:tcPr>
            <w:tcW w:w="3155" w:type="dxa"/>
            <w:tcBorders>
              <w:top w:val="single" w:sz="4" w:space="0" w:color="auto"/>
              <w:left w:val="single" w:sz="4" w:space="0" w:color="auto"/>
              <w:bottom w:val="single" w:sz="4" w:space="0" w:color="auto"/>
              <w:right w:val="single" w:sz="4" w:space="0" w:color="auto"/>
            </w:tcBorders>
          </w:tcPr>
          <w:p w14:paraId="5B6DBB0D" w14:textId="77777777" w:rsidR="00810FAC" w:rsidRPr="000A6D80" w:rsidRDefault="00810FAC" w:rsidP="00CF0D49">
            <w:pPr>
              <w:keepNext/>
              <w:rPr>
                <w:rFonts w:ascii="Times New Roman" w:hAnsi="Times New Roman" w:cs="Times New Roman"/>
                <w:color w:val="000000"/>
                <w:sz w:val="20"/>
                <w:szCs w:val="20"/>
              </w:rPr>
            </w:pPr>
            <w:r w:rsidRPr="000A6D80">
              <w:rPr>
                <w:rFonts w:ascii="Times New Roman" w:hAnsi="Times New Roman" w:cs="Times New Roman"/>
                <w:color w:val="000000"/>
                <w:sz w:val="20"/>
                <w:szCs w:val="20"/>
              </w:rPr>
              <w:t>EECs fully tradable on the Polish Power Exchange</w:t>
            </w:r>
          </w:p>
        </w:tc>
      </w:tr>
      <w:tr w:rsidR="00810FAC" w:rsidRPr="000A6D80" w14:paraId="59A43F21" w14:textId="77777777" w:rsidTr="00810FAC">
        <w:trPr>
          <w:trHeight w:val="276"/>
          <w:jc w:val="center"/>
        </w:trPr>
        <w:tc>
          <w:tcPr>
            <w:tcW w:w="2425" w:type="dxa"/>
            <w:tcBorders>
              <w:top w:val="nil"/>
              <w:left w:val="single" w:sz="4" w:space="0" w:color="auto"/>
              <w:bottom w:val="single" w:sz="4" w:space="0" w:color="auto"/>
              <w:right w:val="single" w:sz="4" w:space="0" w:color="auto"/>
            </w:tcBorders>
            <w:shd w:val="clear" w:color="auto" w:fill="auto"/>
            <w:noWrap/>
            <w:vAlign w:val="center"/>
          </w:tcPr>
          <w:p w14:paraId="730154FB" w14:textId="77777777" w:rsidR="00810FAC" w:rsidRPr="000A6D80" w:rsidRDefault="00810FAC" w:rsidP="00CF0D49">
            <w:pPr>
              <w:keepNext/>
              <w:jc w:val="center"/>
              <w:rPr>
                <w:rFonts w:ascii="Times New Roman" w:hAnsi="Times New Roman" w:cs="Times New Roman"/>
                <w:sz w:val="20"/>
                <w:szCs w:val="20"/>
              </w:rPr>
            </w:pPr>
            <w:r w:rsidRPr="000A6D80">
              <w:rPr>
                <w:rFonts w:ascii="Times New Roman" w:hAnsi="Times New Roman" w:cs="Times New Roman"/>
                <w:sz w:val="20"/>
                <w:szCs w:val="20"/>
              </w:rPr>
              <w:t>United Kingdom</w:t>
            </w:r>
          </w:p>
        </w:tc>
        <w:tc>
          <w:tcPr>
            <w:tcW w:w="3330" w:type="dxa"/>
            <w:tcBorders>
              <w:top w:val="single" w:sz="4" w:space="0" w:color="auto"/>
              <w:left w:val="nil"/>
              <w:bottom w:val="single" w:sz="4" w:space="0" w:color="auto"/>
              <w:right w:val="single" w:sz="4" w:space="0" w:color="auto"/>
            </w:tcBorders>
            <w:vAlign w:val="center"/>
          </w:tcPr>
          <w:p w14:paraId="152620F0" w14:textId="77777777" w:rsidR="00810FAC" w:rsidRPr="000A6D80" w:rsidRDefault="00810FAC" w:rsidP="00CF0D49">
            <w:pPr>
              <w:keepNext/>
              <w:rPr>
                <w:rFonts w:ascii="Times New Roman" w:hAnsi="Times New Roman" w:cs="Times New Roman"/>
                <w:color w:val="000000"/>
                <w:sz w:val="20"/>
                <w:szCs w:val="20"/>
              </w:rPr>
            </w:pPr>
            <w:r w:rsidRPr="000A6D80">
              <w:rPr>
                <w:rFonts w:ascii="Times New Roman" w:hAnsi="Times New Roman" w:cs="Times New Roman"/>
                <w:color w:val="000000"/>
                <w:sz w:val="20"/>
                <w:szCs w:val="20"/>
              </w:rPr>
              <w:t>Projects implemented by obligated parties or their contractors</w:t>
            </w:r>
          </w:p>
        </w:tc>
        <w:tc>
          <w:tcPr>
            <w:tcW w:w="3155" w:type="dxa"/>
            <w:tcBorders>
              <w:top w:val="single" w:sz="4" w:space="0" w:color="auto"/>
              <w:left w:val="single" w:sz="4" w:space="0" w:color="auto"/>
              <w:bottom w:val="single" w:sz="4" w:space="0" w:color="auto"/>
              <w:right w:val="single" w:sz="4" w:space="0" w:color="auto"/>
            </w:tcBorders>
          </w:tcPr>
          <w:p w14:paraId="72CA657C" w14:textId="77777777" w:rsidR="00810FAC" w:rsidRPr="000A6D80" w:rsidRDefault="00810FAC" w:rsidP="00CF0D49">
            <w:pPr>
              <w:keepNext/>
              <w:rPr>
                <w:rFonts w:ascii="Times New Roman" w:hAnsi="Times New Roman" w:cs="Times New Roman"/>
                <w:color w:val="000000"/>
                <w:sz w:val="20"/>
                <w:szCs w:val="20"/>
              </w:rPr>
            </w:pPr>
            <w:r w:rsidRPr="000A6D80">
              <w:rPr>
                <w:rFonts w:ascii="Times New Roman" w:hAnsi="Times New Roman" w:cs="Times New Roman"/>
                <w:color w:val="000000"/>
                <w:sz w:val="20"/>
                <w:szCs w:val="20"/>
              </w:rPr>
              <w:t>Transfers of emissions reductions and trading of obligations allowed among obligated parties</w:t>
            </w:r>
          </w:p>
        </w:tc>
      </w:tr>
    </w:tbl>
    <w:p w14:paraId="0D16C336" w14:textId="77777777" w:rsidR="00810FAC" w:rsidRDefault="00810FAC" w:rsidP="00CF0D49">
      <w:pPr>
        <w:pStyle w:val="CH5TableSource"/>
        <w:ind w:left="180"/>
      </w:pPr>
      <w:r w:rsidRPr="00196931">
        <w:t xml:space="preserve">Source: </w:t>
      </w:r>
      <w:r>
        <w:t>IEA 2012a</w:t>
      </w:r>
    </w:p>
    <w:p w14:paraId="1AB2D797" w14:textId="3984EB3C" w:rsidR="00810FAC" w:rsidRPr="00196931" w:rsidRDefault="00810FAC" w:rsidP="007300F4">
      <w:pPr>
        <w:pStyle w:val="CH5BodyText"/>
      </w:pPr>
      <w:r w:rsidRPr="00196931">
        <w:t>Two good international examples are provided by programs in Italy and in Australia (New South Wales) that have been trading EECs successfully and at significant scale over the past decade</w:t>
      </w:r>
      <w:r>
        <w:t xml:space="preserve"> (Pavan 2008; NSW 2015)</w:t>
      </w:r>
      <w:r w:rsidRPr="00196931">
        <w:t>. Italy uses EECs as part of its White Certificates system, a key policy supporting their international climate commitments</w:t>
      </w:r>
      <w:r>
        <w:t xml:space="preserve"> (Italy 2014)</w:t>
      </w:r>
      <w:r w:rsidRPr="00196931">
        <w:t>. In implementing this policy, electricity and gas distribution utilities use EECs to meet established energy savings targets. These utilities may either generate their own EECs or buy from third parties through the market. Approximately one-third of EECs are generated by third parties and subsequently trade on the open market.  EECs are also exchanged between energy efficiency providers and utilities through bilateral contracts.</w:t>
      </w:r>
      <w:r w:rsidRPr="00196931">
        <w:rPr>
          <w:rStyle w:val="FootnoteReference"/>
        </w:rPr>
        <w:footnoteReference w:id="33"/>
      </w:r>
      <w:r w:rsidRPr="00196931">
        <w:t xml:space="preserve"> The majority of energy savings from the Italian White Certificates system are realized from reducing electricity usage through a set of pre-established eligible project types</w:t>
      </w:r>
      <w:r>
        <w:t xml:space="preserve"> (IEA 2012a)</w:t>
      </w:r>
      <w:r w:rsidRPr="00196931">
        <w:t>.</w:t>
      </w:r>
    </w:p>
    <w:p w14:paraId="5A057CE4" w14:textId="77777777" w:rsidR="00810FAC" w:rsidRPr="00196931" w:rsidRDefault="00810FAC" w:rsidP="007300F4">
      <w:pPr>
        <w:pStyle w:val="CH5BodyText"/>
      </w:pPr>
      <w:r w:rsidRPr="00196931">
        <w:lastRenderedPageBreak/>
        <w:t>In Australia, the state of New South Wales initially incorporated EEC trading as part of their Greenhouse Gas Emissions Trading scheme. In 2009, New South Wales began trading EECs via the Energy Savings Scheme recognizing that unique barriers to energy efficiency persisted. Obligated parties, which include electric utilities, are required to acquire and surrender EECs to meet the energy savings targets of the Energy Savings Scheme. Other organizations also use EECs to voluntarily reduce their greenhouse gas emissions. Energy efficiency projects across residential, commercial and industrial sectors are used to create EECs in New South Wales.</w:t>
      </w:r>
    </w:p>
    <w:p w14:paraId="1F952A25" w14:textId="3B411DFC" w:rsidR="00810FAC" w:rsidRPr="00196931" w:rsidRDefault="00810FAC" w:rsidP="007300F4">
      <w:pPr>
        <w:pStyle w:val="CH5BodyText"/>
      </w:pPr>
      <w:r w:rsidRPr="00196931">
        <w:t>Active trading of EECs also exists in New South Wales. Trading markets have been established by the private sector with some organizations, such as the Australian Financial Markets Association and individual brokers of environmental commodities, providing regular updates on EEC wholesale market prices</w:t>
      </w:r>
      <w:r>
        <w:t xml:space="preserve"> (NSW 2015)</w:t>
      </w:r>
      <w:r w:rsidRPr="00196931">
        <w:t>. Even though most EECs are traded via bilateral contracts, trading of EECs has also developed across spot, forward, and options contracts. Since any party who is an “Accredited Certificate Provider” may create EECs, the Energy Savings Scheme policy has fostered the development of a robust energy services industry of firms implementing energy efficiency projects supported in part by revenues from the sale of associated EECs.</w:t>
      </w:r>
    </w:p>
    <w:p w14:paraId="387E95D3" w14:textId="77777777" w:rsidR="00810FAC" w:rsidRPr="00196931" w:rsidRDefault="00810FAC" w:rsidP="009148E2">
      <w:pPr>
        <w:pStyle w:val="Heading1"/>
      </w:pPr>
      <w:bookmarkStart w:id="81" w:name="_Toc424675669"/>
      <w:bookmarkStart w:id="82" w:name="_Toc424721571"/>
      <w:r w:rsidRPr="00196931">
        <w:t>Demand-Side EE Plan Scenario: Magnitude and Timing of Savings</w:t>
      </w:r>
      <w:bookmarkEnd w:id="81"/>
      <w:bookmarkEnd w:id="82"/>
    </w:p>
    <w:p w14:paraId="6B4684F5" w14:textId="77777777" w:rsidR="00810FAC" w:rsidRPr="00196931" w:rsidRDefault="00810FAC" w:rsidP="009148E2">
      <w:pPr>
        <w:pStyle w:val="Heading2"/>
      </w:pPr>
      <w:bookmarkStart w:id="83" w:name="_Toc424675670"/>
      <w:bookmarkStart w:id="84" w:name="_Toc424721572"/>
      <w:r w:rsidRPr="00196931">
        <w:t>Approach</w:t>
      </w:r>
      <w:bookmarkEnd w:id="83"/>
      <w:bookmarkEnd w:id="84"/>
    </w:p>
    <w:p w14:paraId="0B67ABE2" w14:textId="5273DF28" w:rsidR="00810FAC" w:rsidRPr="00196931" w:rsidRDefault="00810FAC" w:rsidP="00810FAC">
      <w:pPr>
        <w:pStyle w:val="CH5BodyText"/>
      </w:pPr>
      <w:r w:rsidRPr="003F01E1">
        <w:t>Chapter 3 of the Regulatory Impacts Analysis (RIA) presents illustrative analysis of the final rule by making assumptions about the approaches that states might pursue as they develop their state plans. These approaches are embodied in the illustrative plan scenarios developed by EPA for the RIA and used to estimate the costs, benefits, and impacts of the final rule. The final CPP provides the states the flexibility to use demand reductions resulting from demand-side EE as a component of their state plan strategy, either directly recognized towards compliance with a rate-based goal or as a complimentary approach fo</w:t>
      </w:r>
      <w:r w:rsidRPr="00196931">
        <w:t>r achieving a mass-based goal</w:t>
      </w:r>
      <w:r w:rsidR="006639BB">
        <w:t xml:space="preserve"> (see section VIII, State Plans, of the final rule preamble for details)</w:t>
      </w:r>
      <w:r w:rsidRPr="00196931">
        <w:t xml:space="preserve">. The EPA has included in </w:t>
      </w:r>
      <w:r w:rsidR="006639BB">
        <w:t>the</w:t>
      </w:r>
      <w:r w:rsidR="006639BB" w:rsidRPr="00196931">
        <w:t xml:space="preserve"> </w:t>
      </w:r>
      <w:r w:rsidRPr="00196931">
        <w:t xml:space="preserve">illustrative plan scenarios (both rate- and mass-based) a level of demand reduction that could be achieved, and the associated costs incurred, through implementation of demand-side EE measures. In this section, the EPA provides the basis for the illustrative demand-side EE plan scenario that is </w:t>
      </w:r>
      <w:r w:rsidRPr="00196931">
        <w:lastRenderedPageBreak/>
        <w:t>included as a component of the plan scenarios presented in the RIA and, then, in the following section, the basis for associated EE cost estimates are provided.</w:t>
      </w:r>
    </w:p>
    <w:p w14:paraId="2339C0C4" w14:textId="1AE73480" w:rsidR="00810FAC" w:rsidRDefault="00810FAC" w:rsidP="00810FAC">
      <w:pPr>
        <w:pStyle w:val="CH5BodyText"/>
      </w:pPr>
      <w:r>
        <w:t>The demand-side EE plan scenario is derived from state and utility experience with ratepayer-funded EE programs and the resulting energy savings</w:t>
      </w:r>
      <w:r w:rsidR="006639BB">
        <w:t>, as described in preceding sections of this TSD</w:t>
      </w:r>
      <w:r>
        <w:t xml:space="preserve">. </w:t>
      </w:r>
      <w:r w:rsidR="006639BB">
        <w:t xml:space="preserve">Demand-side </w:t>
      </w:r>
      <w:r>
        <w:t xml:space="preserve">EE </w:t>
      </w:r>
      <w:r w:rsidR="006639BB">
        <w:t xml:space="preserve">is included in the illustrative analysis contained in the RIA for several reasons </w:t>
      </w:r>
      <w:r>
        <w:t xml:space="preserve">including the </w:t>
      </w:r>
      <w:r w:rsidR="006639BB">
        <w:t xml:space="preserve">current </w:t>
      </w:r>
      <w:r>
        <w:t xml:space="preserve">use </w:t>
      </w:r>
      <w:r w:rsidR="006639BB">
        <w:t xml:space="preserve">of such programs </w:t>
      </w:r>
      <w:r>
        <w:t xml:space="preserve">in every state, </w:t>
      </w:r>
      <w:r w:rsidR="006639BB">
        <w:t xml:space="preserve">the </w:t>
      </w:r>
      <w:r>
        <w:t>substantial savings</w:t>
      </w:r>
      <w:r w:rsidR="006639BB">
        <w:t xml:space="preserve"> relative to other opportunities to reduce CO</w:t>
      </w:r>
      <w:r w:rsidR="006639BB" w:rsidRPr="006639BB">
        <w:rPr>
          <w:vertAlign w:val="subscript"/>
        </w:rPr>
        <w:t>2</w:t>
      </w:r>
      <w:r w:rsidR="006639BB">
        <w:t xml:space="preserve"> emissions from the power sector</w:t>
      </w:r>
      <w:r>
        <w:t xml:space="preserve">, </w:t>
      </w:r>
      <w:r w:rsidR="006639BB">
        <w:t xml:space="preserve">overall </w:t>
      </w:r>
      <w:r>
        <w:t xml:space="preserve">cost-effectiveness, and the quality of available information on their impacts and associated costs. </w:t>
      </w:r>
      <w:r w:rsidR="006639BB">
        <w:t xml:space="preserve">The ratepayer-funded EE programs are the basis for the levels of demand-side EE that are included as part of the RIA, although there are other strategies and measures that states may employ for purposes of the final CPP. For example, </w:t>
      </w:r>
      <w:r>
        <w:t>the final rule provides states the flexibility to use building codes, appliance standards, and energy service performance contracting</w:t>
      </w:r>
      <w:r w:rsidR="006639BB">
        <w:t xml:space="preserve"> (to name a few examples</w:t>
      </w:r>
      <w:r>
        <w:t>)</w:t>
      </w:r>
      <w:r w:rsidR="00D10B78">
        <w:t>,</w:t>
      </w:r>
      <w:r>
        <w:t xml:space="preserve"> and those strategies also offer substantial, low-cost opportunities to reduce CO</w:t>
      </w:r>
      <w:r w:rsidRPr="00557C39">
        <w:rPr>
          <w:vertAlign w:val="subscript"/>
        </w:rPr>
        <w:t>2</w:t>
      </w:r>
      <w:r>
        <w:t xml:space="preserve"> emissions from affected EGUs.</w:t>
      </w:r>
    </w:p>
    <w:p w14:paraId="79A4D380" w14:textId="77777777" w:rsidR="00810FAC" w:rsidRDefault="00810FAC" w:rsidP="009148E2">
      <w:pPr>
        <w:pStyle w:val="Heading2"/>
      </w:pPr>
      <w:bookmarkStart w:id="85" w:name="_Toc424675671"/>
      <w:bookmarkStart w:id="86" w:name="_Toc424721573"/>
      <w:r w:rsidRPr="00D33008">
        <w:t>Inputs</w:t>
      </w:r>
      <w:bookmarkEnd w:id="85"/>
      <w:bookmarkEnd w:id="86"/>
    </w:p>
    <w:p w14:paraId="4352CD76" w14:textId="77777777" w:rsidR="00810FAC" w:rsidRPr="00D33008" w:rsidRDefault="00810FAC" w:rsidP="00810FAC">
      <w:pPr>
        <w:pStyle w:val="CH5BodyText"/>
      </w:pPr>
      <w:r w:rsidRPr="00D33008">
        <w:t xml:space="preserve">The following steps were taken to establish the inputs for development of the </w:t>
      </w:r>
      <w:r>
        <w:t xml:space="preserve">illustrative demand-side EE plan </w:t>
      </w:r>
      <w:r w:rsidRPr="00D33008">
        <w:t>scenario for each state</w:t>
      </w:r>
      <w:r>
        <w:t>, tribal area, and territory</w:t>
      </w:r>
      <w:r w:rsidRPr="00D33008">
        <w:t>:</w:t>
      </w:r>
    </w:p>
    <w:p w14:paraId="5AA0FA5D" w14:textId="77777777" w:rsidR="00810FAC" w:rsidRPr="00C071CA" w:rsidRDefault="00810FAC" w:rsidP="00810FAC">
      <w:pPr>
        <w:pStyle w:val="CH5BulletList"/>
        <w:rPr>
          <w:i/>
        </w:rPr>
      </w:pPr>
      <w:r w:rsidRPr="00C071CA">
        <w:rPr>
          <w:i/>
        </w:rPr>
        <w:t>Step 1: Determine current level of</w:t>
      </w:r>
      <w:r>
        <w:rPr>
          <w:i/>
        </w:rPr>
        <w:t xml:space="preserve"> demand-side EE </w:t>
      </w:r>
      <w:r w:rsidRPr="00C071CA">
        <w:rPr>
          <w:i/>
        </w:rPr>
        <w:t>performance</w:t>
      </w:r>
    </w:p>
    <w:p w14:paraId="6CB19B19" w14:textId="77777777" w:rsidR="00810FAC" w:rsidRPr="00C071CA" w:rsidRDefault="00810FAC" w:rsidP="00810FAC">
      <w:pPr>
        <w:pStyle w:val="CH5BulletList"/>
        <w:rPr>
          <w:i/>
        </w:rPr>
      </w:pPr>
      <w:r w:rsidRPr="00C071CA">
        <w:rPr>
          <w:i/>
        </w:rPr>
        <w:t xml:space="preserve">Step 2: Determine </w:t>
      </w:r>
      <w:r>
        <w:rPr>
          <w:i/>
        </w:rPr>
        <w:t>EE plan scenario</w:t>
      </w:r>
      <w:r w:rsidRPr="00C071CA">
        <w:rPr>
          <w:i/>
        </w:rPr>
        <w:t xml:space="preserve"> level</w:t>
      </w:r>
      <w:r>
        <w:rPr>
          <w:i/>
        </w:rPr>
        <w:t xml:space="preserve"> of </w:t>
      </w:r>
      <w:r w:rsidRPr="00C071CA">
        <w:rPr>
          <w:i/>
        </w:rPr>
        <w:t>performance</w:t>
      </w:r>
    </w:p>
    <w:p w14:paraId="7497FBB3" w14:textId="77777777" w:rsidR="00810FAC" w:rsidRPr="00C071CA" w:rsidRDefault="00810FAC" w:rsidP="00810FAC">
      <w:pPr>
        <w:pStyle w:val="CH5BulletList"/>
        <w:rPr>
          <w:i/>
        </w:rPr>
      </w:pPr>
      <w:r w:rsidRPr="00C071CA">
        <w:rPr>
          <w:i/>
        </w:rPr>
        <w:t xml:space="preserve">Step 3: Determine start year for </w:t>
      </w:r>
      <w:r>
        <w:rPr>
          <w:i/>
        </w:rPr>
        <w:t>EE plan scenario</w:t>
      </w:r>
    </w:p>
    <w:p w14:paraId="059FF858" w14:textId="77777777" w:rsidR="00810FAC" w:rsidRPr="00C071CA" w:rsidRDefault="00810FAC" w:rsidP="00810FAC">
      <w:pPr>
        <w:pStyle w:val="CH5BulletList"/>
        <w:rPr>
          <w:i/>
        </w:rPr>
      </w:pPr>
      <w:r w:rsidRPr="00C071CA">
        <w:rPr>
          <w:i/>
        </w:rPr>
        <w:t>Step 4: Determine start year level</w:t>
      </w:r>
      <w:r>
        <w:rPr>
          <w:i/>
        </w:rPr>
        <w:t xml:space="preserve"> </w:t>
      </w:r>
      <w:r w:rsidRPr="00C071CA">
        <w:rPr>
          <w:i/>
        </w:rPr>
        <w:t>performance</w:t>
      </w:r>
    </w:p>
    <w:p w14:paraId="6506F440" w14:textId="77777777" w:rsidR="00810FAC" w:rsidRPr="00C071CA" w:rsidRDefault="00810FAC" w:rsidP="00810FAC">
      <w:pPr>
        <w:pStyle w:val="CH5BulletList"/>
        <w:rPr>
          <w:i/>
        </w:rPr>
      </w:pPr>
      <w:r w:rsidRPr="00C071CA">
        <w:rPr>
          <w:i/>
        </w:rPr>
        <w:t xml:space="preserve">Step 5: Determine pace </w:t>
      </w:r>
      <w:r>
        <w:rPr>
          <w:i/>
        </w:rPr>
        <w:t xml:space="preserve">of improvement </w:t>
      </w:r>
      <w:r w:rsidRPr="00C071CA">
        <w:rPr>
          <w:i/>
        </w:rPr>
        <w:t xml:space="preserve">from start year to </w:t>
      </w:r>
      <w:r>
        <w:rPr>
          <w:i/>
        </w:rPr>
        <w:t>EE plan scenario</w:t>
      </w:r>
      <w:r w:rsidRPr="00C071CA">
        <w:rPr>
          <w:i/>
        </w:rPr>
        <w:t xml:space="preserve"> level of</w:t>
      </w:r>
      <w:r>
        <w:rPr>
          <w:i/>
        </w:rPr>
        <w:t xml:space="preserve"> </w:t>
      </w:r>
      <w:r w:rsidRPr="00C071CA">
        <w:rPr>
          <w:i/>
        </w:rPr>
        <w:t>performance</w:t>
      </w:r>
    </w:p>
    <w:p w14:paraId="56D52280" w14:textId="77777777" w:rsidR="00810FAC" w:rsidRPr="00C071CA" w:rsidRDefault="00810FAC" w:rsidP="00810FAC">
      <w:pPr>
        <w:pStyle w:val="CH5BulletList"/>
        <w:rPr>
          <w:i/>
        </w:rPr>
      </w:pPr>
      <w:r w:rsidRPr="00C071CA">
        <w:rPr>
          <w:i/>
        </w:rPr>
        <w:t>Step 6: Determine average portfolio measure life and distribution of measure lives</w:t>
      </w:r>
    </w:p>
    <w:p w14:paraId="49996DE1" w14:textId="77777777" w:rsidR="00810FAC" w:rsidRPr="00C071CA" w:rsidRDefault="00810FAC" w:rsidP="00810FAC">
      <w:pPr>
        <w:pStyle w:val="CH5BulletListlast"/>
        <w:rPr>
          <w:i/>
        </w:rPr>
      </w:pPr>
      <w:r w:rsidRPr="00C071CA">
        <w:rPr>
          <w:i/>
        </w:rPr>
        <w:t>Step 7: Determine sustainabilit</w:t>
      </w:r>
      <w:r w:rsidRPr="00D33008">
        <w:t>y</w:t>
      </w:r>
      <w:r w:rsidRPr="00C071CA">
        <w:rPr>
          <w:i/>
        </w:rPr>
        <w:t xml:space="preserve"> of </w:t>
      </w:r>
      <w:r>
        <w:rPr>
          <w:i/>
        </w:rPr>
        <w:t>EE plan scenario</w:t>
      </w:r>
      <w:r w:rsidRPr="00C071CA">
        <w:rPr>
          <w:i/>
        </w:rPr>
        <w:t xml:space="preserve"> level of</w:t>
      </w:r>
      <w:r>
        <w:rPr>
          <w:i/>
        </w:rPr>
        <w:t xml:space="preserve"> </w:t>
      </w:r>
      <w:r w:rsidRPr="00C071CA">
        <w:rPr>
          <w:i/>
        </w:rPr>
        <w:t>performance</w:t>
      </w:r>
    </w:p>
    <w:p w14:paraId="1E19215D" w14:textId="77777777" w:rsidR="00810FAC" w:rsidRPr="00D33008" w:rsidRDefault="00810FAC" w:rsidP="009148E2">
      <w:pPr>
        <w:pStyle w:val="Heading3"/>
      </w:pPr>
      <w:bookmarkStart w:id="87" w:name="_Toc424721574"/>
      <w:r w:rsidRPr="00D33008">
        <w:t xml:space="preserve">Step 1: Determine Current Level of </w:t>
      </w:r>
      <w:r>
        <w:t xml:space="preserve">Demand-Side EE </w:t>
      </w:r>
      <w:r w:rsidRPr="00D33008">
        <w:t>Performance</w:t>
      </w:r>
      <w:bookmarkEnd w:id="87"/>
    </w:p>
    <w:p w14:paraId="4521B158" w14:textId="434836D6" w:rsidR="00810FAC" w:rsidRPr="00D33008" w:rsidRDefault="00810FAC" w:rsidP="00810FAC">
      <w:pPr>
        <w:pStyle w:val="CH5BodyText"/>
      </w:pPr>
      <w:r w:rsidRPr="00D33008">
        <w:t xml:space="preserve">A fundamental indicator of the level of </w:t>
      </w:r>
      <w:r>
        <w:t>EE</w:t>
      </w:r>
      <w:r w:rsidRPr="00D33008">
        <w:t xml:space="preserve"> program performance is incremental annual savings </w:t>
      </w:r>
      <w:r>
        <w:t xml:space="preserve">(also known as first-year savings) </w:t>
      </w:r>
      <w:r w:rsidRPr="00D33008">
        <w:t xml:space="preserve">as a percent of retail sales. This is a common metric </w:t>
      </w:r>
      <w:r w:rsidRPr="00D33008">
        <w:lastRenderedPageBreak/>
        <w:t xml:space="preserve">defining savings levels for </w:t>
      </w:r>
      <w:r>
        <w:t xml:space="preserve">state EERS </w:t>
      </w:r>
      <w:r w:rsidRPr="00D33008">
        <w:t>and is readily calculated from EIA Form 861 data for each state</w:t>
      </w:r>
      <w:r>
        <w:t>, tribal area and territory (hereafter, just referred to as “states”)</w:t>
      </w:r>
      <w:r w:rsidRPr="00D33008">
        <w:t>. Incremental annual savings are also more directly estimated and evaluated than are cumulative savings.</w:t>
      </w:r>
      <w:r w:rsidRPr="00D33008">
        <w:rPr>
          <w:rStyle w:val="FootnoteReference"/>
        </w:rPr>
        <w:footnoteReference w:id="34"/>
      </w:r>
      <w:r w:rsidRPr="00D33008">
        <w:t xml:space="preserve"> </w:t>
      </w:r>
      <w:r>
        <w:t>To determine the current level of demand-side EE performance</w:t>
      </w:r>
      <w:r w:rsidRPr="00D33008">
        <w:t xml:space="preserve">, </w:t>
      </w:r>
      <w:r>
        <w:t xml:space="preserve">the EPA </w:t>
      </w:r>
      <w:r w:rsidRPr="00D33008">
        <w:t xml:space="preserve">aggregated the </w:t>
      </w:r>
      <w:r>
        <w:t xml:space="preserve">most recent (2013) </w:t>
      </w:r>
      <w:r w:rsidRPr="00D33008">
        <w:t xml:space="preserve">EIA Form 861 data to the state level to establish </w:t>
      </w:r>
      <w:r>
        <w:t xml:space="preserve">their </w:t>
      </w:r>
      <w:r w:rsidRPr="00D33008">
        <w:t xml:space="preserve">current level of performance. </w:t>
      </w:r>
      <w:r>
        <w:t xml:space="preserve">Estimated incremental savings </w:t>
      </w:r>
      <w:r w:rsidRPr="00D33008">
        <w:t xml:space="preserve">results </w:t>
      </w:r>
      <w:r>
        <w:t>a</w:t>
      </w:r>
      <w:r w:rsidRPr="00D33008">
        <w:t xml:space="preserve">re presented in Table </w:t>
      </w:r>
      <w:r w:rsidRPr="00196931">
        <w:t>4</w:t>
      </w:r>
      <w:r w:rsidRPr="003F01E1">
        <w:t>.</w:t>
      </w:r>
    </w:p>
    <w:p w14:paraId="389D5E87" w14:textId="77777777" w:rsidR="00810FAC" w:rsidRPr="00D33008" w:rsidRDefault="00810FAC" w:rsidP="009148E2">
      <w:pPr>
        <w:pStyle w:val="Heading3"/>
      </w:pPr>
      <w:bookmarkStart w:id="88" w:name="_Toc424721575"/>
      <w:r w:rsidRPr="00D33008">
        <w:t xml:space="preserve">Step 2: Determine </w:t>
      </w:r>
      <w:r>
        <w:t xml:space="preserve">EE Plan Scenario Level of </w:t>
      </w:r>
      <w:r w:rsidRPr="00D33008">
        <w:t>Performance</w:t>
      </w:r>
      <w:bookmarkEnd w:id="88"/>
    </w:p>
    <w:p w14:paraId="0840278E" w14:textId="7A9B1582" w:rsidR="00810FAC" w:rsidRPr="00D33008" w:rsidRDefault="00810FAC" w:rsidP="00810FAC">
      <w:pPr>
        <w:pStyle w:val="CH5BodyText"/>
      </w:pPr>
      <w:r w:rsidRPr="00FC5185">
        <w:t>As discussed previously (</w:t>
      </w:r>
      <w:r w:rsidRPr="00B562BA">
        <w:t>section 4.2.3</w:t>
      </w:r>
      <w:r w:rsidRPr="00FC5185">
        <w:t>), achievable demand-side EE potential exists at significant and comparable levels (on the basis of total cumulative potential over a period of ten to twenty years) in all regions of the country. While varied regional characteristics (e.g., avoided power system costs, economic growth, sectoral mix, climate, and level of past EE efforts) affect estimates of achievable potential, ongoing improvements in energy-efficient technologies and practices, economic growth, population increases, and continually improving strategies for program delivery have resulted in persistent and substantial levels of achievable potential regardless of specific regional characteristics.</w:t>
      </w:r>
    </w:p>
    <w:p w14:paraId="203A2324" w14:textId="77777777" w:rsidR="00810FAC" w:rsidRPr="00D33008" w:rsidRDefault="00810FAC" w:rsidP="00810FAC">
      <w:pPr>
        <w:pStyle w:val="CH5BodyText"/>
      </w:pPr>
      <w:r>
        <w:t>D</w:t>
      </w:r>
      <w:r w:rsidRPr="00D33008">
        <w:t>irect indicator</w:t>
      </w:r>
      <w:r>
        <w:t>s</w:t>
      </w:r>
      <w:r w:rsidRPr="00D33008">
        <w:t xml:space="preserve"> of the achievable incremental levels of energy savings performance is provided by past performance at the state and utility levels, and by requirements states have put in place for levels of savings to be achieved by 2020. As discussed, these requirements are </w:t>
      </w:r>
      <w:r>
        <w:t xml:space="preserve">often </w:t>
      </w:r>
      <w:r w:rsidRPr="00D33008">
        <w:t xml:space="preserve">in the form of </w:t>
      </w:r>
      <w:r>
        <w:t>EERS</w:t>
      </w:r>
      <w:r w:rsidRPr="00D33008">
        <w:t xml:space="preserve"> or similar savings goals that are applied to utilities in the state.</w:t>
      </w:r>
    </w:p>
    <w:p w14:paraId="7162EA86" w14:textId="7353F05C" w:rsidR="00810FAC" w:rsidRPr="00D33008" w:rsidRDefault="00810FAC" w:rsidP="00810FAC">
      <w:pPr>
        <w:pStyle w:val="CH5BodyText"/>
      </w:pPr>
      <w:r w:rsidRPr="00D33008">
        <w:t xml:space="preserve">Table </w:t>
      </w:r>
      <w:r>
        <w:t>10</w:t>
      </w:r>
      <w:r w:rsidRPr="00D33008">
        <w:t xml:space="preserve"> summarizes incremental savings levels as a percentage of retail sales from EIA Form 861 (201</w:t>
      </w:r>
      <w:r>
        <w:t>3</w:t>
      </w:r>
      <w:r w:rsidRPr="00D33008">
        <w:t xml:space="preserve">) data, aggregated to the state level, and categorized into four ranges of savings levels (&lt; 0.5%, 0.5% to 0.99%, 1.0% to 1.49%, and &gt;= 1.5%). As shown, three states achieved the highest level of performance (&gt; 1.5%) and an additional </w:t>
      </w:r>
      <w:r>
        <w:t>fourteen</w:t>
      </w:r>
      <w:r w:rsidRPr="00D33008">
        <w:t xml:space="preserve"> states achieved the second highest level of performance (1.0% to 1.49%).</w:t>
      </w:r>
    </w:p>
    <w:p w14:paraId="7ACC1DB2" w14:textId="3B7DB3D4" w:rsidR="00810FAC" w:rsidRPr="00D33008" w:rsidRDefault="00810FAC" w:rsidP="007B2A82">
      <w:pPr>
        <w:pStyle w:val="CH5TableTitle"/>
      </w:pPr>
      <w:bookmarkStart w:id="89" w:name="_Toc424720260"/>
      <w:r w:rsidRPr="00D33008">
        <w:lastRenderedPageBreak/>
        <w:t>T</w:t>
      </w:r>
      <w:r>
        <w:t>able</w:t>
      </w:r>
      <w:r w:rsidRPr="00AA2738">
        <w:rPr>
          <w:rFonts w:eastAsiaTheme="minorHAnsi"/>
        </w:rPr>
        <w:t xml:space="preserve"> </w:t>
      </w:r>
      <w:r>
        <w:rPr>
          <w:rFonts w:eastAsiaTheme="minorHAnsi"/>
        </w:rPr>
        <w:t xml:space="preserve">10. </w:t>
      </w:r>
      <w:r w:rsidRPr="00AA2738">
        <w:rPr>
          <w:rFonts w:eastAsiaTheme="minorHAnsi"/>
        </w:rPr>
        <w:t>201</w:t>
      </w:r>
      <w:r>
        <w:rPr>
          <w:rFonts w:eastAsiaTheme="minorHAnsi"/>
        </w:rPr>
        <w:t>3</w:t>
      </w:r>
      <w:r w:rsidRPr="00AA2738">
        <w:rPr>
          <w:rFonts w:eastAsiaTheme="minorHAnsi"/>
        </w:rPr>
        <w:t xml:space="preserve"> State Levels o</w:t>
      </w:r>
      <w:r w:rsidRPr="00D33008">
        <w:t>f Incremental Annual Savings</w:t>
      </w:r>
      <w:bookmarkEnd w:id="89"/>
    </w:p>
    <w:tbl>
      <w:tblPr>
        <w:tblStyle w:val="TableGrid"/>
        <w:tblW w:w="0" w:type="auto"/>
        <w:jc w:val="center"/>
        <w:tblLook w:val="04A0" w:firstRow="1" w:lastRow="0" w:firstColumn="1" w:lastColumn="0" w:noHBand="0" w:noVBand="1"/>
      </w:tblPr>
      <w:tblGrid>
        <w:gridCol w:w="2335"/>
        <w:gridCol w:w="1170"/>
        <w:gridCol w:w="5490"/>
      </w:tblGrid>
      <w:tr w:rsidR="00810FAC" w:rsidRPr="00D33008" w14:paraId="4B738414" w14:textId="77777777" w:rsidTr="00BF5472">
        <w:trPr>
          <w:jc w:val="center"/>
        </w:trPr>
        <w:tc>
          <w:tcPr>
            <w:tcW w:w="2335" w:type="dxa"/>
            <w:shd w:val="clear" w:color="auto" w:fill="D9D9D9" w:themeFill="background1" w:themeFillShade="D9"/>
            <w:vAlign w:val="center"/>
          </w:tcPr>
          <w:p w14:paraId="039C4229" w14:textId="77777777" w:rsidR="00810FAC" w:rsidRPr="0014218C" w:rsidRDefault="00810FAC" w:rsidP="00CF0D49">
            <w:pPr>
              <w:pStyle w:val="CH5TableText"/>
              <w:keepNext/>
              <w:rPr>
                <w:b/>
              </w:rPr>
            </w:pPr>
            <w:r w:rsidRPr="0014218C">
              <w:rPr>
                <w:b/>
              </w:rPr>
              <w:t xml:space="preserve">Incremental Savings as </w:t>
            </w:r>
            <w:r w:rsidRPr="0014218C">
              <w:rPr>
                <w:b/>
              </w:rPr>
              <w:br/>
              <w:t>% of Retail Sales</w:t>
            </w:r>
          </w:p>
        </w:tc>
        <w:tc>
          <w:tcPr>
            <w:tcW w:w="1170" w:type="dxa"/>
            <w:shd w:val="clear" w:color="auto" w:fill="D9D9D9" w:themeFill="background1" w:themeFillShade="D9"/>
            <w:vAlign w:val="center"/>
          </w:tcPr>
          <w:p w14:paraId="1CA2C230" w14:textId="77777777" w:rsidR="00810FAC" w:rsidRPr="0014218C" w:rsidRDefault="00810FAC" w:rsidP="00CF0D49">
            <w:pPr>
              <w:pStyle w:val="CH5TableText"/>
              <w:keepNext/>
              <w:rPr>
                <w:b/>
              </w:rPr>
            </w:pPr>
            <w:r w:rsidRPr="0014218C">
              <w:rPr>
                <w:b/>
              </w:rPr>
              <w:t># of States</w:t>
            </w:r>
          </w:p>
        </w:tc>
        <w:tc>
          <w:tcPr>
            <w:tcW w:w="5490" w:type="dxa"/>
            <w:shd w:val="clear" w:color="auto" w:fill="D9D9D9" w:themeFill="background1" w:themeFillShade="D9"/>
            <w:vAlign w:val="center"/>
          </w:tcPr>
          <w:p w14:paraId="2B00741F" w14:textId="77777777" w:rsidR="00810FAC" w:rsidRPr="0014218C" w:rsidRDefault="00810FAC" w:rsidP="00CF0D49">
            <w:pPr>
              <w:pStyle w:val="CH5TableText"/>
              <w:keepNext/>
              <w:rPr>
                <w:b/>
              </w:rPr>
            </w:pPr>
            <w:r w:rsidRPr="0014218C">
              <w:rPr>
                <w:b/>
              </w:rPr>
              <w:t>States</w:t>
            </w:r>
          </w:p>
        </w:tc>
      </w:tr>
      <w:tr w:rsidR="00810FAC" w:rsidRPr="00D33008" w14:paraId="687FA228" w14:textId="77777777" w:rsidTr="00810FAC">
        <w:trPr>
          <w:jc w:val="center"/>
        </w:trPr>
        <w:tc>
          <w:tcPr>
            <w:tcW w:w="2335" w:type="dxa"/>
          </w:tcPr>
          <w:p w14:paraId="299EE3A9" w14:textId="77777777" w:rsidR="00810FAC" w:rsidRPr="0014218C" w:rsidRDefault="00810FAC" w:rsidP="00CF0D49">
            <w:pPr>
              <w:pStyle w:val="CH5TableText"/>
              <w:keepNext/>
              <w:rPr>
                <w:b/>
              </w:rPr>
            </w:pPr>
            <w:r w:rsidRPr="0014218C">
              <w:rPr>
                <w:b/>
              </w:rPr>
              <w:t>&gt;= 1.5%</w:t>
            </w:r>
          </w:p>
        </w:tc>
        <w:tc>
          <w:tcPr>
            <w:tcW w:w="1170" w:type="dxa"/>
          </w:tcPr>
          <w:p w14:paraId="4F908F8D" w14:textId="77777777" w:rsidR="00810FAC" w:rsidRPr="00D33008" w:rsidRDefault="00810FAC" w:rsidP="00CF0D49">
            <w:pPr>
              <w:pStyle w:val="CH5TableText"/>
              <w:keepNext/>
            </w:pPr>
            <w:r>
              <w:t>3</w:t>
            </w:r>
          </w:p>
        </w:tc>
        <w:tc>
          <w:tcPr>
            <w:tcW w:w="5490" w:type="dxa"/>
          </w:tcPr>
          <w:p w14:paraId="77E00729" w14:textId="77777777" w:rsidR="00810FAC" w:rsidRPr="00D33008" w:rsidRDefault="00810FAC" w:rsidP="00CF0D49">
            <w:pPr>
              <w:pStyle w:val="CH5TableText"/>
              <w:keepNext/>
            </w:pPr>
            <w:r w:rsidRPr="00D33008">
              <w:t xml:space="preserve">AZ, </w:t>
            </w:r>
            <w:r>
              <w:t>RI, VT</w:t>
            </w:r>
          </w:p>
        </w:tc>
      </w:tr>
      <w:tr w:rsidR="00810FAC" w:rsidRPr="00D33008" w14:paraId="6A7CF7AD" w14:textId="77777777" w:rsidTr="00810FAC">
        <w:trPr>
          <w:jc w:val="center"/>
        </w:trPr>
        <w:tc>
          <w:tcPr>
            <w:tcW w:w="2335" w:type="dxa"/>
          </w:tcPr>
          <w:p w14:paraId="037CD8E3" w14:textId="77777777" w:rsidR="00810FAC" w:rsidRPr="0014218C" w:rsidRDefault="00810FAC" w:rsidP="00CF0D49">
            <w:pPr>
              <w:pStyle w:val="CH5TableText"/>
              <w:keepNext/>
              <w:rPr>
                <w:b/>
              </w:rPr>
            </w:pPr>
            <w:r w:rsidRPr="0014218C">
              <w:rPr>
                <w:b/>
              </w:rPr>
              <w:t>1.0% to 1.49%</w:t>
            </w:r>
          </w:p>
        </w:tc>
        <w:tc>
          <w:tcPr>
            <w:tcW w:w="1170" w:type="dxa"/>
          </w:tcPr>
          <w:p w14:paraId="679935B5" w14:textId="77777777" w:rsidR="00810FAC" w:rsidRPr="00D33008" w:rsidRDefault="00810FAC" w:rsidP="00CF0D49">
            <w:pPr>
              <w:pStyle w:val="CH5TableText"/>
              <w:keepNext/>
            </w:pPr>
            <w:r>
              <w:t>14</w:t>
            </w:r>
          </w:p>
        </w:tc>
        <w:tc>
          <w:tcPr>
            <w:tcW w:w="5490" w:type="dxa"/>
          </w:tcPr>
          <w:p w14:paraId="7BAE5843" w14:textId="77777777" w:rsidR="00810FAC" w:rsidRPr="00D33008" w:rsidRDefault="00810FAC" w:rsidP="00CF0D49">
            <w:pPr>
              <w:pStyle w:val="CH5TableText"/>
              <w:keepNext/>
            </w:pPr>
            <w:r w:rsidRPr="00D33008">
              <w:t xml:space="preserve">CA, CT, </w:t>
            </w:r>
            <w:r>
              <w:t xml:space="preserve">IL, </w:t>
            </w:r>
            <w:r w:rsidRPr="00D33008">
              <w:t xml:space="preserve">IA, </w:t>
            </w:r>
            <w:r>
              <w:t xml:space="preserve">ME, MD, MA, </w:t>
            </w:r>
            <w:r w:rsidRPr="00D33008">
              <w:t xml:space="preserve">MI, MN, </w:t>
            </w:r>
            <w:r>
              <w:t xml:space="preserve">NY, OH, </w:t>
            </w:r>
            <w:r w:rsidRPr="00D33008">
              <w:t xml:space="preserve">OR, </w:t>
            </w:r>
            <w:r>
              <w:t>WA</w:t>
            </w:r>
            <w:r w:rsidRPr="00D33008">
              <w:t>, WI</w:t>
            </w:r>
          </w:p>
        </w:tc>
      </w:tr>
      <w:tr w:rsidR="00810FAC" w:rsidRPr="00D33008" w14:paraId="40C7F314" w14:textId="77777777" w:rsidTr="00810FAC">
        <w:trPr>
          <w:jc w:val="center"/>
        </w:trPr>
        <w:tc>
          <w:tcPr>
            <w:tcW w:w="2335" w:type="dxa"/>
          </w:tcPr>
          <w:p w14:paraId="57369312" w14:textId="77777777" w:rsidR="00810FAC" w:rsidRPr="0014218C" w:rsidRDefault="00810FAC" w:rsidP="00CF0D49">
            <w:pPr>
              <w:pStyle w:val="CH5TableText"/>
              <w:keepNext/>
              <w:rPr>
                <w:b/>
              </w:rPr>
            </w:pPr>
            <w:r w:rsidRPr="0014218C">
              <w:rPr>
                <w:b/>
              </w:rPr>
              <w:t>0.5% to 0.99%</w:t>
            </w:r>
          </w:p>
        </w:tc>
        <w:tc>
          <w:tcPr>
            <w:tcW w:w="1170" w:type="dxa"/>
          </w:tcPr>
          <w:p w14:paraId="63B4F09B" w14:textId="77777777" w:rsidR="00810FAC" w:rsidRPr="00D33008" w:rsidRDefault="00810FAC" w:rsidP="00CF0D49">
            <w:pPr>
              <w:pStyle w:val="CH5TableText"/>
              <w:keepNext/>
            </w:pPr>
            <w:r>
              <w:t>9</w:t>
            </w:r>
          </w:p>
        </w:tc>
        <w:tc>
          <w:tcPr>
            <w:tcW w:w="5490" w:type="dxa"/>
          </w:tcPr>
          <w:p w14:paraId="2F7F46B2" w14:textId="77777777" w:rsidR="00810FAC" w:rsidRPr="00D33008" w:rsidRDefault="00810FAC" w:rsidP="00CF0D49">
            <w:pPr>
              <w:pStyle w:val="CH5TableText"/>
              <w:keepNext/>
            </w:pPr>
            <w:r>
              <w:t>CO, ID, IN, MT, NJ, NM, NC, PA, UT</w:t>
            </w:r>
          </w:p>
        </w:tc>
      </w:tr>
      <w:tr w:rsidR="00810FAC" w:rsidRPr="00D33008" w14:paraId="61A2D700" w14:textId="77777777" w:rsidTr="00810FAC">
        <w:trPr>
          <w:jc w:val="center"/>
        </w:trPr>
        <w:tc>
          <w:tcPr>
            <w:tcW w:w="2335" w:type="dxa"/>
          </w:tcPr>
          <w:p w14:paraId="51C52CFE" w14:textId="77777777" w:rsidR="00810FAC" w:rsidRPr="0014218C" w:rsidRDefault="00810FAC" w:rsidP="00CF0D49">
            <w:pPr>
              <w:pStyle w:val="CH5TableText"/>
              <w:keepNext/>
              <w:rPr>
                <w:b/>
              </w:rPr>
            </w:pPr>
            <w:r w:rsidRPr="0014218C">
              <w:rPr>
                <w:b/>
              </w:rPr>
              <w:t>&lt; 0.5%</w:t>
            </w:r>
          </w:p>
        </w:tc>
        <w:tc>
          <w:tcPr>
            <w:tcW w:w="1170" w:type="dxa"/>
          </w:tcPr>
          <w:p w14:paraId="145BE73D" w14:textId="77777777" w:rsidR="00810FAC" w:rsidRPr="00D33008" w:rsidRDefault="00810FAC" w:rsidP="00CF0D49">
            <w:pPr>
              <w:pStyle w:val="CH5TableText"/>
              <w:keepNext/>
            </w:pPr>
            <w:r w:rsidRPr="00D33008">
              <w:t>25</w:t>
            </w:r>
          </w:p>
        </w:tc>
        <w:tc>
          <w:tcPr>
            <w:tcW w:w="5490" w:type="dxa"/>
          </w:tcPr>
          <w:p w14:paraId="24C2D645" w14:textId="77777777" w:rsidR="00810FAC" w:rsidRPr="00D33008" w:rsidRDefault="00810FAC" w:rsidP="00CF0D49">
            <w:pPr>
              <w:pStyle w:val="CH5TableText"/>
              <w:keepNext/>
            </w:pPr>
            <w:r>
              <w:t>AL, AK, AR, DE, DC, FL, GA, HI, KS, KY, LA, MS, MO, NE, NV, NH, ND, OK, SC, SD, TN, TX, VA, WV, WY</w:t>
            </w:r>
          </w:p>
        </w:tc>
      </w:tr>
    </w:tbl>
    <w:p w14:paraId="3F1F1535" w14:textId="77777777" w:rsidR="00810FAC" w:rsidRPr="00196931" w:rsidRDefault="00810FAC">
      <w:pPr>
        <w:pStyle w:val="CH5TableSource"/>
        <w:ind w:left="180"/>
      </w:pPr>
      <w:r w:rsidRPr="00196931">
        <w:t xml:space="preserve">Source: EPA </w:t>
      </w:r>
      <w:r w:rsidRPr="00CF0D49">
        <w:t>calculation</w:t>
      </w:r>
      <w:r w:rsidRPr="00196931">
        <w:t xml:space="preserve"> </w:t>
      </w:r>
      <w:r>
        <w:t>using</w:t>
      </w:r>
      <w:r w:rsidRPr="00196931">
        <w:t xml:space="preserve"> EIA 2013</w:t>
      </w:r>
    </w:p>
    <w:p w14:paraId="267D75E9" w14:textId="0F316BC0" w:rsidR="00810FAC" w:rsidRDefault="00810FAC" w:rsidP="00810FAC">
      <w:pPr>
        <w:pStyle w:val="CH5BodyText"/>
      </w:pPr>
      <w:r>
        <w:t>In addition to the state levels of performance represented in Table 10, numerous utilities of all ownership types and in all regions of the country have achieved significant levels of incremental savings. Tables 11, 12, and 13 provide examples of investor-, cooperative-, and municipal-owned utilities and their incremental savings levels for 2013 based on EIA Form 861 data.</w:t>
      </w:r>
    </w:p>
    <w:p w14:paraId="36213573" w14:textId="60689212" w:rsidR="00810FAC" w:rsidRDefault="00810FAC" w:rsidP="007300F4">
      <w:pPr>
        <w:pStyle w:val="CH5TableTitle"/>
      </w:pPr>
      <w:bookmarkStart w:id="90" w:name="_Toc424720261"/>
      <w:r w:rsidRPr="00557C39">
        <w:t>T</w:t>
      </w:r>
      <w:r>
        <w:t>able</w:t>
      </w:r>
      <w:r w:rsidR="00DF7B56">
        <w:t xml:space="preserve"> </w:t>
      </w:r>
      <w:r>
        <w:t>11</w:t>
      </w:r>
      <w:r w:rsidRPr="00557C39">
        <w:t xml:space="preserve">. 2013 Incremental Annual Savings </w:t>
      </w:r>
      <w:r>
        <w:t>–</w:t>
      </w:r>
      <w:r w:rsidRPr="00557C39">
        <w:t xml:space="preserve"> Investor-</w:t>
      </w:r>
      <w:r>
        <w:t xml:space="preserve">Owned </w:t>
      </w:r>
      <w:r w:rsidRPr="00557C39">
        <w:t>Utilities</w:t>
      </w:r>
      <w:bookmarkEnd w:id="90"/>
    </w:p>
    <w:tbl>
      <w:tblPr>
        <w:tblStyle w:val="TableGrid"/>
        <w:tblW w:w="0" w:type="auto"/>
        <w:tblLook w:val="04A0" w:firstRow="1" w:lastRow="0" w:firstColumn="1" w:lastColumn="0" w:noHBand="0" w:noVBand="1"/>
      </w:tblPr>
      <w:tblGrid>
        <w:gridCol w:w="4855"/>
        <w:gridCol w:w="1440"/>
        <w:gridCol w:w="3055"/>
      </w:tblGrid>
      <w:tr w:rsidR="00810FAC" w14:paraId="377EE41E" w14:textId="77777777" w:rsidTr="00BF5472">
        <w:tc>
          <w:tcPr>
            <w:tcW w:w="4855" w:type="dxa"/>
            <w:shd w:val="clear" w:color="auto" w:fill="D9D9D9" w:themeFill="background1" w:themeFillShade="D9"/>
            <w:vAlign w:val="center"/>
          </w:tcPr>
          <w:p w14:paraId="330C5365" w14:textId="77777777" w:rsidR="00810FAC" w:rsidRPr="00DF7B56" w:rsidRDefault="00810FAC" w:rsidP="00BF5472">
            <w:pPr>
              <w:pStyle w:val="TableText"/>
              <w:rPr>
                <w:b/>
              </w:rPr>
            </w:pPr>
            <w:r w:rsidRPr="00DF7B56">
              <w:rPr>
                <w:b/>
              </w:rPr>
              <w:t>Investor-Owned Utility</w:t>
            </w:r>
          </w:p>
        </w:tc>
        <w:tc>
          <w:tcPr>
            <w:tcW w:w="1440" w:type="dxa"/>
            <w:shd w:val="clear" w:color="auto" w:fill="D9D9D9" w:themeFill="background1" w:themeFillShade="D9"/>
            <w:vAlign w:val="center"/>
          </w:tcPr>
          <w:p w14:paraId="7AE822A1" w14:textId="77777777" w:rsidR="00810FAC" w:rsidRPr="00DF7B56" w:rsidRDefault="00810FAC" w:rsidP="00BF5472">
            <w:pPr>
              <w:pStyle w:val="TableText"/>
              <w:rPr>
                <w:b/>
              </w:rPr>
            </w:pPr>
            <w:r w:rsidRPr="00DF7B56">
              <w:rPr>
                <w:b/>
              </w:rPr>
              <w:t>State</w:t>
            </w:r>
          </w:p>
        </w:tc>
        <w:tc>
          <w:tcPr>
            <w:tcW w:w="3055" w:type="dxa"/>
            <w:shd w:val="clear" w:color="auto" w:fill="D9D9D9" w:themeFill="background1" w:themeFillShade="D9"/>
            <w:vAlign w:val="center"/>
          </w:tcPr>
          <w:p w14:paraId="36856BA2" w14:textId="77777777" w:rsidR="00810FAC" w:rsidRPr="00DF7B56" w:rsidRDefault="00810FAC" w:rsidP="00BF5472">
            <w:pPr>
              <w:pStyle w:val="TableText"/>
              <w:rPr>
                <w:b/>
              </w:rPr>
            </w:pPr>
            <w:r w:rsidRPr="00DF7B56">
              <w:rPr>
                <w:b/>
              </w:rPr>
              <w:t xml:space="preserve">Incremental Savings as </w:t>
            </w:r>
            <w:r w:rsidRPr="00DF7B56">
              <w:rPr>
                <w:b/>
              </w:rPr>
              <w:br/>
              <w:t>% of Retail Sales</w:t>
            </w:r>
          </w:p>
        </w:tc>
      </w:tr>
      <w:tr w:rsidR="00810FAC" w14:paraId="674DAD69" w14:textId="77777777" w:rsidTr="00810FAC">
        <w:tc>
          <w:tcPr>
            <w:tcW w:w="4855" w:type="dxa"/>
            <w:vAlign w:val="center"/>
          </w:tcPr>
          <w:p w14:paraId="1A022A91" w14:textId="77777777" w:rsidR="00810FAC" w:rsidRPr="00DF7B56" w:rsidRDefault="00810FAC" w:rsidP="00DF7B56">
            <w:pPr>
              <w:pStyle w:val="TableText"/>
            </w:pPr>
            <w:r w:rsidRPr="00DF7B56">
              <w:t>Arizona Public Service Company</w:t>
            </w:r>
          </w:p>
        </w:tc>
        <w:tc>
          <w:tcPr>
            <w:tcW w:w="1440" w:type="dxa"/>
            <w:vAlign w:val="center"/>
          </w:tcPr>
          <w:p w14:paraId="6027C415" w14:textId="77777777" w:rsidR="00810FAC" w:rsidRPr="00DF7B56" w:rsidRDefault="00810FAC" w:rsidP="00DF7B56">
            <w:pPr>
              <w:pStyle w:val="TableText"/>
            </w:pPr>
            <w:r w:rsidRPr="00DF7B56">
              <w:t>AZ</w:t>
            </w:r>
          </w:p>
        </w:tc>
        <w:tc>
          <w:tcPr>
            <w:tcW w:w="3055" w:type="dxa"/>
            <w:vAlign w:val="center"/>
          </w:tcPr>
          <w:p w14:paraId="709A3770" w14:textId="77777777" w:rsidR="00810FAC" w:rsidRPr="00DF7B56" w:rsidRDefault="00810FAC" w:rsidP="00DF7B56">
            <w:pPr>
              <w:pStyle w:val="TableText"/>
            </w:pPr>
            <w:r w:rsidRPr="00DF7B56">
              <w:t>1.6%</w:t>
            </w:r>
          </w:p>
        </w:tc>
      </w:tr>
      <w:tr w:rsidR="00810FAC" w14:paraId="4DF1E558" w14:textId="77777777" w:rsidTr="00810FAC">
        <w:tc>
          <w:tcPr>
            <w:tcW w:w="4855" w:type="dxa"/>
            <w:vAlign w:val="center"/>
          </w:tcPr>
          <w:p w14:paraId="2A027A60" w14:textId="77777777" w:rsidR="00810FAC" w:rsidRPr="00DF7B56" w:rsidRDefault="00810FAC" w:rsidP="00DF7B56">
            <w:pPr>
              <w:pStyle w:val="TableText"/>
            </w:pPr>
            <w:r w:rsidRPr="00DF7B56">
              <w:t>Commonwealth Edison Company</w:t>
            </w:r>
          </w:p>
        </w:tc>
        <w:tc>
          <w:tcPr>
            <w:tcW w:w="1440" w:type="dxa"/>
            <w:vAlign w:val="center"/>
          </w:tcPr>
          <w:p w14:paraId="3C1D7790" w14:textId="77777777" w:rsidR="00810FAC" w:rsidRPr="00DF7B56" w:rsidRDefault="00810FAC" w:rsidP="00DF7B56">
            <w:pPr>
              <w:pStyle w:val="TableText"/>
            </w:pPr>
            <w:r w:rsidRPr="00DF7B56">
              <w:t>IL</w:t>
            </w:r>
          </w:p>
        </w:tc>
        <w:tc>
          <w:tcPr>
            <w:tcW w:w="3055" w:type="dxa"/>
            <w:vAlign w:val="center"/>
          </w:tcPr>
          <w:p w14:paraId="51809C1D" w14:textId="77777777" w:rsidR="00810FAC" w:rsidRPr="00DF7B56" w:rsidRDefault="00810FAC" w:rsidP="00DF7B56">
            <w:pPr>
              <w:pStyle w:val="TableText"/>
            </w:pPr>
            <w:r w:rsidRPr="00DF7B56">
              <w:t>1.2%</w:t>
            </w:r>
          </w:p>
        </w:tc>
      </w:tr>
      <w:tr w:rsidR="00810FAC" w14:paraId="77B1B876" w14:textId="77777777" w:rsidTr="00810FAC">
        <w:tc>
          <w:tcPr>
            <w:tcW w:w="4855" w:type="dxa"/>
            <w:vAlign w:val="center"/>
          </w:tcPr>
          <w:p w14:paraId="53F82E85" w14:textId="77777777" w:rsidR="00810FAC" w:rsidRPr="00DF7B56" w:rsidRDefault="00810FAC" w:rsidP="00DF7B56">
            <w:pPr>
              <w:pStyle w:val="TableText"/>
            </w:pPr>
            <w:r w:rsidRPr="00DF7B56">
              <w:t>DTE Electric Company</w:t>
            </w:r>
          </w:p>
        </w:tc>
        <w:tc>
          <w:tcPr>
            <w:tcW w:w="1440" w:type="dxa"/>
            <w:vAlign w:val="center"/>
          </w:tcPr>
          <w:p w14:paraId="731D7E14" w14:textId="77777777" w:rsidR="00810FAC" w:rsidRPr="00DF7B56" w:rsidRDefault="00810FAC" w:rsidP="00DF7B56">
            <w:pPr>
              <w:pStyle w:val="TableText"/>
            </w:pPr>
            <w:r w:rsidRPr="00DF7B56">
              <w:t>MI</w:t>
            </w:r>
          </w:p>
        </w:tc>
        <w:tc>
          <w:tcPr>
            <w:tcW w:w="3055" w:type="dxa"/>
            <w:vAlign w:val="center"/>
          </w:tcPr>
          <w:p w14:paraId="4D7AB655" w14:textId="77777777" w:rsidR="00810FAC" w:rsidRPr="00DF7B56" w:rsidRDefault="00810FAC" w:rsidP="00DF7B56">
            <w:pPr>
              <w:pStyle w:val="TableText"/>
            </w:pPr>
            <w:r w:rsidRPr="00DF7B56">
              <w:t>1.3%</w:t>
            </w:r>
          </w:p>
        </w:tc>
      </w:tr>
      <w:tr w:rsidR="00810FAC" w14:paraId="568BD150" w14:textId="77777777" w:rsidTr="00810FAC">
        <w:tc>
          <w:tcPr>
            <w:tcW w:w="4855" w:type="dxa"/>
            <w:vAlign w:val="center"/>
          </w:tcPr>
          <w:p w14:paraId="77FE820C" w14:textId="77777777" w:rsidR="00810FAC" w:rsidRPr="00DF7B56" w:rsidRDefault="00810FAC" w:rsidP="00DF7B56">
            <w:pPr>
              <w:pStyle w:val="TableText"/>
            </w:pPr>
            <w:r w:rsidRPr="00DF7B56">
              <w:t>Niagara Mohawk Power Corporation</w:t>
            </w:r>
          </w:p>
        </w:tc>
        <w:tc>
          <w:tcPr>
            <w:tcW w:w="1440" w:type="dxa"/>
            <w:vAlign w:val="center"/>
          </w:tcPr>
          <w:p w14:paraId="79CFF7DF" w14:textId="77777777" w:rsidR="00810FAC" w:rsidRPr="00DF7B56" w:rsidRDefault="00810FAC" w:rsidP="00DF7B56">
            <w:pPr>
              <w:pStyle w:val="TableText"/>
            </w:pPr>
            <w:r w:rsidRPr="00DF7B56">
              <w:t>NY</w:t>
            </w:r>
          </w:p>
        </w:tc>
        <w:tc>
          <w:tcPr>
            <w:tcW w:w="3055" w:type="dxa"/>
            <w:vAlign w:val="center"/>
          </w:tcPr>
          <w:p w14:paraId="3A652D68" w14:textId="77777777" w:rsidR="00810FAC" w:rsidRPr="00DF7B56" w:rsidRDefault="00810FAC" w:rsidP="00DF7B56">
            <w:pPr>
              <w:pStyle w:val="TableText"/>
            </w:pPr>
            <w:r w:rsidRPr="00DF7B56">
              <w:t>2.2%</w:t>
            </w:r>
          </w:p>
        </w:tc>
      </w:tr>
      <w:tr w:rsidR="00810FAC" w14:paraId="526CA84F" w14:textId="77777777" w:rsidTr="00810FAC">
        <w:tc>
          <w:tcPr>
            <w:tcW w:w="4855" w:type="dxa"/>
            <w:vAlign w:val="center"/>
          </w:tcPr>
          <w:p w14:paraId="4CE9BE6E" w14:textId="77777777" w:rsidR="00810FAC" w:rsidRPr="00DF7B56" w:rsidRDefault="00810FAC" w:rsidP="00DF7B56">
            <w:pPr>
              <w:pStyle w:val="TableText"/>
            </w:pPr>
            <w:r w:rsidRPr="00DF7B56">
              <w:t>Pacific Gas &amp; Electric Company</w:t>
            </w:r>
          </w:p>
        </w:tc>
        <w:tc>
          <w:tcPr>
            <w:tcW w:w="1440" w:type="dxa"/>
            <w:vAlign w:val="center"/>
          </w:tcPr>
          <w:p w14:paraId="3E3B7008" w14:textId="77777777" w:rsidR="00810FAC" w:rsidRPr="00DF7B56" w:rsidRDefault="00810FAC" w:rsidP="00DF7B56">
            <w:pPr>
              <w:pStyle w:val="TableText"/>
            </w:pPr>
            <w:r w:rsidRPr="00DF7B56">
              <w:t>CA</w:t>
            </w:r>
          </w:p>
        </w:tc>
        <w:tc>
          <w:tcPr>
            <w:tcW w:w="3055" w:type="dxa"/>
            <w:vAlign w:val="center"/>
          </w:tcPr>
          <w:p w14:paraId="0945B63B" w14:textId="77777777" w:rsidR="00810FAC" w:rsidRPr="00DF7B56" w:rsidRDefault="00810FAC" w:rsidP="00DF7B56">
            <w:pPr>
              <w:pStyle w:val="TableText"/>
            </w:pPr>
            <w:r w:rsidRPr="00DF7B56">
              <w:t>1.7%</w:t>
            </w:r>
          </w:p>
        </w:tc>
      </w:tr>
      <w:tr w:rsidR="00810FAC" w14:paraId="579938F8" w14:textId="77777777" w:rsidTr="00810FAC">
        <w:tc>
          <w:tcPr>
            <w:tcW w:w="4855" w:type="dxa"/>
            <w:vAlign w:val="center"/>
          </w:tcPr>
          <w:p w14:paraId="2D81C55A" w14:textId="77777777" w:rsidR="00810FAC" w:rsidRPr="00DF7B56" w:rsidRDefault="00810FAC" w:rsidP="00DF7B56">
            <w:pPr>
              <w:pStyle w:val="TableText"/>
            </w:pPr>
            <w:r w:rsidRPr="00DF7B56">
              <w:t>Potomac Edison Company</w:t>
            </w:r>
          </w:p>
        </w:tc>
        <w:tc>
          <w:tcPr>
            <w:tcW w:w="1440" w:type="dxa"/>
            <w:vAlign w:val="center"/>
          </w:tcPr>
          <w:p w14:paraId="667CE1B0" w14:textId="77777777" w:rsidR="00810FAC" w:rsidRPr="00DF7B56" w:rsidRDefault="00810FAC" w:rsidP="00DF7B56">
            <w:pPr>
              <w:pStyle w:val="TableText"/>
            </w:pPr>
            <w:r w:rsidRPr="00DF7B56">
              <w:t>MD</w:t>
            </w:r>
          </w:p>
        </w:tc>
        <w:tc>
          <w:tcPr>
            <w:tcW w:w="3055" w:type="dxa"/>
            <w:vAlign w:val="center"/>
          </w:tcPr>
          <w:p w14:paraId="5FEB0E87" w14:textId="77777777" w:rsidR="00810FAC" w:rsidRPr="00DF7B56" w:rsidRDefault="00810FAC" w:rsidP="00DF7B56">
            <w:pPr>
              <w:pStyle w:val="TableText"/>
            </w:pPr>
            <w:r w:rsidRPr="00DF7B56">
              <w:t>1.8%</w:t>
            </w:r>
          </w:p>
        </w:tc>
      </w:tr>
    </w:tbl>
    <w:p w14:paraId="2C2B5976" w14:textId="77777777" w:rsidR="00810FAC" w:rsidRPr="00196931" w:rsidRDefault="00810FAC" w:rsidP="00CF0D49">
      <w:pPr>
        <w:pStyle w:val="CH5TableSource"/>
      </w:pPr>
      <w:r w:rsidRPr="00147909">
        <w:t>Source</w:t>
      </w:r>
      <w:r w:rsidRPr="00FC5185">
        <w:t>: EPA calculation using EIA 2013</w:t>
      </w:r>
    </w:p>
    <w:p w14:paraId="1613D5C4" w14:textId="26B8B660" w:rsidR="00810FAC" w:rsidRPr="00557C39" w:rsidRDefault="00810FAC" w:rsidP="007300F4">
      <w:pPr>
        <w:pStyle w:val="CH5TableTitle"/>
      </w:pPr>
      <w:bookmarkStart w:id="91" w:name="_Toc424720262"/>
      <w:r w:rsidRPr="003D7B36">
        <w:t>T</w:t>
      </w:r>
      <w:r>
        <w:t>able 12</w:t>
      </w:r>
      <w:r w:rsidRPr="003D7B36">
        <w:t xml:space="preserve">. 2013 Incremental Annual Savings </w:t>
      </w:r>
      <w:r>
        <w:t>–</w:t>
      </w:r>
      <w:r w:rsidRPr="003D7B36">
        <w:t xml:space="preserve"> </w:t>
      </w:r>
      <w:r>
        <w:t>Cooperative</w:t>
      </w:r>
      <w:r w:rsidRPr="003D7B36">
        <w:t>-</w:t>
      </w:r>
      <w:r>
        <w:t xml:space="preserve">Owned </w:t>
      </w:r>
      <w:r w:rsidRPr="003D7B36">
        <w:t>Utilities</w:t>
      </w:r>
      <w:bookmarkEnd w:id="91"/>
    </w:p>
    <w:tbl>
      <w:tblPr>
        <w:tblStyle w:val="TableGrid"/>
        <w:tblW w:w="0" w:type="auto"/>
        <w:tblLook w:val="04A0" w:firstRow="1" w:lastRow="0" w:firstColumn="1" w:lastColumn="0" w:noHBand="0" w:noVBand="1"/>
      </w:tblPr>
      <w:tblGrid>
        <w:gridCol w:w="4855"/>
        <w:gridCol w:w="1440"/>
        <w:gridCol w:w="3055"/>
      </w:tblGrid>
      <w:tr w:rsidR="00810FAC" w14:paraId="6F46F55A" w14:textId="77777777" w:rsidTr="00BF5472">
        <w:tc>
          <w:tcPr>
            <w:tcW w:w="4855" w:type="dxa"/>
            <w:shd w:val="clear" w:color="auto" w:fill="D9D9D9" w:themeFill="background1" w:themeFillShade="D9"/>
            <w:vAlign w:val="center"/>
          </w:tcPr>
          <w:p w14:paraId="11FC8823" w14:textId="77777777" w:rsidR="00810FAC" w:rsidRPr="00DF7B56" w:rsidRDefault="00810FAC" w:rsidP="00BF5472">
            <w:pPr>
              <w:pStyle w:val="TableText"/>
              <w:rPr>
                <w:b/>
              </w:rPr>
            </w:pPr>
            <w:r w:rsidRPr="00DF7B56">
              <w:rPr>
                <w:b/>
              </w:rPr>
              <w:t>Cooperative-Owned Utility</w:t>
            </w:r>
          </w:p>
        </w:tc>
        <w:tc>
          <w:tcPr>
            <w:tcW w:w="1440" w:type="dxa"/>
            <w:shd w:val="clear" w:color="auto" w:fill="D9D9D9" w:themeFill="background1" w:themeFillShade="D9"/>
            <w:vAlign w:val="center"/>
          </w:tcPr>
          <w:p w14:paraId="1FFF6894" w14:textId="77777777" w:rsidR="00810FAC" w:rsidRPr="00DF7B56" w:rsidRDefault="00810FAC" w:rsidP="00BF5472">
            <w:pPr>
              <w:pStyle w:val="TableText"/>
              <w:rPr>
                <w:b/>
              </w:rPr>
            </w:pPr>
            <w:r w:rsidRPr="00DF7B56">
              <w:rPr>
                <w:b/>
              </w:rPr>
              <w:t>State</w:t>
            </w:r>
          </w:p>
        </w:tc>
        <w:tc>
          <w:tcPr>
            <w:tcW w:w="3055" w:type="dxa"/>
            <w:shd w:val="clear" w:color="auto" w:fill="D9D9D9" w:themeFill="background1" w:themeFillShade="D9"/>
            <w:vAlign w:val="center"/>
          </w:tcPr>
          <w:p w14:paraId="245BC2A5" w14:textId="77777777" w:rsidR="00810FAC" w:rsidRPr="00DF7B56" w:rsidRDefault="00810FAC" w:rsidP="00BF5472">
            <w:pPr>
              <w:pStyle w:val="TableText"/>
              <w:rPr>
                <w:b/>
              </w:rPr>
            </w:pPr>
            <w:r w:rsidRPr="00DF7B56">
              <w:rPr>
                <w:b/>
              </w:rPr>
              <w:t xml:space="preserve">Incremental Savings as </w:t>
            </w:r>
            <w:r w:rsidRPr="00DF7B56">
              <w:rPr>
                <w:b/>
              </w:rPr>
              <w:br/>
              <w:t>% of Retail Sales</w:t>
            </w:r>
          </w:p>
        </w:tc>
      </w:tr>
      <w:tr w:rsidR="00810FAC" w14:paraId="7C0FC4D5" w14:textId="77777777" w:rsidTr="00810FAC">
        <w:tc>
          <w:tcPr>
            <w:tcW w:w="4855" w:type="dxa"/>
            <w:vAlign w:val="center"/>
          </w:tcPr>
          <w:p w14:paraId="103F6D7E" w14:textId="77777777" w:rsidR="00810FAC" w:rsidRPr="00DF7B56" w:rsidRDefault="00810FAC" w:rsidP="00DF7B56">
            <w:pPr>
              <w:pStyle w:val="TableText"/>
            </w:pPr>
            <w:r w:rsidRPr="00DF7B56">
              <w:t>French Broad Electric Membership Corporation</w:t>
            </w:r>
          </w:p>
        </w:tc>
        <w:tc>
          <w:tcPr>
            <w:tcW w:w="1440" w:type="dxa"/>
            <w:vAlign w:val="center"/>
          </w:tcPr>
          <w:p w14:paraId="6C582E8C" w14:textId="77777777" w:rsidR="00810FAC" w:rsidRPr="00DF7B56" w:rsidRDefault="00810FAC" w:rsidP="00DF7B56">
            <w:pPr>
              <w:pStyle w:val="TableText"/>
            </w:pPr>
            <w:r w:rsidRPr="00DF7B56">
              <w:t>NC</w:t>
            </w:r>
          </w:p>
        </w:tc>
        <w:tc>
          <w:tcPr>
            <w:tcW w:w="3055" w:type="dxa"/>
            <w:vAlign w:val="center"/>
          </w:tcPr>
          <w:p w14:paraId="0DFE9E68" w14:textId="77777777" w:rsidR="00810FAC" w:rsidRPr="00DF7B56" w:rsidRDefault="00810FAC" w:rsidP="00DF7B56">
            <w:pPr>
              <w:pStyle w:val="TableText"/>
            </w:pPr>
            <w:r w:rsidRPr="00DF7B56">
              <w:t>2.2%</w:t>
            </w:r>
          </w:p>
        </w:tc>
      </w:tr>
      <w:tr w:rsidR="00810FAC" w14:paraId="43650FC8" w14:textId="77777777" w:rsidTr="00810FAC">
        <w:tc>
          <w:tcPr>
            <w:tcW w:w="4855" w:type="dxa"/>
            <w:vAlign w:val="center"/>
          </w:tcPr>
          <w:p w14:paraId="03FF2368" w14:textId="77777777" w:rsidR="00810FAC" w:rsidRPr="00DF7B56" w:rsidRDefault="00810FAC" w:rsidP="00DF7B56">
            <w:pPr>
              <w:pStyle w:val="TableText"/>
            </w:pPr>
            <w:r w:rsidRPr="00DF7B56">
              <w:t>Jackson Electric Cooperative Inc.</w:t>
            </w:r>
          </w:p>
        </w:tc>
        <w:tc>
          <w:tcPr>
            <w:tcW w:w="1440" w:type="dxa"/>
            <w:vAlign w:val="center"/>
          </w:tcPr>
          <w:p w14:paraId="6DFE025A" w14:textId="77777777" w:rsidR="00810FAC" w:rsidRPr="00DF7B56" w:rsidRDefault="00810FAC" w:rsidP="00DF7B56">
            <w:pPr>
              <w:pStyle w:val="TableText"/>
            </w:pPr>
            <w:r w:rsidRPr="00DF7B56">
              <w:t>WI</w:t>
            </w:r>
          </w:p>
        </w:tc>
        <w:tc>
          <w:tcPr>
            <w:tcW w:w="3055" w:type="dxa"/>
            <w:vAlign w:val="center"/>
          </w:tcPr>
          <w:p w14:paraId="44AD3207" w14:textId="77777777" w:rsidR="00810FAC" w:rsidRPr="00DF7B56" w:rsidRDefault="00810FAC" w:rsidP="00DF7B56">
            <w:pPr>
              <w:pStyle w:val="TableText"/>
            </w:pPr>
            <w:r w:rsidRPr="00DF7B56">
              <w:t>2.6%</w:t>
            </w:r>
          </w:p>
        </w:tc>
      </w:tr>
      <w:tr w:rsidR="00810FAC" w14:paraId="07A761C2" w14:textId="77777777" w:rsidTr="00810FAC">
        <w:tc>
          <w:tcPr>
            <w:tcW w:w="4855" w:type="dxa"/>
            <w:vAlign w:val="center"/>
          </w:tcPr>
          <w:p w14:paraId="171B5250" w14:textId="77777777" w:rsidR="00810FAC" w:rsidRPr="00DF7B56" w:rsidRDefault="00810FAC" w:rsidP="00DF7B56">
            <w:pPr>
              <w:pStyle w:val="TableText"/>
            </w:pPr>
            <w:r w:rsidRPr="00DF7B56">
              <w:t>KEM Electric Cooperative Inc.</w:t>
            </w:r>
          </w:p>
        </w:tc>
        <w:tc>
          <w:tcPr>
            <w:tcW w:w="1440" w:type="dxa"/>
            <w:vAlign w:val="center"/>
          </w:tcPr>
          <w:p w14:paraId="0E3174B2" w14:textId="77777777" w:rsidR="00810FAC" w:rsidRPr="00DF7B56" w:rsidRDefault="00810FAC" w:rsidP="00DF7B56">
            <w:pPr>
              <w:pStyle w:val="TableText"/>
            </w:pPr>
            <w:r w:rsidRPr="00DF7B56">
              <w:t>ND</w:t>
            </w:r>
          </w:p>
        </w:tc>
        <w:tc>
          <w:tcPr>
            <w:tcW w:w="3055" w:type="dxa"/>
            <w:vAlign w:val="center"/>
          </w:tcPr>
          <w:p w14:paraId="1A569BE5" w14:textId="77777777" w:rsidR="00810FAC" w:rsidRPr="00DF7B56" w:rsidRDefault="00810FAC" w:rsidP="00DF7B56">
            <w:pPr>
              <w:pStyle w:val="TableText"/>
            </w:pPr>
            <w:r w:rsidRPr="00DF7B56">
              <w:t>1.6%</w:t>
            </w:r>
          </w:p>
        </w:tc>
      </w:tr>
      <w:tr w:rsidR="00810FAC" w14:paraId="639793AC" w14:textId="77777777" w:rsidTr="00810FAC">
        <w:tc>
          <w:tcPr>
            <w:tcW w:w="4855" w:type="dxa"/>
            <w:vAlign w:val="center"/>
          </w:tcPr>
          <w:p w14:paraId="3B5E007B" w14:textId="77777777" w:rsidR="00810FAC" w:rsidRPr="00DF7B56" w:rsidRDefault="00810FAC" w:rsidP="00DF7B56">
            <w:pPr>
              <w:pStyle w:val="TableText"/>
            </w:pPr>
            <w:r w:rsidRPr="00DF7B56">
              <w:t>Southern Maryland Electric Cooperative Inc.</w:t>
            </w:r>
          </w:p>
        </w:tc>
        <w:tc>
          <w:tcPr>
            <w:tcW w:w="1440" w:type="dxa"/>
            <w:vAlign w:val="center"/>
          </w:tcPr>
          <w:p w14:paraId="20454095" w14:textId="77777777" w:rsidR="00810FAC" w:rsidRPr="00DF7B56" w:rsidRDefault="00810FAC" w:rsidP="00DF7B56">
            <w:pPr>
              <w:pStyle w:val="TableText"/>
            </w:pPr>
            <w:r w:rsidRPr="00DF7B56">
              <w:t>MD</w:t>
            </w:r>
          </w:p>
        </w:tc>
        <w:tc>
          <w:tcPr>
            <w:tcW w:w="3055" w:type="dxa"/>
            <w:vAlign w:val="center"/>
          </w:tcPr>
          <w:p w14:paraId="1BCB5C10" w14:textId="77777777" w:rsidR="00810FAC" w:rsidRPr="00DF7B56" w:rsidRDefault="00810FAC" w:rsidP="00DF7B56">
            <w:pPr>
              <w:pStyle w:val="TableText"/>
            </w:pPr>
            <w:r w:rsidRPr="00DF7B56">
              <w:t>1.4%</w:t>
            </w:r>
          </w:p>
        </w:tc>
      </w:tr>
      <w:tr w:rsidR="00810FAC" w14:paraId="1C8A6CF6" w14:textId="77777777" w:rsidTr="00810FAC">
        <w:tc>
          <w:tcPr>
            <w:tcW w:w="4855" w:type="dxa"/>
            <w:vAlign w:val="center"/>
          </w:tcPr>
          <w:p w14:paraId="490920B9" w14:textId="77777777" w:rsidR="00810FAC" w:rsidRPr="00DF7B56" w:rsidRDefault="00810FAC" w:rsidP="00DF7B56">
            <w:pPr>
              <w:pStyle w:val="TableText"/>
            </w:pPr>
            <w:r w:rsidRPr="00DF7B56">
              <w:t>Southern Pine Electric Power Association</w:t>
            </w:r>
          </w:p>
        </w:tc>
        <w:tc>
          <w:tcPr>
            <w:tcW w:w="1440" w:type="dxa"/>
            <w:vAlign w:val="center"/>
          </w:tcPr>
          <w:p w14:paraId="7E3940FB" w14:textId="77777777" w:rsidR="00810FAC" w:rsidRPr="00DF7B56" w:rsidRDefault="00810FAC" w:rsidP="00DF7B56">
            <w:pPr>
              <w:pStyle w:val="TableText"/>
            </w:pPr>
            <w:r w:rsidRPr="00DF7B56">
              <w:t>MS</w:t>
            </w:r>
          </w:p>
        </w:tc>
        <w:tc>
          <w:tcPr>
            <w:tcW w:w="3055" w:type="dxa"/>
            <w:vAlign w:val="center"/>
          </w:tcPr>
          <w:p w14:paraId="757ECCF9" w14:textId="77777777" w:rsidR="00810FAC" w:rsidRPr="00DF7B56" w:rsidRDefault="00810FAC" w:rsidP="00DF7B56">
            <w:pPr>
              <w:pStyle w:val="TableText"/>
            </w:pPr>
            <w:r w:rsidRPr="00DF7B56">
              <w:t>2.4%</w:t>
            </w:r>
          </w:p>
        </w:tc>
      </w:tr>
      <w:tr w:rsidR="00810FAC" w14:paraId="7E7EB159" w14:textId="77777777" w:rsidTr="00810FAC">
        <w:tc>
          <w:tcPr>
            <w:tcW w:w="4855" w:type="dxa"/>
            <w:vAlign w:val="center"/>
          </w:tcPr>
          <w:p w14:paraId="0582E0A1" w14:textId="77777777" w:rsidR="00810FAC" w:rsidRPr="00DF7B56" w:rsidRDefault="00810FAC" w:rsidP="00DF7B56">
            <w:pPr>
              <w:pStyle w:val="TableText"/>
            </w:pPr>
            <w:r w:rsidRPr="00DF7B56">
              <w:t>Umatilla Electric Cooperative Association</w:t>
            </w:r>
          </w:p>
        </w:tc>
        <w:tc>
          <w:tcPr>
            <w:tcW w:w="1440" w:type="dxa"/>
            <w:vAlign w:val="center"/>
          </w:tcPr>
          <w:p w14:paraId="08F02A01" w14:textId="77777777" w:rsidR="00810FAC" w:rsidRPr="00DF7B56" w:rsidRDefault="00810FAC" w:rsidP="00DF7B56">
            <w:pPr>
              <w:pStyle w:val="TableText"/>
            </w:pPr>
            <w:r w:rsidRPr="00DF7B56">
              <w:t>OR</w:t>
            </w:r>
          </w:p>
        </w:tc>
        <w:tc>
          <w:tcPr>
            <w:tcW w:w="3055" w:type="dxa"/>
            <w:vAlign w:val="center"/>
          </w:tcPr>
          <w:p w14:paraId="00880D9B" w14:textId="77777777" w:rsidR="00810FAC" w:rsidRPr="00DF7B56" w:rsidRDefault="00810FAC" w:rsidP="00DF7B56">
            <w:pPr>
              <w:pStyle w:val="TableText"/>
            </w:pPr>
            <w:r w:rsidRPr="00DF7B56">
              <w:t>1.5%</w:t>
            </w:r>
          </w:p>
        </w:tc>
      </w:tr>
    </w:tbl>
    <w:p w14:paraId="5D668C75" w14:textId="77777777" w:rsidR="00810FAC" w:rsidRDefault="00810FAC" w:rsidP="00CF0D49">
      <w:pPr>
        <w:pStyle w:val="CH5TableSource"/>
      </w:pPr>
      <w:r w:rsidRPr="00FC5185">
        <w:t>Source: EPA calculation using EIA 2013</w:t>
      </w:r>
    </w:p>
    <w:p w14:paraId="422743E3" w14:textId="173941B1" w:rsidR="00810FAC" w:rsidRDefault="00810FAC" w:rsidP="00DF7B56">
      <w:pPr>
        <w:pStyle w:val="CH5TableTitle"/>
      </w:pPr>
      <w:bookmarkStart w:id="92" w:name="_Toc424720263"/>
      <w:r w:rsidRPr="003D7B36">
        <w:lastRenderedPageBreak/>
        <w:t>T</w:t>
      </w:r>
      <w:r>
        <w:t>able 13</w:t>
      </w:r>
      <w:r w:rsidRPr="003D7B36">
        <w:t xml:space="preserve">. 2013 Incremental Annual Savings </w:t>
      </w:r>
      <w:r>
        <w:t>–</w:t>
      </w:r>
      <w:r w:rsidRPr="003D7B36">
        <w:t xml:space="preserve"> </w:t>
      </w:r>
      <w:r>
        <w:t>Municipal</w:t>
      </w:r>
      <w:r w:rsidRPr="003D7B36">
        <w:t>-</w:t>
      </w:r>
      <w:r>
        <w:t xml:space="preserve">Owned </w:t>
      </w:r>
      <w:r w:rsidRPr="003D7B36">
        <w:t>Utilities</w:t>
      </w:r>
      <w:bookmarkEnd w:id="92"/>
    </w:p>
    <w:tbl>
      <w:tblPr>
        <w:tblStyle w:val="TableGrid"/>
        <w:tblW w:w="0" w:type="auto"/>
        <w:tblLook w:val="04A0" w:firstRow="1" w:lastRow="0" w:firstColumn="1" w:lastColumn="0" w:noHBand="0" w:noVBand="1"/>
      </w:tblPr>
      <w:tblGrid>
        <w:gridCol w:w="4855"/>
        <w:gridCol w:w="1440"/>
        <w:gridCol w:w="3055"/>
      </w:tblGrid>
      <w:tr w:rsidR="00810FAC" w14:paraId="0DF4BDB9" w14:textId="77777777" w:rsidTr="00BF5472">
        <w:tc>
          <w:tcPr>
            <w:tcW w:w="4855" w:type="dxa"/>
            <w:shd w:val="clear" w:color="auto" w:fill="D9D9D9" w:themeFill="background1" w:themeFillShade="D9"/>
            <w:vAlign w:val="center"/>
          </w:tcPr>
          <w:p w14:paraId="77643E11" w14:textId="77777777" w:rsidR="00810FAC" w:rsidRPr="00DF7B56" w:rsidRDefault="00810FAC" w:rsidP="00BF5472">
            <w:pPr>
              <w:pStyle w:val="TableText"/>
              <w:keepNext/>
              <w:rPr>
                <w:b/>
              </w:rPr>
            </w:pPr>
            <w:r w:rsidRPr="00DF7B56">
              <w:rPr>
                <w:b/>
              </w:rPr>
              <w:t>Municipal-Owned Utility</w:t>
            </w:r>
          </w:p>
        </w:tc>
        <w:tc>
          <w:tcPr>
            <w:tcW w:w="1440" w:type="dxa"/>
            <w:shd w:val="clear" w:color="auto" w:fill="D9D9D9" w:themeFill="background1" w:themeFillShade="D9"/>
            <w:vAlign w:val="center"/>
          </w:tcPr>
          <w:p w14:paraId="5BAE13E0" w14:textId="77777777" w:rsidR="00810FAC" w:rsidRPr="00DF7B56" w:rsidRDefault="00810FAC" w:rsidP="00BF5472">
            <w:pPr>
              <w:pStyle w:val="TableText"/>
              <w:keepNext/>
              <w:rPr>
                <w:b/>
              </w:rPr>
            </w:pPr>
            <w:r w:rsidRPr="00DF7B56">
              <w:rPr>
                <w:b/>
              </w:rPr>
              <w:t>State</w:t>
            </w:r>
          </w:p>
        </w:tc>
        <w:tc>
          <w:tcPr>
            <w:tcW w:w="3055" w:type="dxa"/>
            <w:shd w:val="clear" w:color="auto" w:fill="D9D9D9" w:themeFill="background1" w:themeFillShade="D9"/>
            <w:vAlign w:val="center"/>
          </w:tcPr>
          <w:p w14:paraId="403D6266" w14:textId="77777777" w:rsidR="00810FAC" w:rsidRPr="00DF7B56" w:rsidRDefault="00810FAC" w:rsidP="00BF5472">
            <w:pPr>
              <w:pStyle w:val="TableText"/>
              <w:keepNext/>
              <w:rPr>
                <w:b/>
              </w:rPr>
            </w:pPr>
            <w:r w:rsidRPr="00DF7B56">
              <w:rPr>
                <w:b/>
              </w:rPr>
              <w:t xml:space="preserve">Incremental Savings as </w:t>
            </w:r>
            <w:r w:rsidRPr="00DF7B56">
              <w:rPr>
                <w:b/>
              </w:rPr>
              <w:br/>
              <w:t>% of Retail Sales</w:t>
            </w:r>
          </w:p>
        </w:tc>
      </w:tr>
      <w:tr w:rsidR="00810FAC" w14:paraId="4D2BF537" w14:textId="77777777" w:rsidTr="00810FAC">
        <w:tc>
          <w:tcPr>
            <w:tcW w:w="4855" w:type="dxa"/>
            <w:vAlign w:val="center"/>
          </w:tcPr>
          <w:p w14:paraId="011F0D72" w14:textId="77777777" w:rsidR="00810FAC" w:rsidRPr="003D7B36" w:rsidRDefault="00810FAC" w:rsidP="00DF7B56">
            <w:pPr>
              <w:pStyle w:val="TableText"/>
              <w:keepNext/>
            </w:pPr>
            <w:r>
              <w:t>Austin Energy</w:t>
            </w:r>
          </w:p>
        </w:tc>
        <w:tc>
          <w:tcPr>
            <w:tcW w:w="1440" w:type="dxa"/>
            <w:vAlign w:val="center"/>
          </w:tcPr>
          <w:p w14:paraId="1F537A79" w14:textId="77777777" w:rsidR="00810FAC" w:rsidRPr="003D7B36" w:rsidRDefault="00810FAC" w:rsidP="00DF7B56">
            <w:pPr>
              <w:pStyle w:val="TableText"/>
              <w:keepNext/>
            </w:pPr>
            <w:r>
              <w:t>TX</w:t>
            </w:r>
          </w:p>
        </w:tc>
        <w:tc>
          <w:tcPr>
            <w:tcW w:w="3055" w:type="dxa"/>
            <w:vAlign w:val="center"/>
          </w:tcPr>
          <w:p w14:paraId="608E464E" w14:textId="77777777" w:rsidR="00810FAC" w:rsidRPr="003D7B36" w:rsidRDefault="00810FAC" w:rsidP="00DF7B56">
            <w:pPr>
              <w:pStyle w:val="TableText"/>
              <w:keepNext/>
            </w:pPr>
            <w:r>
              <w:t>0.9%</w:t>
            </w:r>
          </w:p>
        </w:tc>
      </w:tr>
      <w:tr w:rsidR="00810FAC" w14:paraId="5EBCA342" w14:textId="77777777" w:rsidTr="00810FAC">
        <w:tc>
          <w:tcPr>
            <w:tcW w:w="4855" w:type="dxa"/>
            <w:vAlign w:val="center"/>
          </w:tcPr>
          <w:p w14:paraId="2A6B1D18" w14:textId="77777777" w:rsidR="00810FAC" w:rsidRPr="003D7B36" w:rsidRDefault="00810FAC" w:rsidP="00DF7B56">
            <w:pPr>
              <w:pStyle w:val="TableText"/>
              <w:keepNext/>
            </w:pPr>
            <w:r>
              <w:t>City of Fort Collins</w:t>
            </w:r>
          </w:p>
        </w:tc>
        <w:tc>
          <w:tcPr>
            <w:tcW w:w="1440" w:type="dxa"/>
            <w:vAlign w:val="center"/>
          </w:tcPr>
          <w:p w14:paraId="6A47DA96" w14:textId="77777777" w:rsidR="00810FAC" w:rsidRPr="003D7B36" w:rsidRDefault="00810FAC" w:rsidP="00DF7B56">
            <w:pPr>
              <w:pStyle w:val="TableText"/>
              <w:keepNext/>
            </w:pPr>
            <w:r>
              <w:t>CO</w:t>
            </w:r>
          </w:p>
        </w:tc>
        <w:tc>
          <w:tcPr>
            <w:tcW w:w="3055" w:type="dxa"/>
            <w:vAlign w:val="center"/>
          </w:tcPr>
          <w:p w14:paraId="6199A786" w14:textId="77777777" w:rsidR="00810FAC" w:rsidRPr="003D7B36" w:rsidRDefault="00810FAC" w:rsidP="00DF7B56">
            <w:pPr>
              <w:pStyle w:val="TableText"/>
              <w:keepNext/>
            </w:pPr>
            <w:r>
              <w:t>2.2%</w:t>
            </w:r>
          </w:p>
        </w:tc>
      </w:tr>
      <w:tr w:rsidR="00810FAC" w14:paraId="22DF8540" w14:textId="77777777" w:rsidTr="00810FAC">
        <w:tc>
          <w:tcPr>
            <w:tcW w:w="4855" w:type="dxa"/>
            <w:vAlign w:val="center"/>
          </w:tcPr>
          <w:p w14:paraId="05D0042E" w14:textId="77777777" w:rsidR="00810FAC" w:rsidRPr="003D7B36" w:rsidRDefault="00810FAC" w:rsidP="00DF7B56">
            <w:pPr>
              <w:pStyle w:val="TableText"/>
              <w:keepNext/>
            </w:pPr>
            <w:r>
              <w:t>City of Oberlin</w:t>
            </w:r>
          </w:p>
        </w:tc>
        <w:tc>
          <w:tcPr>
            <w:tcW w:w="1440" w:type="dxa"/>
            <w:vAlign w:val="center"/>
          </w:tcPr>
          <w:p w14:paraId="183D0D17" w14:textId="77777777" w:rsidR="00810FAC" w:rsidRPr="003D7B36" w:rsidRDefault="00810FAC" w:rsidP="00DF7B56">
            <w:pPr>
              <w:pStyle w:val="TableText"/>
              <w:keepNext/>
            </w:pPr>
            <w:r>
              <w:t>OH</w:t>
            </w:r>
          </w:p>
        </w:tc>
        <w:tc>
          <w:tcPr>
            <w:tcW w:w="3055" w:type="dxa"/>
            <w:vAlign w:val="center"/>
          </w:tcPr>
          <w:p w14:paraId="792BDD8E" w14:textId="77777777" w:rsidR="00810FAC" w:rsidRPr="003D7B36" w:rsidRDefault="00810FAC" w:rsidP="00DF7B56">
            <w:pPr>
              <w:pStyle w:val="TableText"/>
              <w:keepNext/>
            </w:pPr>
            <w:r>
              <w:t>2.6%</w:t>
            </w:r>
          </w:p>
        </w:tc>
      </w:tr>
      <w:tr w:rsidR="00810FAC" w14:paraId="00E58AFE" w14:textId="77777777" w:rsidTr="00810FAC">
        <w:tc>
          <w:tcPr>
            <w:tcW w:w="4855" w:type="dxa"/>
            <w:vAlign w:val="center"/>
          </w:tcPr>
          <w:p w14:paraId="7407BB0B" w14:textId="77777777" w:rsidR="00810FAC" w:rsidRPr="003D7B36" w:rsidRDefault="00810FAC" w:rsidP="00DF7B56">
            <w:pPr>
              <w:pStyle w:val="TableText"/>
              <w:keepNext/>
            </w:pPr>
            <w:r>
              <w:t>City of Seattle</w:t>
            </w:r>
          </w:p>
        </w:tc>
        <w:tc>
          <w:tcPr>
            <w:tcW w:w="1440" w:type="dxa"/>
            <w:vAlign w:val="center"/>
          </w:tcPr>
          <w:p w14:paraId="679F8A2F" w14:textId="77777777" w:rsidR="00810FAC" w:rsidRPr="003D7B36" w:rsidRDefault="00810FAC" w:rsidP="00DF7B56">
            <w:pPr>
              <w:pStyle w:val="TableText"/>
              <w:keepNext/>
            </w:pPr>
            <w:r>
              <w:t>WA</w:t>
            </w:r>
          </w:p>
        </w:tc>
        <w:tc>
          <w:tcPr>
            <w:tcW w:w="3055" w:type="dxa"/>
            <w:vAlign w:val="center"/>
          </w:tcPr>
          <w:p w14:paraId="6E850A35" w14:textId="77777777" w:rsidR="00810FAC" w:rsidRPr="003D7B36" w:rsidRDefault="00810FAC" w:rsidP="00DF7B56">
            <w:pPr>
              <w:pStyle w:val="TableText"/>
              <w:keepNext/>
            </w:pPr>
            <w:r>
              <w:t>1.5%</w:t>
            </w:r>
          </w:p>
        </w:tc>
      </w:tr>
      <w:tr w:rsidR="00810FAC" w14:paraId="76887912" w14:textId="77777777" w:rsidTr="00810FAC">
        <w:tc>
          <w:tcPr>
            <w:tcW w:w="4855" w:type="dxa"/>
            <w:vAlign w:val="center"/>
          </w:tcPr>
          <w:p w14:paraId="0111EFF2" w14:textId="77777777" w:rsidR="00810FAC" w:rsidRPr="003D7B36" w:rsidRDefault="00810FAC" w:rsidP="00DF7B56">
            <w:pPr>
              <w:pStyle w:val="TableText"/>
            </w:pPr>
            <w:r>
              <w:t>City of Saint Peter</w:t>
            </w:r>
          </w:p>
        </w:tc>
        <w:tc>
          <w:tcPr>
            <w:tcW w:w="1440" w:type="dxa"/>
            <w:vAlign w:val="center"/>
          </w:tcPr>
          <w:p w14:paraId="282EB6D6" w14:textId="77777777" w:rsidR="00810FAC" w:rsidRPr="003D7B36" w:rsidRDefault="00810FAC" w:rsidP="00DF7B56">
            <w:pPr>
              <w:pStyle w:val="TableText"/>
            </w:pPr>
            <w:r>
              <w:t>MN</w:t>
            </w:r>
          </w:p>
        </w:tc>
        <w:tc>
          <w:tcPr>
            <w:tcW w:w="3055" w:type="dxa"/>
            <w:vAlign w:val="center"/>
          </w:tcPr>
          <w:p w14:paraId="2328FD41" w14:textId="77777777" w:rsidR="00810FAC" w:rsidRPr="003D7B36" w:rsidRDefault="00810FAC" w:rsidP="00DF7B56">
            <w:pPr>
              <w:pStyle w:val="TableText"/>
            </w:pPr>
            <w:r>
              <w:t>2.1%</w:t>
            </w:r>
          </w:p>
        </w:tc>
      </w:tr>
      <w:tr w:rsidR="00810FAC" w14:paraId="2437105F" w14:textId="77777777" w:rsidTr="00810FAC">
        <w:tc>
          <w:tcPr>
            <w:tcW w:w="4855" w:type="dxa"/>
            <w:vAlign w:val="center"/>
          </w:tcPr>
          <w:p w14:paraId="6C99908C" w14:textId="77777777" w:rsidR="00810FAC" w:rsidRDefault="00810FAC" w:rsidP="00DF7B56">
            <w:pPr>
              <w:pStyle w:val="TableText"/>
            </w:pPr>
            <w:r>
              <w:t>Jacksonville Electric Authority</w:t>
            </w:r>
          </w:p>
        </w:tc>
        <w:tc>
          <w:tcPr>
            <w:tcW w:w="1440" w:type="dxa"/>
            <w:vAlign w:val="center"/>
          </w:tcPr>
          <w:p w14:paraId="5A4B4DC2" w14:textId="77777777" w:rsidR="00810FAC" w:rsidRPr="003D7B36" w:rsidRDefault="00810FAC" w:rsidP="00DF7B56">
            <w:pPr>
              <w:pStyle w:val="TableText"/>
            </w:pPr>
            <w:r>
              <w:t>FL</w:t>
            </w:r>
          </w:p>
        </w:tc>
        <w:tc>
          <w:tcPr>
            <w:tcW w:w="3055" w:type="dxa"/>
            <w:vAlign w:val="center"/>
          </w:tcPr>
          <w:p w14:paraId="15F2F1E8" w14:textId="77777777" w:rsidR="00810FAC" w:rsidRPr="003D7B36" w:rsidRDefault="00810FAC" w:rsidP="00DF7B56">
            <w:pPr>
              <w:pStyle w:val="TableText"/>
            </w:pPr>
            <w:r>
              <w:t>0.8%</w:t>
            </w:r>
          </w:p>
        </w:tc>
      </w:tr>
      <w:tr w:rsidR="00810FAC" w14:paraId="00CBA55B" w14:textId="77777777" w:rsidTr="00810FAC">
        <w:tc>
          <w:tcPr>
            <w:tcW w:w="4855" w:type="dxa"/>
            <w:vAlign w:val="center"/>
          </w:tcPr>
          <w:p w14:paraId="6F7BE41A" w14:textId="77777777" w:rsidR="00810FAC" w:rsidRDefault="00810FAC" w:rsidP="00DF7B56">
            <w:pPr>
              <w:pStyle w:val="TableText"/>
            </w:pPr>
            <w:r>
              <w:t>Los Angeles Department of Water &amp; Power</w:t>
            </w:r>
          </w:p>
        </w:tc>
        <w:tc>
          <w:tcPr>
            <w:tcW w:w="1440" w:type="dxa"/>
            <w:vAlign w:val="center"/>
          </w:tcPr>
          <w:p w14:paraId="7EEAA03E" w14:textId="77777777" w:rsidR="00810FAC" w:rsidRPr="003D7B36" w:rsidRDefault="00810FAC" w:rsidP="00DF7B56">
            <w:pPr>
              <w:pStyle w:val="TableText"/>
            </w:pPr>
            <w:r>
              <w:t>CA</w:t>
            </w:r>
          </w:p>
        </w:tc>
        <w:tc>
          <w:tcPr>
            <w:tcW w:w="3055" w:type="dxa"/>
            <w:vAlign w:val="center"/>
          </w:tcPr>
          <w:p w14:paraId="0A1272D2" w14:textId="77777777" w:rsidR="00810FAC" w:rsidRPr="003D7B36" w:rsidRDefault="00810FAC" w:rsidP="00DF7B56">
            <w:pPr>
              <w:pStyle w:val="TableText"/>
            </w:pPr>
            <w:r>
              <w:t>0.9%</w:t>
            </w:r>
          </w:p>
        </w:tc>
      </w:tr>
    </w:tbl>
    <w:p w14:paraId="1F9336FA" w14:textId="77777777" w:rsidR="00810FAC" w:rsidRDefault="00810FAC" w:rsidP="00CF0D49">
      <w:pPr>
        <w:pStyle w:val="CH5TableSource"/>
      </w:pPr>
      <w:r w:rsidRPr="00FC5185">
        <w:t>Source: EPA calculation using EIA 2013</w:t>
      </w:r>
    </w:p>
    <w:p w14:paraId="6DB0E105" w14:textId="77777777" w:rsidR="00810FAC" w:rsidRPr="00D33008" w:rsidRDefault="00810FAC" w:rsidP="00810FAC">
      <w:pPr>
        <w:pStyle w:val="CH5BodyText"/>
      </w:pPr>
      <w:r w:rsidRPr="00D33008">
        <w:t xml:space="preserve">Table </w:t>
      </w:r>
      <w:r>
        <w:t>14</w:t>
      </w:r>
      <w:r w:rsidRPr="00D33008">
        <w:t xml:space="preserve"> summarizes incremental savings levels required by state </w:t>
      </w:r>
      <w:r>
        <w:t>EERS</w:t>
      </w:r>
      <w:r w:rsidRPr="00D33008">
        <w:t xml:space="preserve"> and categorized into the same four ranges</w:t>
      </w:r>
      <w:r>
        <w:t xml:space="preserve"> as Table 10 (</w:t>
      </w:r>
      <w:r w:rsidRPr="00840C32">
        <w:t>ACEEE 201</w:t>
      </w:r>
      <w:r>
        <w:t>5b)</w:t>
      </w:r>
      <w:r w:rsidRPr="00D33008">
        <w:t xml:space="preserve">. </w:t>
      </w:r>
      <w:r>
        <w:t>Seven</w:t>
      </w:r>
      <w:r w:rsidRPr="00D33008">
        <w:t xml:space="preserve"> states are required to achieve the highest level of performance (&gt; 1.5%) and an additional </w:t>
      </w:r>
      <w:r>
        <w:t xml:space="preserve">eight </w:t>
      </w:r>
      <w:r w:rsidRPr="00D33008">
        <w:t>states are required to achieve the next highest level of performance (1.0% to 1.49%).</w:t>
      </w:r>
    </w:p>
    <w:p w14:paraId="35B57E1B" w14:textId="0A99DB5A" w:rsidR="00810FAC" w:rsidRPr="00D33008" w:rsidRDefault="00810FAC" w:rsidP="007300F4">
      <w:pPr>
        <w:pStyle w:val="CH5TableTitle"/>
      </w:pPr>
      <w:bookmarkStart w:id="93" w:name="_Toc424720264"/>
      <w:r w:rsidRPr="00D33008">
        <w:t>T</w:t>
      </w:r>
      <w:r>
        <w:t>able</w:t>
      </w:r>
      <w:r w:rsidRPr="00D33008">
        <w:t xml:space="preserve"> </w:t>
      </w:r>
      <w:r>
        <w:t xml:space="preserve">14. </w:t>
      </w:r>
      <w:r w:rsidRPr="00D33008">
        <w:t xml:space="preserve">Levels of Incremental Savings Required by State </w:t>
      </w:r>
      <w:r>
        <w:t>EERS</w:t>
      </w:r>
      <w:bookmarkEnd w:id="93"/>
    </w:p>
    <w:tbl>
      <w:tblPr>
        <w:tblStyle w:val="TableGrid"/>
        <w:tblW w:w="0" w:type="auto"/>
        <w:tblLook w:val="04A0" w:firstRow="1" w:lastRow="0" w:firstColumn="1" w:lastColumn="0" w:noHBand="0" w:noVBand="1"/>
      </w:tblPr>
      <w:tblGrid>
        <w:gridCol w:w="3130"/>
        <w:gridCol w:w="2535"/>
        <w:gridCol w:w="3685"/>
      </w:tblGrid>
      <w:tr w:rsidR="00810FAC" w:rsidRPr="00D33008" w14:paraId="3BAEBDBB" w14:textId="77777777" w:rsidTr="00B97CD4">
        <w:trPr>
          <w:tblHeader/>
        </w:trPr>
        <w:tc>
          <w:tcPr>
            <w:tcW w:w="3130" w:type="dxa"/>
            <w:shd w:val="clear" w:color="auto" w:fill="D9D9D9" w:themeFill="background1" w:themeFillShade="D9"/>
            <w:vAlign w:val="center"/>
          </w:tcPr>
          <w:p w14:paraId="0EB3A8A7" w14:textId="77777777" w:rsidR="00810FAC" w:rsidRPr="00DF7B56" w:rsidRDefault="00810FAC" w:rsidP="00DF7B56">
            <w:pPr>
              <w:pStyle w:val="TableText"/>
              <w:rPr>
                <w:b/>
              </w:rPr>
            </w:pPr>
            <w:r w:rsidRPr="00DF7B56">
              <w:rPr>
                <w:b/>
              </w:rPr>
              <w:t xml:space="preserve">Incremental Savings as </w:t>
            </w:r>
            <w:r w:rsidRPr="00DF7B56">
              <w:rPr>
                <w:b/>
              </w:rPr>
              <w:br/>
              <w:t>% of Retail Sales</w:t>
            </w:r>
          </w:p>
        </w:tc>
        <w:tc>
          <w:tcPr>
            <w:tcW w:w="2535" w:type="dxa"/>
            <w:shd w:val="clear" w:color="auto" w:fill="D9D9D9" w:themeFill="background1" w:themeFillShade="D9"/>
            <w:vAlign w:val="center"/>
          </w:tcPr>
          <w:p w14:paraId="1D59D627" w14:textId="77777777" w:rsidR="00810FAC" w:rsidRPr="00DF7B56" w:rsidRDefault="00810FAC" w:rsidP="00DF7B56">
            <w:pPr>
              <w:pStyle w:val="TableText"/>
              <w:rPr>
                <w:b/>
              </w:rPr>
            </w:pPr>
            <w:r w:rsidRPr="00DF7B56">
              <w:rPr>
                <w:b/>
              </w:rPr>
              <w:t># of States</w:t>
            </w:r>
          </w:p>
        </w:tc>
        <w:tc>
          <w:tcPr>
            <w:tcW w:w="3685" w:type="dxa"/>
            <w:shd w:val="clear" w:color="auto" w:fill="D9D9D9" w:themeFill="background1" w:themeFillShade="D9"/>
            <w:vAlign w:val="center"/>
          </w:tcPr>
          <w:p w14:paraId="1A795496" w14:textId="77777777" w:rsidR="00810FAC" w:rsidRPr="00DF7B56" w:rsidRDefault="00810FAC" w:rsidP="00DF7B56">
            <w:pPr>
              <w:pStyle w:val="TableText"/>
              <w:rPr>
                <w:b/>
              </w:rPr>
            </w:pPr>
            <w:r w:rsidRPr="00DF7B56">
              <w:rPr>
                <w:b/>
              </w:rPr>
              <w:t>States</w:t>
            </w:r>
          </w:p>
        </w:tc>
      </w:tr>
      <w:tr w:rsidR="00810FAC" w:rsidRPr="00D33008" w14:paraId="3E12BFC8" w14:textId="77777777" w:rsidTr="00810FAC">
        <w:tc>
          <w:tcPr>
            <w:tcW w:w="3130" w:type="dxa"/>
            <w:vAlign w:val="center"/>
          </w:tcPr>
          <w:p w14:paraId="39B19476" w14:textId="77777777" w:rsidR="00810FAC" w:rsidRPr="0014218C" w:rsidRDefault="00810FAC" w:rsidP="00DF7B56">
            <w:pPr>
              <w:pStyle w:val="TableText"/>
            </w:pPr>
            <w:r w:rsidRPr="0014218C">
              <w:t>&gt;= 1.5%</w:t>
            </w:r>
          </w:p>
        </w:tc>
        <w:tc>
          <w:tcPr>
            <w:tcW w:w="2535" w:type="dxa"/>
            <w:vAlign w:val="center"/>
          </w:tcPr>
          <w:p w14:paraId="6C99516D" w14:textId="77777777" w:rsidR="00810FAC" w:rsidRPr="00D33008" w:rsidRDefault="00810FAC" w:rsidP="00DF7B56">
            <w:pPr>
              <w:pStyle w:val="TableText"/>
            </w:pPr>
            <w:r>
              <w:t>7</w:t>
            </w:r>
          </w:p>
        </w:tc>
        <w:tc>
          <w:tcPr>
            <w:tcW w:w="3685" w:type="dxa"/>
            <w:vAlign w:val="center"/>
          </w:tcPr>
          <w:p w14:paraId="50D5A547" w14:textId="77777777" w:rsidR="00810FAC" w:rsidRPr="00D33008" w:rsidRDefault="00810FAC" w:rsidP="00DF7B56">
            <w:pPr>
              <w:pStyle w:val="TableText"/>
            </w:pPr>
            <w:r w:rsidRPr="00D33008">
              <w:t xml:space="preserve">AZ, </w:t>
            </w:r>
            <w:r>
              <w:t xml:space="preserve">ME, </w:t>
            </w:r>
          </w:p>
          <w:p w14:paraId="2F32772D" w14:textId="77777777" w:rsidR="00810FAC" w:rsidRPr="00D33008" w:rsidRDefault="00810FAC" w:rsidP="00DF7B56">
            <w:pPr>
              <w:pStyle w:val="TableText"/>
            </w:pPr>
            <w:r w:rsidRPr="00D33008">
              <w:t>MA, MN, RI, VT, WA</w:t>
            </w:r>
          </w:p>
        </w:tc>
      </w:tr>
      <w:tr w:rsidR="00810FAC" w:rsidRPr="00D33008" w14:paraId="29F6E40F" w14:textId="77777777" w:rsidTr="00810FAC">
        <w:tc>
          <w:tcPr>
            <w:tcW w:w="3130" w:type="dxa"/>
            <w:vAlign w:val="center"/>
          </w:tcPr>
          <w:p w14:paraId="70542B9A" w14:textId="77777777" w:rsidR="00810FAC" w:rsidRPr="0014218C" w:rsidRDefault="00810FAC" w:rsidP="00DF7B56">
            <w:pPr>
              <w:pStyle w:val="TableText"/>
            </w:pPr>
            <w:r w:rsidRPr="0014218C">
              <w:t>1.0% to 1.49%</w:t>
            </w:r>
          </w:p>
        </w:tc>
        <w:tc>
          <w:tcPr>
            <w:tcW w:w="2535" w:type="dxa"/>
            <w:vAlign w:val="center"/>
          </w:tcPr>
          <w:p w14:paraId="6819ABE1" w14:textId="77777777" w:rsidR="00810FAC" w:rsidRPr="00D33008" w:rsidRDefault="00810FAC" w:rsidP="00DF7B56">
            <w:pPr>
              <w:pStyle w:val="TableText"/>
            </w:pPr>
            <w:r>
              <w:t>8</w:t>
            </w:r>
          </w:p>
        </w:tc>
        <w:tc>
          <w:tcPr>
            <w:tcW w:w="3685" w:type="dxa"/>
            <w:vAlign w:val="center"/>
          </w:tcPr>
          <w:p w14:paraId="3BE3B72C" w14:textId="77777777" w:rsidR="00810FAC" w:rsidRPr="00D33008" w:rsidRDefault="00810FAC" w:rsidP="00DF7B56">
            <w:pPr>
              <w:pStyle w:val="TableText"/>
            </w:pPr>
            <w:r>
              <w:t xml:space="preserve">CO, CT, </w:t>
            </w:r>
            <w:r w:rsidRPr="00D33008">
              <w:t xml:space="preserve">HI, IA, </w:t>
            </w:r>
            <w:r>
              <w:t xml:space="preserve">MD, </w:t>
            </w:r>
            <w:r w:rsidRPr="00D33008">
              <w:t xml:space="preserve">MI, </w:t>
            </w:r>
            <w:r>
              <w:t xml:space="preserve">NY, </w:t>
            </w:r>
            <w:r w:rsidRPr="00D33008">
              <w:t>OR</w:t>
            </w:r>
          </w:p>
        </w:tc>
      </w:tr>
      <w:tr w:rsidR="00810FAC" w:rsidRPr="00D33008" w14:paraId="00921DDE" w14:textId="77777777" w:rsidTr="00810FAC">
        <w:tc>
          <w:tcPr>
            <w:tcW w:w="3130" w:type="dxa"/>
            <w:vAlign w:val="center"/>
          </w:tcPr>
          <w:p w14:paraId="7F97DB74" w14:textId="77777777" w:rsidR="00810FAC" w:rsidRPr="0014218C" w:rsidRDefault="00810FAC" w:rsidP="00DF7B56">
            <w:pPr>
              <w:pStyle w:val="TableText"/>
            </w:pPr>
            <w:r w:rsidRPr="0014218C">
              <w:t>0.5% to 0.99%</w:t>
            </w:r>
          </w:p>
        </w:tc>
        <w:tc>
          <w:tcPr>
            <w:tcW w:w="2535" w:type="dxa"/>
            <w:vAlign w:val="center"/>
          </w:tcPr>
          <w:p w14:paraId="7FCAE055" w14:textId="77777777" w:rsidR="00810FAC" w:rsidRPr="00D33008" w:rsidRDefault="00810FAC" w:rsidP="00DF7B56">
            <w:pPr>
              <w:pStyle w:val="TableText"/>
            </w:pPr>
            <w:r>
              <w:t>4</w:t>
            </w:r>
          </w:p>
        </w:tc>
        <w:tc>
          <w:tcPr>
            <w:tcW w:w="3685" w:type="dxa"/>
            <w:vAlign w:val="center"/>
          </w:tcPr>
          <w:p w14:paraId="250D0C00" w14:textId="77777777" w:rsidR="00810FAC" w:rsidRPr="00D33008" w:rsidRDefault="00810FAC" w:rsidP="00DF7B56">
            <w:pPr>
              <w:pStyle w:val="TableText"/>
            </w:pPr>
            <w:r w:rsidRPr="00D33008">
              <w:t xml:space="preserve">AR, CA, </w:t>
            </w:r>
            <w:r>
              <w:t xml:space="preserve">IL, </w:t>
            </w:r>
            <w:r w:rsidRPr="00D33008">
              <w:t>WI</w:t>
            </w:r>
          </w:p>
        </w:tc>
      </w:tr>
      <w:tr w:rsidR="00810FAC" w:rsidRPr="00D33008" w14:paraId="7267B354" w14:textId="77777777" w:rsidTr="00810FAC">
        <w:tc>
          <w:tcPr>
            <w:tcW w:w="3130" w:type="dxa"/>
            <w:vAlign w:val="center"/>
          </w:tcPr>
          <w:p w14:paraId="0090742A" w14:textId="77777777" w:rsidR="00810FAC" w:rsidRPr="0014218C" w:rsidRDefault="00810FAC" w:rsidP="00DF7B56">
            <w:pPr>
              <w:pStyle w:val="TableText"/>
            </w:pPr>
            <w:r w:rsidRPr="0014218C">
              <w:t>&lt; 0.5%</w:t>
            </w:r>
          </w:p>
        </w:tc>
        <w:tc>
          <w:tcPr>
            <w:tcW w:w="2535" w:type="dxa"/>
            <w:vAlign w:val="center"/>
          </w:tcPr>
          <w:p w14:paraId="40C530AC" w14:textId="77777777" w:rsidR="00810FAC" w:rsidRPr="00D33008" w:rsidRDefault="00810FAC" w:rsidP="00DF7B56">
            <w:pPr>
              <w:pStyle w:val="TableText"/>
            </w:pPr>
            <w:r w:rsidRPr="00D33008">
              <w:t>1</w:t>
            </w:r>
          </w:p>
        </w:tc>
        <w:tc>
          <w:tcPr>
            <w:tcW w:w="3685" w:type="dxa"/>
            <w:vAlign w:val="center"/>
          </w:tcPr>
          <w:p w14:paraId="67E90B69" w14:textId="77777777" w:rsidR="00810FAC" w:rsidRPr="00D33008" w:rsidRDefault="00810FAC" w:rsidP="00DF7B56">
            <w:pPr>
              <w:pStyle w:val="TableText"/>
            </w:pPr>
            <w:r w:rsidRPr="00D33008">
              <w:t>TX</w:t>
            </w:r>
          </w:p>
        </w:tc>
      </w:tr>
    </w:tbl>
    <w:p w14:paraId="0F5784D8" w14:textId="4B80BA13" w:rsidR="00810FAC" w:rsidRPr="00196931" w:rsidRDefault="00810FAC" w:rsidP="00810FAC">
      <w:pPr>
        <w:pStyle w:val="CH5TableSource"/>
      </w:pPr>
      <w:r w:rsidRPr="00196931">
        <w:t xml:space="preserve">Source: </w:t>
      </w:r>
      <w:r w:rsidRPr="00CF0D49">
        <w:t>ACEEE</w:t>
      </w:r>
      <w:r w:rsidRPr="00196931">
        <w:t xml:space="preserve"> 2015b</w:t>
      </w:r>
    </w:p>
    <w:p w14:paraId="2B901887" w14:textId="5B4ADDC3" w:rsidR="00810FAC" w:rsidRPr="00D33008" w:rsidRDefault="00810FAC" w:rsidP="00810FAC">
      <w:pPr>
        <w:pStyle w:val="CH5BodyText"/>
      </w:pPr>
      <w:bookmarkStart w:id="94" w:name="OLE_LINK1"/>
      <w:r w:rsidRPr="00D33008">
        <w:t>For the</w:t>
      </w:r>
      <w:r>
        <w:t xml:space="preserve"> illustrative demand-side EE plan scenario level of </w:t>
      </w:r>
      <w:r w:rsidRPr="00D33008">
        <w:t xml:space="preserve">performance, the EPA has </w:t>
      </w:r>
      <w:r w:rsidR="00D10B78">
        <w:t xml:space="preserve">determined that a </w:t>
      </w:r>
      <w:r w:rsidRPr="00D33008">
        <w:t>1.</w:t>
      </w:r>
      <w:r>
        <w:t>0</w:t>
      </w:r>
      <w:r w:rsidRPr="00D33008">
        <w:t>% incremental savings</w:t>
      </w:r>
      <w:r w:rsidR="00D10B78">
        <w:t>,</w:t>
      </w:r>
      <w:r w:rsidRPr="00D33008">
        <w:t xml:space="preserve"> as a percentage of retail sales</w:t>
      </w:r>
      <w:r w:rsidR="00D10B78">
        <w:t>, is appropriate</w:t>
      </w:r>
      <w:r w:rsidRPr="00D33008">
        <w:t xml:space="preserve">. This level </w:t>
      </w:r>
      <w:r>
        <w:t xml:space="preserve">was achieved </w:t>
      </w:r>
      <w:r w:rsidRPr="00D33008">
        <w:t xml:space="preserve">by </w:t>
      </w:r>
      <w:r>
        <w:t xml:space="preserve">seventeen </w:t>
      </w:r>
      <w:r w:rsidRPr="00D33008">
        <w:t xml:space="preserve">states </w:t>
      </w:r>
      <w:r>
        <w:t xml:space="preserve">and by numerous utilities of all ownership types </w:t>
      </w:r>
      <w:r w:rsidRPr="00D33008">
        <w:t>in 201</w:t>
      </w:r>
      <w:r>
        <w:t>3.</w:t>
      </w:r>
      <w:r w:rsidRPr="00D33008">
        <w:t xml:space="preserve"> </w:t>
      </w:r>
      <w:r>
        <w:t>A</w:t>
      </w:r>
      <w:r w:rsidRPr="00D33008">
        <w:t xml:space="preserve">n additional </w:t>
      </w:r>
      <w:r>
        <w:t>two</w:t>
      </w:r>
      <w:r w:rsidRPr="00D33008">
        <w:t xml:space="preserve"> states (CO</w:t>
      </w:r>
      <w:r>
        <w:t xml:space="preserve"> and HI</w:t>
      </w:r>
      <w:r w:rsidRPr="00D33008">
        <w:t>), accounting for overlap, are expected to achieve this level by 2020</w:t>
      </w:r>
      <w:r>
        <w:t xml:space="preserve"> as shown in Table 14</w:t>
      </w:r>
      <w:r w:rsidRPr="00D33008">
        <w:t xml:space="preserve">. Thus, </w:t>
      </w:r>
      <w:r>
        <w:t xml:space="preserve">nineteen </w:t>
      </w:r>
      <w:r w:rsidRPr="00D33008">
        <w:t>states have either achieved or are required to achieve this level of performance.</w:t>
      </w:r>
    </w:p>
    <w:p w14:paraId="5209C683" w14:textId="77777777" w:rsidR="00810FAC" w:rsidRPr="00D33008" w:rsidRDefault="00810FAC" w:rsidP="009148E2">
      <w:pPr>
        <w:pStyle w:val="Heading3"/>
      </w:pPr>
      <w:bookmarkStart w:id="95" w:name="_Toc424721576"/>
      <w:bookmarkEnd w:id="94"/>
      <w:r w:rsidRPr="00D33008">
        <w:lastRenderedPageBreak/>
        <w:t xml:space="preserve">Step 3: Determine Start Year for </w:t>
      </w:r>
      <w:r>
        <w:t>EE Plan Scenario</w:t>
      </w:r>
      <w:bookmarkEnd w:id="95"/>
    </w:p>
    <w:p w14:paraId="5C1176C4" w14:textId="7D3C4C5E" w:rsidR="00810FAC" w:rsidRPr="00D33008" w:rsidRDefault="00810FAC" w:rsidP="00810FAC">
      <w:pPr>
        <w:pStyle w:val="CH5BodyText"/>
      </w:pPr>
      <w:r w:rsidRPr="00D33008">
        <w:t xml:space="preserve">For construction of the </w:t>
      </w:r>
      <w:r>
        <w:t xml:space="preserve">EE plan </w:t>
      </w:r>
      <w:r w:rsidRPr="00D33008">
        <w:t xml:space="preserve">scenario, the EPA </w:t>
      </w:r>
      <w:r w:rsidRPr="006C5D20">
        <w:t xml:space="preserve">has </w:t>
      </w:r>
      <w:r w:rsidR="00D10B78">
        <w:t xml:space="preserve">determined that </w:t>
      </w:r>
      <w:r w:rsidRPr="006C5D20">
        <w:t>2020</w:t>
      </w:r>
      <w:r>
        <w:t xml:space="preserve"> </w:t>
      </w:r>
      <w:r w:rsidR="00D10B78">
        <w:t xml:space="preserve">is appropriate </w:t>
      </w:r>
      <w:r w:rsidRPr="00D33008">
        <w:t xml:space="preserve">as the first year for state </w:t>
      </w:r>
      <w:r>
        <w:t xml:space="preserve">demand-side EE </w:t>
      </w:r>
      <w:r w:rsidRPr="00D33008">
        <w:t>efforts.</w:t>
      </w:r>
      <w:r w:rsidR="000073DB">
        <w:t xml:space="preserve"> The EPA believes this is reasonable for the illustrative plan scenario as efforts are ramped up in advance of the 2022-2029 interim plan performance period</w:t>
      </w:r>
      <w:r w:rsidR="007042BD">
        <w:t xml:space="preserve">. This allows sufficient time – </w:t>
      </w:r>
      <w:r w:rsidR="000F3120">
        <w:t xml:space="preserve">more </w:t>
      </w:r>
      <w:r w:rsidR="007042BD">
        <w:t>than four years – after issuance of the final rule for planning of these efforts. This reflects a three year delay from the 2017 start year used for the proposal.</w:t>
      </w:r>
    </w:p>
    <w:p w14:paraId="25061B9D" w14:textId="77777777" w:rsidR="00810FAC" w:rsidRPr="00D33008" w:rsidRDefault="00810FAC" w:rsidP="009148E2">
      <w:pPr>
        <w:pStyle w:val="Heading3"/>
      </w:pPr>
      <w:bookmarkStart w:id="96" w:name="_Toc424721577"/>
      <w:r w:rsidRPr="00D33008">
        <w:t>Step 4: Determine Start Year Level of Performance</w:t>
      </w:r>
      <w:bookmarkEnd w:id="96"/>
    </w:p>
    <w:p w14:paraId="765E2AC7" w14:textId="229624E3" w:rsidR="00810FAC" w:rsidRPr="00D33008" w:rsidRDefault="00810FAC" w:rsidP="00810FAC">
      <w:pPr>
        <w:pStyle w:val="CH5BodyText"/>
      </w:pPr>
      <w:r w:rsidRPr="00D33008">
        <w:t>For construction of the best practices scenario, the EPA has set each state’s level of performance in the start year (</w:t>
      </w:r>
      <w:r w:rsidRPr="006C5D20">
        <w:t>2020</w:t>
      </w:r>
      <w:r w:rsidRPr="00D33008">
        <w:t xml:space="preserve">) to </w:t>
      </w:r>
      <w:r w:rsidR="00F31D36">
        <w:t xml:space="preserve">the </w:t>
      </w:r>
      <w:r w:rsidRPr="00D33008">
        <w:t xml:space="preserve">level of performance </w:t>
      </w:r>
      <w:r w:rsidR="00F31D36">
        <w:t xml:space="preserve">observed </w:t>
      </w:r>
      <w:r>
        <w:t>in 2013</w:t>
      </w:r>
      <w:r w:rsidR="00F31D36">
        <w:t>,</w:t>
      </w:r>
      <w:r>
        <w:t xml:space="preserve"> based on the </w:t>
      </w:r>
      <w:r w:rsidRPr="00D33008">
        <w:t xml:space="preserve">aggregate state-level </w:t>
      </w:r>
      <w:r>
        <w:t xml:space="preserve">incremental electricity savings based on </w:t>
      </w:r>
      <w:r w:rsidRPr="00D33008">
        <w:t xml:space="preserve">EIA Form 861 </w:t>
      </w:r>
      <w:r w:rsidRPr="006C5D20">
        <w:t>data (Table 4).</w:t>
      </w:r>
      <w:r w:rsidR="00F86F10">
        <w:t xml:space="preserve"> This reflects the experience of states and utilities in ramping up EE program efforts over time, with less experienced program administrators requiring time to increase savings from current levels.</w:t>
      </w:r>
    </w:p>
    <w:p w14:paraId="159BFED8" w14:textId="77777777" w:rsidR="00810FAC" w:rsidRPr="00D33008" w:rsidRDefault="00810FAC" w:rsidP="009148E2">
      <w:pPr>
        <w:pStyle w:val="Heading3"/>
      </w:pPr>
      <w:bookmarkStart w:id="97" w:name="_Toc424721578"/>
      <w:r w:rsidRPr="00D33008">
        <w:t xml:space="preserve">Step 5: Determine Pace </w:t>
      </w:r>
      <w:r>
        <w:t xml:space="preserve">of </w:t>
      </w:r>
      <w:r w:rsidRPr="00D33008">
        <w:t>Improv</w:t>
      </w:r>
      <w:r>
        <w:t>ement</w:t>
      </w:r>
      <w:r w:rsidRPr="00D33008">
        <w:t xml:space="preserve"> from Start Year to </w:t>
      </w:r>
      <w:r>
        <w:t xml:space="preserve">EE Plan Scenario </w:t>
      </w:r>
      <w:r w:rsidRPr="00D33008">
        <w:t>Level of</w:t>
      </w:r>
      <w:r>
        <w:t xml:space="preserve"> </w:t>
      </w:r>
      <w:r w:rsidRPr="00D33008">
        <w:t>Performance</w:t>
      </w:r>
      <w:bookmarkEnd w:id="97"/>
    </w:p>
    <w:p w14:paraId="1C8C6356" w14:textId="246F5574" w:rsidR="00810FAC" w:rsidRPr="00D33008" w:rsidRDefault="00810FAC" w:rsidP="00810FAC">
      <w:pPr>
        <w:pStyle w:val="CH5BodyText"/>
      </w:pPr>
      <w:r w:rsidRPr="00D33008">
        <w:t xml:space="preserve">To determine a </w:t>
      </w:r>
      <w:r>
        <w:t xml:space="preserve">reasonable </w:t>
      </w:r>
      <w:r w:rsidRPr="00D33008">
        <w:t xml:space="preserve">trajectory of incremental savings levels from the </w:t>
      </w:r>
      <w:r w:rsidRPr="006C5D20">
        <w:t>20</w:t>
      </w:r>
      <w:r>
        <w:t>20</w:t>
      </w:r>
      <w:r w:rsidRPr="00D33008">
        <w:t xml:space="preserve"> level to the </w:t>
      </w:r>
      <w:r>
        <w:t xml:space="preserve">EE plan </w:t>
      </w:r>
      <w:r w:rsidRPr="00D33008">
        <w:t>level</w:t>
      </w:r>
      <w:r>
        <w:t xml:space="preserve"> of performance</w:t>
      </w:r>
      <w:r w:rsidRPr="00D33008">
        <w:t>, the EPA considered past performance of individual program administrators</w:t>
      </w:r>
      <w:r w:rsidRPr="00D33008">
        <w:rPr>
          <w:rStyle w:val="FootnoteReference"/>
        </w:rPr>
        <w:footnoteReference w:id="35"/>
      </w:r>
      <w:r w:rsidRPr="00D33008">
        <w:t xml:space="preserve"> as well as requirements of existing state </w:t>
      </w:r>
      <w:r>
        <w:t>EERS</w:t>
      </w:r>
      <w:r w:rsidRPr="00D33008">
        <w:t xml:space="preserve">. For the past performance of individual program administrators, </w:t>
      </w:r>
      <w:r>
        <w:t>the EPA</w:t>
      </w:r>
      <w:r w:rsidRPr="00D33008">
        <w:t xml:space="preserve"> first screened the data and divided them into moderate and high performing sub-groups. The moderate group (47 entities) was defined as programs that achieved from 0.8% to 1.5% maximum incremental savings levels and the high group (26 entities) was defined as programs that achieved greater than 1.5% maximum incremental savings levels. </w:t>
      </w:r>
      <w:r>
        <w:t>The EPA</w:t>
      </w:r>
      <w:r w:rsidRPr="00D33008">
        <w:t xml:space="preserve"> then calculated the rate at which each entity had increased savings over time and calculated average values for each sub-group. For the moderate group, the average rate of improvement of incremental annual savings rate was 0.30% per year. For the high group, the average rate of improvement of incremental annual savings rate was 0.38% per year. See Appendix </w:t>
      </w:r>
      <w:r>
        <w:t>2</w:t>
      </w:r>
      <w:r w:rsidRPr="00D33008">
        <w:t xml:space="preserve"> for supporting data and analysis.</w:t>
      </w:r>
    </w:p>
    <w:p w14:paraId="50CB9CED" w14:textId="5E2E01DB" w:rsidR="00810FAC" w:rsidRPr="00D33008" w:rsidRDefault="00810FAC" w:rsidP="00810FAC">
      <w:pPr>
        <w:pStyle w:val="CH5BodyText"/>
      </w:pPr>
      <w:r w:rsidRPr="00D33008">
        <w:lastRenderedPageBreak/>
        <w:t xml:space="preserve">EPA also considered requirements of existing state EERS and evaluated the rate at which their incremental savings levels increase over time. For several EERS, </w:t>
      </w:r>
      <w:r>
        <w:t>the EPA</w:t>
      </w:r>
      <w:r w:rsidRPr="00D33008">
        <w:t xml:space="preserve"> w</w:t>
      </w:r>
      <w:r>
        <w:t>as</w:t>
      </w:r>
      <w:r w:rsidRPr="00D33008">
        <w:t xml:space="preserve"> unable to clearly identify ramp-up schedules. </w:t>
      </w:r>
      <w:r>
        <w:t xml:space="preserve">The EPA </w:t>
      </w:r>
      <w:r w:rsidRPr="00D33008">
        <w:t xml:space="preserve">identified ten states with clear schedules and </w:t>
      </w:r>
      <w:r>
        <w:t>c</w:t>
      </w:r>
      <w:r w:rsidRPr="00D33008">
        <w:t xml:space="preserve">alculated the average rate of improvement for each. The average rate of improvement of incremental annual savings rate required for these ten states is 0.21% per year. See Appendix </w:t>
      </w:r>
      <w:r>
        <w:t>2</w:t>
      </w:r>
      <w:r w:rsidRPr="00D33008">
        <w:t xml:space="preserve"> for supporting data and analysis.</w:t>
      </w:r>
    </w:p>
    <w:p w14:paraId="2E502344" w14:textId="77777777" w:rsidR="00810FAC" w:rsidRPr="00D33008" w:rsidRDefault="00810FAC" w:rsidP="00810FAC">
      <w:pPr>
        <w:pStyle w:val="CH5BodyText"/>
      </w:pPr>
      <w:r w:rsidRPr="00D33008">
        <w:t xml:space="preserve">Based on these results, the EPA has chosen 0.2% per year for the </w:t>
      </w:r>
      <w:r>
        <w:t xml:space="preserve">demand-side EE plan scenario </w:t>
      </w:r>
      <w:r w:rsidRPr="00D33008">
        <w:t xml:space="preserve">rate of improvement. These values are </w:t>
      </w:r>
      <w:r>
        <w:t>at the low end of the range</w:t>
      </w:r>
      <w:r w:rsidRPr="00D33008">
        <w:t xml:space="preserve"> </w:t>
      </w:r>
      <w:r>
        <w:t>in</w:t>
      </w:r>
      <w:r w:rsidRPr="00D33008">
        <w:t xml:space="preserve"> comparison with our analysis of past state performance and state requirements.</w:t>
      </w:r>
    </w:p>
    <w:p w14:paraId="5365A225" w14:textId="77777777" w:rsidR="00810FAC" w:rsidRPr="00D33008" w:rsidRDefault="00810FAC" w:rsidP="009148E2">
      <w:pPr>
        <w:pStyle w:val="Heading3"/>
      </w:pPr>
      <w:bookmarkStart w:id="98" w:name="_Toc424721579"/>
      <w:r w:rsidRPr="00D33008">
        <w:t>Step 6: Determine Average Portfolio Measure Life and Distribution of Measure Lives</w:t>
      </w:r>
      <w:bookmarkEnd w:id="98"/>
    </w:p>
    <w:p w14:paraId="7D0A595A" w14:textId="77777777" w:rsidR="00810FAC" w:rsidRPr="00D33008" w:rsidRDefault="00810FAC" w:rsidP="00810FAC">
      <w:pPr>
        <w:pStyle w:val="CH5BodyText"/>
      </w:pPr>
      <w:r w:rsidRPr="00D33008">
        <w:t xml:space="preserve">The next step in defining the </w:t>
      </w:r>
      <w:r>
        <w:t xml:space="preserve">EE plan </w:t>
      </w:r>
      <w:r w:rsidRPr="00D33008">
        <w:t xml:space="preserve">scenario </w:t>
      </w:r>
      <w:r>
        <w:t>entails</w:t>
      </w:r>
      <w:r w:rsidRPr="00D33008">
        <w:t xml:space="preserve"> projecting the cumulative future impacts of the annual incremental savings levels for each state. The incremental </w:t>
      </w:r>
      <w:r>
        <w:t xml:space="preserve">(or first-year) </w:t>
      </w:r>
      <w:r w:rsidRPr="00D33008">
        <w:t xml:space="preserve">savings impacts </w:t>
      </w:r>
      <w:r>
        <w:t xml:space="preserve">in a year </w:t>
      </w:r>
      <w:r w:rsidRPr="00D33008">
        <w:t xml:space="preserve">reflect the savings from EE measures put in place in that year. The cumulative </w:t>
      </w:r>
      <w:r>
        <w:t xml:space="preserve">incremental </w:t>
      </w:r>
      <w:r w:rsidRPr="00D33008">
        <w:t xml:space="preserve">savings </w:t>
      </w:r>
      <w:r>
        <w:t xml:space="preserve">in a given year </w:t>
      </w:r>
      <w:r w:rsidRPr="00D33008">
        <w:t>represent</w:t>
      </w:r>
      <w:r>
        <w:t>s</w:t>
      </w:r>
      <w:r w:rsidRPr="00D33008">
        <w:t xml:space="preserve"> the total impacts of all EE measures</w:t>
      </w:r>
      <w:r>
        <w:t>,</w:t>
      </w:r>
      <w:r w:rsidRPr="00D33008">
        <w:t xml:space="preserve"> </w:t>
      </w:r>
      <w:r>
        <w:t xml:space="preserve">those </w:t>
      </w:r>
      <w:r w:rsidRPr="00D33008">
        <w:t xml:space="preserve">put in place in that year </w:t>
      </w:r>
      <w:r w:rsidRPr="00D33008">
        <w:rPr>
          <w:u w:val="single"/>
        </w:rPr>
        <w:t>and</w:t>
      </w:r>
      <w:r w:rsidRPr="00D33008">
        <w:t xml:space="preserve"> all prior years</w:t>
      </w:r>
      <w:r>
        <w:t>, that still have remaining savings impacts in the given year</w:t>
      </w:r>
      <w:r w:rsidRPr="00D33008">
        <w:t xml:space="preserve">. The cumulative savings account for the continuing impacts of </w:t>
      </w:r>
      <w:r>
        <w:t>EE</w:t>
      </w:r>
      <w:r w:rsidRPr="00D33008">
        <w:t xml:space="preserve"> measures that remain in place for a period of time (the “measure life”) before being replaced. For example, the purchase of a high-efficiency refrigerator may lead to savings for twelve years, before being replaced with a new model. To estimate cumulative impacts of a series of years of incremental savings, the industry uses the concept of an average measure life for the entire portfolio of EE programs</w:t>
      </w:r>
      <w:r>
        <w:t xml:space="preserve"> being administered</w:t>
      </w:r>
      <w:r w:rsidRPr="00D33008">
        <w:t xml:space="preserve">. Rather than use a single, average measure life to represent a diverse portfolio of programs, that range in measure lives from </w:t>
      </w:r>
      <w:r>
        <w:t xml:space="preserve">less than ten </w:t>
      </w:r>
      <w:r w:rsidRPr="00D33008">
        <w:t xml:space="preserve">years (e.g., </w:t>
      </w:r>
      <w:r>
        <w:t xml:space="preserve">commercial </w:t>
      </w:r>
      <w:r w:rsidRPr="00D33008">
        <w:t>lighting technologies and applications</w:t>
      </w:r>
      <w:r>
        <w:t>, residential behavioral feedback</w:t>
      </w:r>
      <w:r w:rsidRPr="00D33008">
        <w:t>) to as long as twenty years</w:t>
      </w:r>
      <w:r>
        <w:t xml:space="preserve"> or more</w:t>
      </w:r>
      <w:r w:rsidRPr="00D33008">
        <w:t xml:space="preserve"> (e.g., </w:t>
      </w:r>
      <w:r>
        <w:t xml:space="preserve">residential HVAC, residential building </w:t>
      </w:r>
      <w:r w:rsidRPr="00D33008">
        <w:t>insulation)</w:t>
      </w:r>
      <w:r>
        <w:t>, the EPA is assuming a distribution of measure lives around the average to account for future impacts of incremental savings levels.</w:t>
      </w:r>
    </w:p>
    <w:p w14:paraId="1A085682" w14:textId="44331C57" w:rsidR="00810FAC" w:rsidRDefault="00810FAC" w:rsidP="007300F4">
      <w:pPr>
        <w:pStyle w:val="CH5BodyText"/>
      </w:pPr>
      <w:r w:rsidRPr="00352771">
        <w:t>To approximate a distribution of measure lives across a portfolio of EE programs represented by the EE plan scenario, EPA relie</w:t>
      </w:r>
      <w:r w:rsidR="00F31D36">
        <w:t>d</w:t>
      </w:r>
      <w:r w:rsidRPr="00352771">
        <w:t xml:space="preserve"> on a recent analysis by the Lawrence Berkeley National Laboratory (LBNL) of the distribution of EE program lifetimes (</w:t>
      </w:r>
      <w:r w:rsidRPr="00147909">
        <w:t>LBNL 2015a</w:t>
      </w:r>
      <w:r w:rsidRPr="00352771">
        <w:t xml:space="preserve">). The </w:t>
      </w:r>
      <w:r w:rsidRPr="00352771">
        <w:lastRenderedPageBreak/>
        <w:t>analysis was based on the LBNL DSM Program Database. The database consists of program-level data, including first-year savings and program savings lifetimes, reported directly by the EE program administrators since 2009. Across the database of nearly 6,000 program years of data, program savings lifetimes are available for about 1,600 program years (27% of the program years). More than 50 utilities and other EE program administrators in 25 states contributed to those data through their regulatory filings, statewide databases, and other sources. The weighted average of EE measure lifetimes for the entire population in the LBNL analysis is 10.2 years. The LBNL analysis further partitions the measure lifetimes of the EE programs into four tiers based on a cluster analysis – a statistical approach for grouping values based on their similarity.</w:t>
      </w:r>
      <w:r w:rsidRPr="00352771">
        <w:rPr>
          <w:rStyle w:val="FootnoteReference"/>
        </w:rPr>
        <w:footnoteReference w:id="36"/>
      </w:r>
      <w:r w:rsidRPr="00352771">
        <w:t xml:space="preserve"> The four-tier distribution of EE program measure lifetimes, as well as the associated weighted-average measure lifetime and the shares of first-year savings of each tier, are used in the analysis. Figure 5 presents LBNL’s four-tier distribution of the EE program measure lifetimes, and the associated weighted average measure lifetime and share of first-year savings for each tier.</w:t>
      </w:r>
    </w:p>
    <w:p w14:paraId="5B8EB046" w14:textId="5712690A" w:rsidR="00C50014" w:rsidRDefault="00810FAC" w:rsidP="00CF0D49">
      <w:pPr>
        <w:pStyle w:val="CH5FigureTitle"/>
      </w:pPr>
      <w:bookmarkStart w:id="99" w:name="_Toc424720250"/>
      <w:r w:rsidRPr="00A24D88">
        <w:lastRenderedPageBreak/>
        <w:t>F</w:t>
      </w:r>
      <w:r>
        <w:t>igure</w:t>
      </w:r>
      <w:r w:rsidRPr="00A24D88">
        <w:t xml:space="preserve"> </w:t>
      </w:r>
      <w:r>
        <w:t>5.</w:t>
      </w:r>
      <w:r w:rsidRPr="00A24D88">
        <w:t xml:space="preserve"> The Four-Tier Distribution of </w:t>
      </w:r>
      <w:r>
        <w:t>Demand-Side EE</w:t>
      </w:r>
      <w:r w:rsidRPr="00A24D88">
        <w:t xml:space="preserve"> Program Measure Lifetime</w:t>
      </w:r>
      <w:bookmarkEnd w:id="99"/>
    </w:p>
    <w:p w14:paraId="4CEB7E4F" w14:textId="0C0D5B81" w:rsidR="00810FAC" w:rsidRDefault="00810FAC" w:rsidP="004448A6">
      <w:pPr>
        <w:jc w:val="center"/>
      </w:pPr>
      <w:r w:rsidRPr="00C50014">
        <w:rPr>
          <w:noProof/>
        </w:rPr>
        <w:drawing>
          <wp:inline distT="0" distB="0" distL="0" distR="0" wp14:anchorId="2CC98D35" wp14:editId="4B3B02E5">
            <wp:extent cx="6088380" cy="376235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334" b="1"/>
                    <a:stretch/>
                  </pic:blipFill>
                  <pic:spPr bwMode="auto">
                    <a:xfrm>
                      <a:off x="0" y="0"/>
                      <a:ext cx="6104931" cy="3772578"/>
                    </a:xfrm>
                    <a:prstGeom prst="rect">
                      <a:avLst/>
                    </a:prstGeom>
                    <a:noFill/>
                    <a:ln>
                      <a:noFill/>
                    </a:ln>
                    <a:extLst>
                      <a:ext uri="{53640926-AAD7-44D8-BBD7-CCE9431645EC}">
                        <a14:shadowObscured xmlns:a14="http://schemas.microsoft.com/office/drawing/2010/main"/>
                      </a:ext>
                    </a:extLst>
                  </pic:spPr>
                </pic:pic>
              </a:graphicData>
            </a:graphic>
          </wp:inline>
        </w:drawing>
      </w:r>
    </w:p>
    <w:p w14:paraId="015988AD" w14:textId="77777777" w:rsidR="00810FAC" w:rsidRPr="00196931" w:rsidRDefault="00810FAC" w:rsidP="00CF0D49">
      <w:pPr>
        <w:pStyle w:val="CH5TableSource"/>
      </w:pPr>
      <w:r w:rsidRPr="00147909">
        <w:t>Source</w:t>
      </w:r>
      <w:r w:rsidRPr="00196931">
        <w:t>:</w:t>
      </w:r>
      <w:r>
        <w:t xml:space="preserve"> LBNL 2015a</w:t>
      </w:r>
    </w:p>
    <w:p w14:paraId="531C9AC4" w14:textId="7854813E" w:rsidR="00810FAC" w:rsidRPr="00D33008" w:rsidRDefault="00810FAC" w:rsidP="00810FAC">
      <w:pPr>
        <w:pStyle w:val="CH5BodyText"/>
      </w:pPr>
      <w:r>
        <w:t xml:space="preserve">The weighted-average EE program measure lifetime of 10.2 years for the entire population of data in the LBNL analysis is roughly consistent with a </w:t>
      </w:r>
      <w:r w:rsidRPr="005476DC">
        <w:t>2014</w:t>
      </w:r>
      <w:r>
        <w:t xml:space="preserve"> </w:t>
      </w:r>
      <w:r w:rsidRPr="005476DC">
        <w:t xml:space="preserve">ACEEE </w:t>
      </w:r>
      <w:r>
        <w:t>study that found an average measure life of 10.6 years based on electricity EE program data across all sectors in 20 states (ACEEE 2014d). A</w:t>
      </w:r>
      <w:r w:rsidRPr="005476DC">
        <w:t xml:space="preserve"> more common approach in other studies is to assume a portfolio with no diversity of measure lives, with the entirety of incremental savings being realized in each year from the first through the full average measure life and then dropping to zero in the following year. </w:t>
      </w:r>
      <w:r>
        <w:t xml:space="preserve">By comparison, the approach used here is a </w:t>
      </w:r>
      <w:r w:rsidRPr="005476DC">
        <w:t>conservative</w:t>
      </w:r>
      <w:r>
        <w:t xml:space="preserve"> one</w:t>
      </w:r>
      <w:r w:rsidRPr="005476DC">
        <w:t xml:space="preserve">, leading to </w:t>
      </w:r>
      <w:r>
        <w:t>the same quantity of total energy savings, but with a greater portion of the savings occurring in later years than occur with the more common, simpler approach of using a single average measure life to represent the entire portfolio of EE programs.</w:t>
      </w:r>
    </w:p>
    <w:p w14:paraId="0B6A38D5" w14:textId="77777777" w:rsidR="00810FAC" w:rsidRPr="00D33008" w:rsidRDefault="00810FAC" w:rsidP="009148E2">
      <w:pPr>
        <w:pStyle w:val="Heading3"/>
      </w:pPr>
      <w:bookmarkStart w:id="100" w:name="_Toc424721580"/>
      <w:r w:rsidRPr="00D33008">
        <w:t xml:space="preserve">Step 7: Determine Sustainability of </w:t>
      </w:r>
      <w:r>
        <w:t xml:space="preserve">EE Plan Scenario </w:t>
      </w:r>
      <w:r w:rsidRPr="00D33008">
        <w:t>Level of Performance</w:t>
      </w:r>
      <w:bookmarkEnd w:id="100"/>
    </w:p>
    <w:p w14:paraId="0512FEE0" w14:textId="77777777" w:rsidR="00810FAC" w:rsidRPr="00D33008" w:rsidRDefault="00810FAC" w:rsidP="00810FAC">
      <w:pPr>
        <w:pStyle w:val="CH5BodyText"/>
      </w:pPr>
      <w:r w:rsidRPr="00D33008">
        <w:t xml:space="preserve">For construction of the best practices scenario, once a state achieves the best practices level of performance, the EPA has kept the level of performance constant through </w:t>
      </w:r>
      <w:r>
        <w:t xml:space="preserve">the analysis </w:t>
      </w:r>
      <w:r>
        <w:lastRenderedPageBreak/>
        <w:t>period</w:t>
      </w:r>
      <w:r w:rsidRPr="00D33008">
        <w:t>.</w:t>
      </w:r>
      <w:r>
        <w:t xml:space="preserve"> </w:t>
      </w:r>
      <w:r w:rsidRPr="00D33008">
        <w:t xml:space="preserve">Limited empirical data suggests the reasonableness of this approach; however, comprehensive data, across all regions and states, does not exist because these levels of performance have not been achieved and sustained </w:t>
      </w:r>
      <w:r w:rsidRPr="00D33008">
        <w:rPr>
          <w:u w:val="single"/>
        </w:rPr>
        <w:t>nationwide</w:t>
      </w:r>
      <w:r w:rsidRPr="00D33008">
        <w:t xml:space="preserve"> previously. The Northwest Power Conservation Council (NPCC) provides one such example. NPCC has been conducting the most consistent and long-running series of evaluations of achievable cost-effective potential in the country, updated every five years, as part of their five-state</w:t>
      </w:r>
      <w:r w:rsidRPr="00D33008">
        <w:rPr>
          <w:rStyle w:val="FootnoteReference"/>
        </w:rPr>
        <w:footnoteReference w:id="37"/>
      </w:r>
      <w:r w:rsidRPr="00D33008">
        <w:t xml:space="preserve"> regional energy resource plans</w:t>
      </w:r>
      <w:r>
        <w:t xml:space="preserve"> (NPCC 2010)</w:t>
      </w:r>
      <w:r w:rsidRPr="00D33008">
        <w:t xml:space="preserve">. These analyses have become more detailed, reliable, and purposeful over time. Since 1998, NPCC’s estimates of achievable potential have more than tripled even as evaluated electricity savings from </w:t>
      </w:r>
      <w:r>
        <w:t>EE</w:t>
      </w:r>
      <w:r w:rsidRPr="00D33008">
        <w:t xml:space="preserve"> programs have increased rapidly, more than quadrupling between 1998 and 2010 (while levelized costs of saved energy achieved have remained flat), and exceeding plan targets every year since 2005. A study of the NPCC results concludes: “our research shows that when programs invest in higher levels of efficiency, this helps drive measurement improvements and technical innovation, resulting in larger and more reliable conservation supply estimates”</w:t>
      </w:r>
      <w:r>
        <w:t xml:space="preserve"> (NPCC 2008).</w:t>
      </w:r>
      <w:r w:rsidRPr="00D33008">
        <w:t xml:space="preserve"> Table 1</w:t>
      </w:r>
      <w:r>
        <w:t>5</w:t>
      </w:r>
      <w:r w:rsidRPr="00D33008">
        <w:t xml:space="preserve"> summarizes the NPCC’s achievable potential estimates and evaluated savings since 1998</w:t>
      </w:r>
      <w:r>
        <w:t xml:space="preserve"> (NPCC 2010)</w:t>
      </w:r>
      <w:r w:rsidRPr="00D33008">
        <w:t>.</w:t>
      </w:r>
    </w:p>
    <w:p w14:paraId="44C89365" w14:textId="5CEF14D8" w:rsidR="00810FAC" w:rsidRPr="00D33008" w:rsidRDefault="00810FAC" w:rsidP="007B2A82">
      <w:pPr>
        <w:pStyle w:val="CH5TableTitle"/>
      </w:pPr>
      <w:bookmarkStart w:id="101" w:name="_Toc424720265"/>
      <w:r w:rsidRPr="00D33008">
        <w:t>T</w:t>
      </w:r>
      <w:r>
        <w:t>able</w:t>
      </w:r>
      <w:r w:rsidRPr="00D33008">
        <w:t xml:space="preserve"> 1</w:t>
      </w:r>
      <w:r>
        <w:t xml:space="preserve">5. </w:t>
      </w:r>
      <w:r w:rsidRPr="00D33008">
        <w:t>NPCC Achievable EE Potential and Achieved Incremental Savings (1998-2010)</w:t>
      </w:r>
      <w:bookmarkEnd w:id="101"/>
    </w:p>
    <w:tbl>
      <w:tblPr>
        <w:tblStyle w:val="TableGrid"/>
        <w:tblW w:w="0" w:type="auto"/>
        <w:tblLook w:val="04A0" w:firstRow="1" w:lastRow="0" w:firstColumn="1" w:lastColumn="0" w:noHBand="0" w:noVBand="1"/>
      </w:tblPr>
      <w:tblGrid>
        <w:gridCol w:w="4225"/>
        <w:gridCol w:w="1708"/>
        <w:gridCol w:w="1708"/>
        <w:gridCol w:w="1709"/>
      </w:tblGrid>
      <w:tr w:rsidR="00810FAC" w:rsidRPr="00D33008" w14:paraId="7C3BF8F8" w14:textId="77777777" w:rsidTr="00810FAC">
        <w:trPr>
          <w:tblHeader/>
        </w:trPr>
        <w:tc>
          <w:tcPr>
            <w:tcW w:w="4225" w:type="dxa"/>
            <w:vMerge w:val="restart"/>
            <w:shd w:val="clear" w:color="auto" w:fill="D9D9D9" w:themeFill="background1" w:themeFillShade="D9"/>
            <w:vAlign w:val="center"/>
          </w:tcPr>
          <w:p w14:paraId="5DCB501F" w14:textId="77777777" w:rsidR="00810FAC" w:rsidRPr="00D33008" w:rsidRDefault="00810FAC" w:rsidP="00CF0D49">
            <w:pPr>
              <w:pStyle w:val="TableText"/>
              <w:keepNext/>
            </w:pPr>
          </w:p>
        </w:tc>
        <w:tc>
          <w:tcPr>
            <w:tcW w:w="5125" w:type="dxa"/>
            <w:gridSpan w:val="3"/>
            <w:shd w:val="clear" w:color="auto" w:fill="D9D9D9" w:themeFill="background1" w:themeFillShade="D9"/>
            <w:vAlign w:val="center"/>
          </w:tcPr>
          <w:p w14:paraId="5BCDAB92" w14:textId="77777777" w:rsidR="00810FAC" w:rsidRPr="00D33008" w:rsidRDefault="00810FAC" w:rsidP="00CF0D49">
            <w:pPr>
              <w:pStyle w:val="TableText"/>
              <w:keepNext/>
              <w:rPr>
                <w:rFonts w:cs="Times New Roman"/>
                <w:b/>
                <w:szCs w:val="24"/>
              </w:rPr>
            </w:pPr>
            <w:r w:rsidRPr="00D33008">
              <w:rPr>
                <w:rFonts w:cs="Times New Roman"/>
                <w:b/>
                <w:szCs w:val="24"/>
              </w:rPr>
              <w:t>Year</w:t>
            </w:r>
          </w:p>
        </w:tc>
      </w:tr>
      <w:tr w:rsidR="00810FAC" w:rsidRPr="00D33008" w14:paraId="6DC6ACC1" w14:textId="77777777" w:rsidTr="00810FAC">
        <w:trPr>
          <w:tblHeader/>
        </w:trPr>
        <w:tc>
          <w:tcPr>
            <w:tcW w:w="4225" w:type="dxa"/>
            <w:vMerge/>
            <w:shd w:val="clear" w:color="auto" w:fill="D9D9D9" w:themeFill="background1" w:themeFillShade="D9"/>
            <w:vAlign w:val="center"/>
          </w:tcPr>
          <w:p w14:paraId="23CB48BE" w14:textId="77777777" w:rsidR="00810FAC" w:rsidRPr="00D33008" w:rsidRDefault="00810FAC" w:rsidP="00CF0D49">
            <w:pPr>
              <w:pStyle w:val="TableText"/>
              <w:keepNext/>
            </w:pPr>
          </w:p>
        </w:tc>
        <w:tc>
          <w:tcPr>
            <w:tcW w:w="1708" w:type="dxa"/>
            <w:shd w:val="clear" w:color="auto" w:fill="D9D9D9" w:themeFill="background1" w:themeFillShade="D9"/>
            <w:vAlign w:val="center"/>
          </w:tcPr>
          <w:p w14:paraId="48B2643C" w14:textId="77777777" w:rsidR="00810FAC" w:rsidRPr="00D33008" w:rsidRDefault="00810FAC" w:rsidP="00CF0D49">
            <w:pPr>
              <w:pStyle w:val="TableText"/>
              <w:keepNext/>
              <w:rPr>
                <w:rFonts w:cs="Times New Roman"/>
                <w:b/>
                <w:szCs w:val="24"/>
              </w:rPr>
            </w:pPr>
            <w:r w:rsidRPr="00D33008">
              <w:rPr>
                <w:rFonts w:cs="Times New Roman"/>
                <w:b/>
                <w:szCs w:val="24"/>
              </w:rPr>
              <w:t>1998</w:t>
            </w:r>
          </w:p>
        </w:tc>
        <w:tc>
          <w:tcPr>
            <w:tcW w:w="1708" w:type="dxa"/>
            <w:shd w:val="clear" w:color="auto" w:fill="D9D9D9" w:themeFill="background1" w:themeFillShade="D9"/>
            <w:vAlign w:val="center"/>
          </w:tcPr>
          <w:p w14:paraId="7EBC2903" w14:textId="77777777" w:rsidR="00810FAC" w:rsidRPr="00D33008" w:rsidRDefault="00810FAC" w:rsidP="00CF0D49">
            <w:pPr>
              <w:pStyle w:val="TableText"/>
              <w:keepNext/>
              <w:rPr>
                <w:rFonts w:cs="Times New Roman"/>
                <w:b/>
                <w:szCs w:val="24"/>
              </w:rPr>
            </w:pPr>
            <w:r w:rsidRPr="00D33008">
              <w:rPr>
                <w:rFonts w:cs="Times New Roman"/>
                <w:b/>
                <w:szCs w:val="24"/>
              </w:rPr>
              <w:t>2005</w:t>
            </w:r>
          </w:p>
        </w:tc>
        <w:tc>
          <w:tcPr>
            <w:tcW w:w="1709" w:type="dxa"/>
            <w:shd w:val="clear" w:color="auto" w:fill="D9D9D9" w:themeFill="background1" w:themeFillShade="D9"/>
            <w:vAlign w:val="center"/>
          </w:tcPr>
          <w:p w14:paraId="137E426B" w14:textId="77777777" w:rsidR="00810FAC" w:rsidRPr="00D33008" w:rsidRDefault="00810FAC" w:rsidP="00CF0D49">
            <w:pPr>
              <w:pStyle w:val="TableText"/>
              <w:keepNext/>
              <w:rPr>
                <w:rFonts w:cs="Times New Roman"/>
                <w:b/>
                <w:szCs w:val="24"/>
              </w:rPr>
            </w:pPr>
            <w:r w:rsidRPr="00D33008">
              <w:rPr>
                <w:rFonts w:cs="Times New Roman"/>
                <w:b/>
                <w:szCs w:val="24"/>
              </w:rPr>
              <w:t>2010</w:t>
            </w:r>
          </w:p>
        </w:tc>
      </w:tr>
      <w:tr w:rsidR="00810FAC" w:rsidRPr="00D33008" w14:paraId="06CE121C" w14:textId="77777777" w:rsidTr="00810FAC">
        <w:tc>
          <w:tcPr>
            <w:tcW w:w="4225" w:type="dxa"/>
            <w:vAlign w:val="center"/>
          </w:tcPr>
          <w:p w14:paraId="79DE568E" w14:textId="77777777" w:rsidR="00810FAC" w:rsidRPr="00D33008" w:rsidRDefault="00810FAC" w:rsidP="00CF0D49">
            <w:pPr>
              <w:pStyle w:val="TableText"/>
              <w:keepNext/>
              <w:rPr>
                <w:rFonts w:cs="Times New Roman"/>
                <w:b/>
                <w:szCs w:val="24"/>
              </w:rPr>
            </w:pPr>
            <w:r w:rsidRPr="00D33008">
              <w:rPr>
                <w:rFonts w:cs="Times New Roman"/>
                <w:b/>
                <w:szCs w:val="24"/>
              </w:rPr>
              <w:t>Achievable Potential over 20 Years</w:t>
            </w:r>
          </w:p>
          <w:p w14:paraId="61AB7BE5" w14:textId="77777777" w:rsidR="00810FAC" w:rsidRPr="00D33008" w:rsidRDefault="00810FAC" w:rsidP="00CF0D49">
            <w:pPr>
              <w:pStyle w:val="TableText"/>
              <w:keepNext/>
              <w:rPr>
                <w:rFonts w:cs="Times New Roman"/>
                <w:b/>
                <w:szCs w:val="24"/>
              </w:rPr>
            </w:pPr>
            <w:r w:rsidRPr="00D33008">
              <w:rPr>
                <w:rFonts w:cs="Times New Roman"/>
                <w:b/>
                <w:szCs w:val="24"/>
              </w:rPr>
              <w:t>(GWh)</w:t>
            </w:r>
          </w:p>
        </w:tc>
        <w:tc>
          <w:tcPr>
            <w:tcW w:w="1708" w:type="dxa"/>
            <w:vAlign w:val="center"/>
          </w:tcPr>
          <w:p w14:paraId="0ABCF934" w14:textId="77777777" w:rsidR="00810FAC" w:rsidRPr="00D33008" w:rsidRDefault="00810FAC" w:rsidP="00CF0D49">
            <w:pPr>
              <w:pStyle w:val="TableText"/>
              <w:keepNext/>
              <w:rPr>
                <w:rFonts w:cs="Times New Roman"/>
                <w:szCs w:val="24"/>
              </w:rPr>
            </w:pPr>
            <w:r w:rsidRPr="00D33008">
              <w:rPr>
                <w:rFonts w:cs="Times New Roman"/>
                <w:szCs w:val="24"/>
              </w:rPr>
              <w:t>13,447</w:t>
            </w:r>
          </w:p>
        </w:tc>
        <w:tc>
          <w:tcPr>
            <w:tcW w:w="1708" w:type="dxa"/>
            <w:vAlign w:val="center"/>
          </w:tcPr>
          <w:p w14:paraId="0EB100C8" w14:textId="77777777" w:rsidR="00810FAC" w:rsidRPr="00D33008" w:rsidRDefault="00810FAC" w:rsidP="00CF0D49">
            <w:pPr>
              <w:pStyle w:val="TableText"/>
              <w:keepNext/>
              <w:rPr>
                <w:rFonts w:cs="Times New Roman"/>
                <w:szCs w:val="24"/>
              </w:rPr>
            </w:pPr>
            <w:r w:rsidRPr="00D33008">
              <w:rPr>
                <w:rFonts w:cs="Times New Roman"/>
                <w:szCs w:val="24"/>
              </w:rPr>
              <w:t>24,651</w:t>
            </w:r>
          </w:p>
        </w:tc>
        <w:tc>
          <w:tcPr>
            <w:tcW w:w="1709" w:type="dxa"/>
            <w:vAlign w:val="center"/>
          </w:tcPr>
          <w:p w14:paraId="3777B7AC" w14:textId="77777777" w:rsidR="00810FAC" w:rsidRPr="00D33008" w:rsidRDefault="00810FAC" w:rsidP="00CF0D49">
            <w:pPr>
              <w:pStyle w:val="TableText"/>
              <w:keepNext/>
              <w:rPr>
                <w:rFonts w:cs="Times New Roman"/>
                <w:szCs w:val="24"/>
              </w:rPr>
            </w:pPr>
            <w:r w:rsidRPr="00D33008">
              <w:rPr>
                <w:rFonts w:cs="Times New Roman"/>
                <w:szCs w:val="24"/>
              </w:rPr>
              <w:t>51,684</w:t>
            </w:r>
          </w:p>
        </w:tc>
      </w:tr>
      <w:tr w:rsidR="00810FAC" w:rsidRPr="00D33008" w14:paraId="62840F5A" w14:textId="77777777" w:rsidTr="00810FAC">
        <w:tc>
          <w:tcPr>
            <w:tcW w:w="4225" w:type="dxa"/>
            <w:vAlign w:val="center"/>
          </w:tcPr>
          <w:p w14:paraId="2A9980BC" w14:textId="77777777" w:rsidR="00810FAC" w:rsidRPr="00D33008" w:rsidRDefault="00810FAC" w:rsidP="00CF0D49">
            <w:pPr>
              <w:pStyle w:val="TableText"/>
              <w:keepNext/>
              <w:rPr>
                <w:rFonts w:cs="Times New Roman"/>
                <w:b/>
                <w:szCs w:val="24"/>
              </w:rPr>
            </w:pPr>
            <w:r w:rsidRPr="00D33008">
              <w:rPr>
                <w:rFonts w:cs="Times New Roman"/>
                <w:b/>
                <w:szCs w:val="24"/>
              </w:rPr>
              <w:t xml:space="preserve">Achieved Incremental Savings </w:t>
            </w:r>
            <w:r>
              <w:rPr>
                <w:rFonts w:cs="Times New Roman"/>
                <w:b/>
                <w:szCs w:val="24"/>
              </w:rPr>
              <w:br/>
            </w:r>
            <w:r w:rsidRPr="00D33008">
              <w:rPr>
                <w:rFonts w:cs="Times New Roman"/>
                <w:b/>
                <w:szCs w:val="24"/>
              </w:rPr>
              <w:t xml:space="preserve">from EE Programs </w:t>
            </w:r>
            <w:r>
              <w:rPr>
                <w:rFonts w:cs="Times New Roman"/>
                <w:b/>
                <w:szCs w:val="24"/>
              </w:rPr>
              <w:br/>
            </w:r>
            <w:r w:rsidRPr="00D33008">
              <w:rPr>
                <w:rFonts w:cs="Times New Roman"/>
                <w:b/>
                <w:szCs w:val="24"/>
              </w:rPr>
              <w:t>(GWh)</w:t>
            </w:r>
          </w:p>
        </w:tc>
        <w:tc>
          <w:tcPr>
            <w:tcW w:w="1708" w:type="dxa"/>
            <w:vAlign w:val="center"/>
          </w:tcPr>
          <w:p w14:paraId="5DEC677D" w14:textId="77777777" w:rsidR="00810FAC" w:rsidRPr="00D33008" w:rsidRDefault="00810FAC" w:rsidP="00CF0D49">
            <w:pPr>
              <w:pStyle w:val="TableText"/>
              <w:keepNext/>
              <w:rPr>
                <w:rFonts w:cs="Times New Roman"/>
                <w:szCs w:val="24"/>
              </w:rPr>
            </w:pPr>
            <w:r w:rsidRPr="00D33008">
              <w:rPr>
                <w:rFonts w:cs="Times New Roman"/>
                <w:szCs w:val="24"/>
              </w:rPr>
              <w:t>547</w:t>
            </w:r>
          </w:p>
        </w:tc>
        <w:tc>
          <w:tcPr>
            <w:tcW w:w="1708" w:type="dxa"/>
            <w:vAlign w:val="center"/>
          </w:tcPr>
          <w:p w14:paraId="514B1348" w14:textId="77777777" w:rsidR="00810FAC" w:rsidRPr="00D33008" w:rsidRDefault="00810FAC" w:rsidP="00CF0D49">
            <w:pPr>
              <w:pStyle w:val="TableText"/>
              <w:keepNext/>
              <w:rPr>
                <w:rFonts w:cs="Times New Roman"/>
                <w:szCs w:val="24"/>
              </w:rPr>
            </w:pPr>
            <w:r w:rsidRPr="00D33008">
              <w:rPr>
                <w:rFonts w:cs="Times New Roman"/>
                <w:szCs w:val="24"/>
              </w:rPr>
              <w:t>1,184</w:t>
            </w:r>
          </w:p>
        </w:tc>
        <w:tc>
          <w:tcPr>
            <w:tcW w:w="1709" w:type="dxa"/>
            <w:vAlign w:val="center"/>
          </w:tcPr>
          <w:p w14:paraId="482F8813" w14:textId="77777777" w:rsidR="00810FAC" w:rsidRPr="00D33008" w:rsidRDefault="00810FAC" w:rsidP="00CF0D49">
            <w:pPr>
              <w:pStyle w:val="TableText"/>
              <w:keepNext/>
              <w:rPr>
                <w:rFonts w:cs="Times New Roman"/>
                <w:szCs w:val="24"/>
              </w:rPr>
            </w:pPr>
            <w:r w:rsidRPr="00D33008">
              <w:rPr>
                <w:rFonts w:cs="Times New Roman"/>
                <w:szCs w:val="24"/>
              </w:rPr>
              <w:t>2,248</w:t>
            </w:r>
          </w:p>
        </w:tc>
      </w:tr>
    </w:tbl>
    <w:p w14:paraId="7F4DD059" w14:textId="77777777" w:rsidR="00810FAC" w:rsidRPr="00196931" w:rsidRDefault="00810FAC" w:rsidP="00CF0D49">
      <w:pPr>
        <w:pStyle w:val="CH5TableSource"/>
      </w:pPr>
      <w:r w:rsidRPr="00147909">
        <w:t>Source</w:t>
      </w:r>
      <w:r w:rsidRPr="00196931">
        <w:t>:</w:t>
      </w:r>
      <w:r>
        <w:t xml:space="preserve"> NPCC 2010</w:t>
      </w:r>
    </w:p>
    <w:p w14:paraId="673EF2AC" w14:textId="584D5AFC" w:rsidR="00810FAC" w:rsidRPr="00D33008" w:rsidRDefault="00810FAC" w:rsidP="00810FAC">
      <w:pPr>
        <w:pStyle w:val="CH5BodyText"/>
      </w:pPr>
      <w:r w:rsidRPr="00D33008">
        <w:t>Additional substantiation of this approach is provided by average annual achievable rates from reviewed studies, as discussed previously, and comparison of those with the rates resulting from the best practices scenario. We address this in a later section,</w:t>
      </w:r>
      <w:r>
        <w:t xml:space="preserve"> </w:t>
      </w:r>
      <w:r w:rsidRPr="00B562BA">
        <w:t>8.4.2,</w:t>
      </w:r>
      <w:r w:rsidRPr="00D33008">
        <w:t xml:space="preserve"> after presenting those results.</w:t>
      </w:r>
    </w:p>
    <w:p w14:paraId="74F09290" w14:textId="77777777" w:rsidR="00810FAC" w:rsidRPr="00D33008" w:rsidRDefault="00810FAC" w:rsidP="009148E2">
      <w:pPr>
        <w:pStyle w:val="Heading3"/>
      </w:pPr>
      <w:bookmarkStart w:id="102" w:name="_Toc424721581"/>
      <w:r w:rsidRPr="00D33008">
        <w:lastRenderedPageBreak/>
        <w:t xml:space="preserve">Summary of </w:t>
      </w:r>
      <w:r>
        <w:t>the Demand-Side EE Plan Scenario</w:t>
      </w:r>
      <w:r w:rsidRPr="00D33008">
        <w:t xml:space="preserve"> Construction</w:t>
      </w:r>
      <w:bookmarkEnd w:id="102"/>
    </w:p>
    <w:p w14:paraId="4C339599" w14:textId="77777777" w:rsidR="00810FAC" w:rsidRPr="00D33008" w:rsidRDefault="00810FAC" w:rsidP="00810FAC">
      <w:pPr>
        <w:pStyle w:val="CH5BodyText"/>
      </w:pPr>
      <w:r w:rsidRPr="00D33008">
        <w:t>Table 1</w:t>
      </w:r>
      <w:r>
        <w:t>6</w:t>
      </w:r>
      <w:r w:rsidRPr="00D33008">
        <w:t xml:space="preserve"> provides a summary of inputs for the </w:t>
      </w:r>
      <w:r>
        <w:t xml:space="preserve">demand-side EE plan </w:t>
      </w:r>
      <w:r w:rsidRPr="00D33008">
        <w:t xml:space="preserve">scenario. The pace of improvements, average measure life, and distribution of measure lives are each conservative and, therefore, </w:t>
      </w:r>
      <w:r>
        <w:t xml:space="preserve">lead to lower cumulative savings </w:t>
      </w:r>
      <w:r w:rsidRPr="00D33008">
        <w:t xml:space="preserve">than would otherwise result. Similarly, the </w:t>
      </w:r>
      <w:r>
        <w:t>EE plan scenario</w:t>
      </w:r>
      <w:r w:rsidRPr="00D33008">
        <w:t xml:space="preserve">, being based solely on results from and requirements of EE programs, is less stringent than a level would be that accounted for potential impacts of other EE </w:t>
      </w:r>
      <w:r>
        <w:t xml:space="preserve">strategies </w:t>
      </w:r>
      <w:r w:rsidRPr="00D33008">
        <w:t>such as building energy codes, state appliance standards</w:t>
      </w:r>
      <w:r>
        <w:t>, or energy services performance contracting</w:t>
      </w:r>
      <w:r w:rsidRPr="00D33008">
        <w:t xml:space="preserve">. </w:t>
      </w:r>
    </w:p>
    <w:p w14:paraId="71FEEF03" w14:textId="5AFF7CE8" w:rsidR="00810FAC" w:rsidRPr="00D33008" w:rsidRDefault="00810FAC" w:rsidP="007300F4">
      <w:pPr>
        <w:pStyle w:val="CH5TableTitle"/>
      </w:pPr>
      <w:bookmarkStart w:id="103" w:name="_Toc424720266"/>
      <w:r w:rsidRPr="00D33008">
        <w:t>T</w:t>
      </w:r>
      <w:r>
        <w:t>able</w:t>
      </w:r>
      <w:r w:rsidRPr="00D33008">
        <w:t xml:space="preserve"> 1</w:t>
      </w:r>
      <w:r>
        <w:t xml:space="preserve">6. </w:t>
      </w:r>
      <w:r w:rsidRPr="00D33008">
        <w:t xml:space="preserve">Summary of </w:t>
      </w:r>
      <w:r>
        <w:t xml:space="preserve">Demand-Side EE Plan </w:t>
      </w:r>
      <w:r w:rsidRPr="00D33008">
        <w:t>Scenario Inputs</w:t>
      </w:r>
      <w:bookmarkEnd w:id="103"/>
    </w:p>
    <w:tbl>
      <w:tblPr>
        <w:tblStyle w:val="TableGrid"/>
        <w:tblW w:w="8730" w:type="dxa"/>
        <w:jc w:val="center"/>
        <w:tblLook w:val="04A0" w:firstRow="1" w:lastRow="0" w:firstColumn="1" w:lastColumn="0" w:noHBand="0" w:noVBand="1"/>
      </w:tblPr>
      <w:tblGrid>
        <w:gridCol w:w="4230"/>
        <w:gridCol w:w="4500"/>
      </w:tblGrid>
      <w:tr w:rsidR="00810FAC" w:rsidRPr="00D33008" w14:paraId="7901774B" w14:textId="77777777" w:rsidTr="00810FAC">
        <w:trPr>
          <w:tblHeader/>
          <w:jc w:val="center"/>
        </w:trPr>
        <w:tc>
          <w:tcPr>
            <w:tcW w:w="4230" w:type="dxa"/>
            <w:shd w:val="clear" w:color="auto" w:fill="D9D9D9" w:themeFill="background1" w:themeFillShade="D9"/>
            <w:vAlign w:val="center"/>
          </w:tcPr>
          <w:p w14:paraId="5C243D86" w14:textId="77777777" w:rsidR="00810FAC" w:rsidRPr="0014218C" w:rsidRDefault="00810FAC" w:rsidP="00810FAC">
            <w:pPr>
              <w:pStyle w:val="CH5TableText"/>
              <w:rPr>
                <w:b/>
              </w:rPr>
            </w:pPr>
            <w:r w:rsidRPr="0014218C">
              <w:rPr>
                <w:b/>
              </w:rPr>
              <w:t>Input</w:t>
            </w:r>
          </w:p>
        </w:tc>
        <w:tc>
          <w:tcPr>
            <w:tcW w:w="4500" w:type="dxa"/>
            <w:shd w:val="clear" w:color="auto" w:fill="D9D9D9" w:themeFill="background1" w:themeFillShade="D9"/>
            <w:vAlign w:val="center"/>
          </w:tcPr>
          <w:p w14:paraId="75592C32" w14:textId="77777777" w:rsidR="00810FAC" w:rsidRPr="0014218C" w:rsidRDefault="00810FAC" w:rsidP="00810FAC">
            <w:pPr>
              <w:pStyle w:val="CH5TableText"/>
              <w:rPr>
                <w:b/>
              </w:rPr>
            </w:pPr>
            <w:r>
              <w:rPr>
                <w:b/>
              </w:rPr>
              <w:t>Demand-Side EE Plan Scenario</w:t>
            </w:r>
          </w:p>
        </w:tc>
      </w:tr>
      <w:tr w:rsidR="00810FAC" w:rsidRPr="00D33008" w14:paraId="739EEAC6" w14:textId="77777777" w:rsidTr="00810FAC">
        <w:trPr>
          <w:jc w:val="center"/>
        </w:trPr>
        <w:tc>
          <w:tcPr>
            <w:tcW w:w="4230" w:type="dxa"/>
            <w:vAlign w:val="center"/>
          </w:tcPr>
          <w:p w14:paraId="484A5F46" w14:textId="77777777" w:rsidR="00810FAC" w:rsidRPr="0014218C" w:rsidRDefault="00810FAC" w:rsidP="00810FAC">
            <w:pPr>
              <w:pStyle w:val="CH5TableText"/>
              <w:rPr>
                <w:b/>
              </w:rPr>
            </w:pPr>
            <w:r w:rsidRPr="0014218C">
              <w:rPr>
                <w:b/>
              </w:rPr>
              <w:t>Current Level of Performance</w:t>
            </w:r>
            <w:r w:rsidRPr="0014218C">
              <w:rPr>
                <w:b/>
              </w:rPr>
              <w:br/>
              <w:t>(incremental savings as % of retail sales)</w:t>
            </w:r>
          </w:p>
        </w:tc>
        <w:tc>
          <w:tcPr>
            <w:tcW w:w="4500" w:type="dxa"/>
            <w:vAlign w:val="center"/>
          </w:tcPr>
          <w:p w14:paraId="6835D0FA" w14:textId="77777777" w:rsidR="00810FAC" w:rsidRPr="00D33008" w:rsidRDefault="00810FAC" w:rsidP="00810FAC">
            <w:pPr>
              <w:pStyle w:val="CH5TableText"/>
            </w:pPr>
            <w:r>
              <w:t>Calculated using data from</w:t>
            </w:r>
            <w:r w:rsidRPr="00D33008">
              <w:t xml:space="preserve"> EIA 861 (201</w:t>
            </w:r>
            <w:r>
              <w:t>3</w:t>
            </w:r>
            <w:r w:rsidRPr="00D33008">
              <w:t>)</w:t>
            </w:r>
          </w:p>
        </w:tc>
      </w:tr>
      <w:tr w:rsidR="00810FAC" w:rsidRPr="00D33008" w14:paraId="0C57D226" w14:textId="77777777" w:rsidTr="00810FAC">
        <w:trPr>
          <w:jc w:val="center"/>
        </w:trPr>
        <w:tc>
          <w:tcPr>
            <w:tcW w:w="4230" w:type="dxa"/>
            <w:vAlign w:val="center"/>
          </w:tcPr>
          <w:p w14:paraId="32A1939C" w14:textId="77777777" w:rsidR="00810FAC" w:rsidRPr="0014218C" w:rsidRDefault="00810FAC" w:rsidP="00810FAC">
            <w:pPr>
              <w:pStyle w:val="CH5TableText"/>
              <w:rPr>
                <w:b/>
              </w:rPr>
            </w:pPr>
            <w:r>
              <w:rPr>
                <w:b/>
              </w:rPr>
              <w:t xml:space="preserve">EE Plan Scenario </w:t>
            </w:r>
            <w:r w:rsidRPr="0014218C">
              <w:rPr>
                <w:b/>
              </w:rPr>
              <w:t>Level of Performance</w:t>
            </w:r>
            <w:r w:rsidRPr="0014218C">
              <w:rPr>
                <w:b/>
              </w:rPr>
              <w:br/>
              <w:t>(incremental savings as % of retails sales)</w:t>
            </w:r>
          </w:p>
        </w:tc>
        <w:tc>
          <w:tcPr>
            <w:tcW w:w="4500" w:type="dxa"/>
            <w:vAlign w:val="center"/>
          </w:tcPr>
          <w:p w14:paraId="7BA88DE0" w14:textId="77777777" w:rsidR="00810FAC" w:rsidRPr="00D33008" w:rsidRDefault="00810FAC" w:rsidP="00810FAC">
            <w:pPr>
              <w:pStyle w:val="CH5TableText"/>
            </w:pPr>
            <w:r w:rsidRPr="00D33008">
              <w:t>1.</w:t>
            </w:r>
            <w:r>
              <w:t>0</w:t>
            </w:r>
            <w:r w:rsidRPr="00D33008">
              <w:t>%</w:t>
            </w:r>
          </w:p>
        </w:tc>
      </w:tr>
      <w:tr w:rsidR="00810FAC" w:rsidRPr="00D33008" w14:paraId="5F3F74F8" w14:textId="77777777" w:rsidTr="00810FAC">
        <w:trPr>
          <w:jc w:val="center"/>
        </w:trPr>
        <w:tc>
          <w:tcPr>
            <w:tcW w:w="4230" w:type="dxa"/>
            <w:vAlign w:val="center"/>
          </w:tcPr>
          <w:p w14:paraId="2025B461" w14:textId="77777777" w:rsidR="00810FAC" w:rsidRPr="0014218C" w:rsidRDefault="00810FAC" w:rsidP="00810FAC">
            <w:pPr>
              <w:pStyle w:val="CH5TableText"/>
              <w:rPr>
                <w:b/>
              </w:rPr>
            </w:pPr>
            <w:r w:rsidRPr="0014218C">
              <w:rPr>
                <w:b/>
              </w:rPr>
              <w:t>Start Year</w:t>
            </w:r>
          </w:p>
        </w:tc>
        <w:tc>
          <w:tcPr>
            <w:tcW w:w="4500" w:type="dxa"/>
            <w:vAlign w:val="center"/>
          </w:tcPr>
          <w:p w14:paraId="6185A608" w14:textId="77777777" w:rsidR="00810FAC" w:rsidRPr="00D33008" w:rsidRDefault="00810FAC" w:rsidP="00810FAC">
            <w:pPr>
              <w:pStyle w:val="CH5TableText"/>
            </w:pPr>
            <w:r w:rsidRPr="000E58D2">
              <w:t>20</w:t>
            </w:r>
            <w:r>
              <w:t>20</w:t>
            </w:r>
          </w:p>
        </w:tc>
      </w:tr>
      <w:tr w:rsidR="00810FAC" w:rsidRPr="00D33008" w14:paraId="7311E04C" w14:textId="77777777" w:rsidTr="00810FAC">
        <w:trPr>
          <w:jc w:val="center"/>
        </w:trPr>
        <w:tc>
          <w:tcPr>
            <w:tcW w:w="4230" w:type="dxa"/>
            <w:vAlign w:val="center"/>
          </w:tcPr>
          <w:p w14:paraId="207735CC" w14:textId="77777777" w:rsidR="00810FAC" w:rsidRPr="0014218C" w:rsidRDefault="00810FAC" w:rsidP="00810FAC">
            <w:pPr>
              <w:pStyle w:val="CH5TableText"/>
              <w:rPr>
                <w:b/>
              </w:rPr>
            </w:pPr>
            <w:r w:rsidRPr="0014218C">
              <w:rPr>
                <w:b/>
              </w:rPr>
              <w:t>Start Year Level of Performance</w:t>
            </w:r>
          </w:p>
        </w:tc>
        <w:tc>
          <w:tcPr>
            <w:tcW w:w="4500" w:type="dxa"/>
            <w:vAlign w:val="center"/>
          </w:tcPr>
          <w:p w14:paraId="18579593" w14:textId="77777777" w:rsidR="00810FAC" w:rsidRPr="00D33008" w:rsidRDefault="00810FAC" w:rsidP="00810FAC">
            <w:pPr>
              <w:pStyle w:val="CH5TableText"/>
            </w:pPr>
            <w:r>
              <w:t>2013 level of performance</w:t>
            </w:r>
          </w:p>
        </w:tc>
      </w:tr>
      <w:tr w:rsidR="00810FAC" w:rsidRPr="00D33008" w14:paraId="125AAAD5" w14:textId="77777777" w:rsidTr="00810FAC">
        <w:trPr>
          <w:jc w:val="center"/>
        </w:trPr>
        <w:tc>
          <w:tcPr>
            <w:tcW w:w="4230" w:type="dxa"/>
            <w:vAlign w:val="center"/>
          </w:tcPr>
          <w:p w14:paraId="0FD6B0C8" w14:textId="77777777" w:rsidR="00810FAC" w:rsidRPr="0014218C" w:rsidRDefault="00810FAC" w:rsidP="00810FAC">
            <w:pPr>
              <w:pStyle w:val="CH5TableText"/>
              <w:rPr>
                <w:b/>
              </w:rPr>
            </w:pPr>
            <w:r w:rsidRPr="0014218C">
              <w:rPr>
                <w:b/>
              </w:rPr>
              <w:t>Pace of Improvement</w:t>
            </w:r>
            <w:r w:rsidRPr="0014218C">
              <w:rPr>
                <w:b/>
              </w:rPr>
              <w:br/>
              <w:t>(increase in incremental savings rate per year)</w:t>
            </w:r>
          </w:p>
        </w:tc>
        <w:tc>
          <w:tcPr>
            <w:tcW w:w="4500" w:type="dxa"/>
            <w:vAlign w:val="center"/>
          </w:tcPr>
          <w:p w14:paraId="3A48B529" w14:textId="77777777" w:rsidR="00810FAC" w:rsidRPr="00D33008" w:rsidRDefault="00810FAC" w:rsidP="00810FAC">
            <w:pPr>
              <w:pStyle w:val="CH5TableText"/>
            </w:pPr>
            <w:r w:rsidRPr="00D33008">
              <w:t>0.20% per year</w:t>
            </w:r>
          </w:p>
        </w:tc>
      </w:tr>
      <w:tr w:rsidR="00810FAC" w:rsidRPr="00D33008" w14:paraId="578671B3" w14:textId="77777777" w:rsidTr="00810FAC">
        <w:trPr>
          <w:jc w:val="center"/>
        </w:trPr>
        <w:tc>
          <w:tcPr>
            <w:tcW w:w="4230" w:type="dxa"/>
            <w:vAlign w:val="center"/>
          </w:tcPr>
          <w:p w14:paraId="3B58650D" w14:textId="77777777" w:rsidR="00810FAC" w:rsidRPr="0014218C" w:rsidRDefault="00810FAC" w:rsidP="00810FAC">
            <w:pPr>
              <w:pStyle w:val="CH5TableText"/>
              <w:rPr>
                <w:b/>
              </w:rPr>
            </w:pPr>
            <w:r w:rsidRPr="0014218C">
              <w:rPr>
                <w:b/>
              </w:rPr>
              <w:t>Average Measure Life and Distribution of Measure Lives</w:t>
            </w:r>
          </w:p>
        </w:tc>
        <w:tc>
          <w:tcPr>
            <w:tcW w:w="4500" w:type="dxa"/>
            <w:vAlign w:val="center"/>
          </w:tcPr>
          <w:p w14:paraId="49297BFD" w14:textId="77777777" w:rsidR="00810FAC" w:rsidRPr="00D33008" w:rsidRDefault="00810FAC" w:rsidP="00810FAC">
            <w:pPr>
              <w:pStyle w:val="CH5TableText"/>
            </w:pPr>
            <w:r w:rsidRPr="00D33008">
              <w:t>10</w:t>
            </w:r>
            <w:r>
              <w:t>.2</w:t>
            </w:r>
            <w:r w:rsidRPr="00D33008">
              <w:t xml:space="preserve"> years</w:t>
            </w:r>
            <w:r>
              <w:t xml:space="preserve"> </w:t>
            </w:r>
            <w:r w:rsidRPr="00266F84">
              <w:t>with a 4-tier  distribution of measure lifetime</w:t>
            </w:r>
            <w:r>
              <w:t>s (LBNL database and analysis)</w:t>
            </w:r>
          </w:p>
        </w:tc>
      </w:tr>
      <w:tr w:rsidR="00810FAC" w:rsidRPr="00D33008" w14:paraId="7B871682" w14:textId="77777777" w:rsidTr="00810FAC">
        <w:trPr>
          <w:jc w:val="center"/>
        </w:trPr>
        <w:tc>
          <w:tcPr>
            <w:tcW w:w="4230" w:type="dxa"/>
            <w:vAlign w:val="center"/>
          </w:tcPr>
          <w:p w14:paraId="5BC4C33B" w14:textId="77777777" w:rsidR="00810FAC" w:rsidRPr="0014218C" w:rsidRDefault="00810FAC" w:rsidP="00810FAC">
            <w:pPr>
              <w:pStyle w:val="CH5TableText"/>
              <w:rPr>
                <w:b/>
              </w:rPr>
            </w:pPr>
            <w:r w:rsidRPr="0014218C">
              <w:rPr>
                <w:b/>
              </w:rPr>
              <w:t>Continued Performance</w:t>
            </w:r>
          </w:p>
        </w:tc>
        <w:tc>
          <w:tcPr>
            <w:tcW w:w="4500" w:type="dxa"/>
            <w:vAlign w:val="center"/>
          </w:tcPr>
          <w:p w14:paraId="26829B28" w14:textId="77777777" w:rsidR="00810FAC" w:rsidRPr="00D33008" w:rsidRDefault="00810FAC" w:rsidP="00810FAC">
            <w:pPr>
              <w:pStyle w:val="CH5TableText"/>
            </w:pPr>
            <w:r w:rsidRPr="00D33008">
              <w:t xml:space="preserve">Once achieved, </w:t>
            </w:r>
            <w:r>
              <w:t xml:space="preserve">EE plan scenario savings </w:t>
            </w:r>
            <w:r w:rsidRPr="00D33008">
              <w:t xml:space="preserve">level </w:t>
            </w:r>
            <w:r>
              <w:t xml:space="preserve">is </w:t>
            </w:r>
            <w:r w:rsidRPr="00D33008">
              <w:t>sustained</w:t>
            </w:r>
          </w:p>
        </w:tc>
      </w:tr>
    </w:tbl>
    <w:p w14:paraId="08777649" w14:textId="1667B357" w:rsidR="00810FAC" w:rsidRPr="00196931" w:rsidRDefault="00810FAC" w:rsidP="00CF0D49">
      <w:pPr>
        <w:pStyle w:val="CH5TableSource"/>
      </w:pPr>
      <w:r w:rsidRPr="00196931">
        <w:t xml:space="preserve">Source: </w:t>
      </w:r>
      <w:r>
        <w:t>Section 8.2</w:t>
      </w:r>
    </w:p>
    <w:p w14:paraId="6A018823" w14:textId="77777777" w:rsidR="00810FAC" w:rsidRPr="00D33008" w:rsidRDefault="00810FAC" w:rsidP="009148E2">
      <w:pPr>
        <w:pStyle w:val="Heading2"/>
      </w:pPr>
      <w:bookmarkStart w:id="104" w:name="_Toc424675672"/>
      <w:bookmarkStart w:id="105" w:name="_Toc424721582"/>
      <w:r w:rsidRPr="00D33008">
        <w:t>Calculations</w:t>
      </w:r>
      <w:bookmarkEnd w:id="104"/>
      <w:bookmarkEnd w:id="105"/>
    </w:p>
    <w:p w14:paraId="57D09AB4" w14:textId="64DA4DA6" w:rsidR="00810FAC" w:rsidRPr="00D33008" w:rsidRDefault="00810FAC" w:rsidP="00810FAC">
      <w:pPr>
        <w:pStyle w:val="CH5BodyText"/>
      </w:pPr>
      <w:r w:rsidRPr="00D33008">
        <w:t xml:space="preserve">This section </w:t>
      </w:r>
      <w:r>
        <w:t>presents</w:t>
      </w:r>
      <w:r w:rsidRPr="00D33008">
        <w:t xml:space="preserve"> the calculations for determining cumulative savings levels for each state, for each year </w:t>
      </w:r>
      <w:r>
        <w:t>based on the demand-side EE plan scenario</w:t>
      </w:r>
      <w:r w:rsidRPr="00D33008">
        <w:t>. The cumulative savings levels are derived based upon the key inputs summarized in Table 1</w:t>
      </w:r>
      <w:r>
        <w:t>6</w:t>
      </w:r>
      <w:r w:rsidRPr="00D33008">
        <w:t>.</w:t>
      </w:r>
    </w:p>
    <w:p w14:paraId="78CBCC1F" w14:textId="77777777" w:rsidR="00810FAC" w:rsidRPr="00D33008" w:rsidRDefault="00810FAC" w:rsidP="00810FAC">
      <w:pPr>
        <w:pStyle w:val="CH5BodyText"/>
      </w:pPr>
      <w:r w:rsidRPr="000E58D2">
        <w:t xml:space="preserve">Calculating the net cumulative savings of the demand-side </w:t>
      </w:r>
      <w:r>
        <w:t>EE</w:t>
      </w:r>
      <w:r w:rsidRPr="000E58D2">
        <w:t xml:space="preserve"> plan </w:t>
      </w:r>
      <w:r w:rsidRPr="0052046D">
        <w:t>scenario involves six steps. For each state, for each year (</w:t>
      </w:r>
      <w:r w:rsidRPr="000E58D2">
        <w:t>2020-2030) the following steps are taken:</w:t>
      </w:r>
    </w:p>
    <w:p w14:paraId="3D62AE35" w14:textId="77777777" w:rsidR="00810FAC" w:rsidRPr="00D33008" w:rsidRDefault="00810FAC" w:rsidP="00810FAC">
      <w:pPr>
        <w:pStyle w:val="CH5NumberedList1"/>
        <w:numPr>
          <w:ilvl w:val="0"/>
          <w:numId w:val="29"/>
        </w:numPr>
      </w:pPr>
      <w:r w:rsidRPr="00D33008">
        <w:t>Determine annual business</w:t>
      </w:r>
      <w:r>
        <w:t>-</w:t>
      </w:r>
      <w:r w:rsidRPr="00D33008">
        <w:t>as</w:t>
      </w:r>
      <w:r>
        <w:t>-</w:t>
      </w:r>
      <w:r w:rsidRPr="00D33008">
        <w:t>usual (BAU) sales</w:t>
      </w:r>
    </w:p>
    <w:p w14:paraId="0DC2054B" w14:textId="77777777" w:rsidR="00810FAC" w:rsidRPr="00D33008" w:rsidRDefault="00810FAC" w:rsidP="00810FAC">
      <w:pPr>
        <w:pStyle w:val="CH5NumberedList1"/>
      </w:pPr>
      <w:r w:rsidRPr="00D33008">
        <w:t>Determine annual incremental EE savings as a percentage of sales</w:t>
      </w:r>
    </w:p>
    <w:p w14:paraId="6751C025" w14:textId="77777777" w:rsidR="00810FAC" w:rsidRPr="00D33008" w:rsidRDefault="00810FAC" w:rsidP="00810FAC">
      <w:pPr>
        <w:pStyle w:val="CH5NumberedList1"/>
      </w:pPr>
      <w:r w:rsidRPr="00D33008">
        <w:t>Determine annual incremental EE savings (GWh)</w:t>
      </w:r>
    </w:p>
    <w:p w14:paraId="46454A98" w14:textId="77777777" w:rsidR="00810FAC" w:rsidRPr="00D33008" w:rsidRDefault="00810FAC" w:rsidP="00810FAC">
      <w:pPr>
        <w:pStyle w:val="CH5NumberedList1"/>
      </w:pPr>
      <w:r w:rsidRPr="00D33008">
        <w:t>Determine annual expiring EE savings (GWh)</w:t>
      </w:r>
    </w:p>
    <w:p w14:paraId="6B4B8C6C" w14:textId="77777777" w:rsidR="00810FAC" w:rsidRDefault="00810FAC" w:rsidP="00810FAC">
      <w:pPr>
        <w:pStyle w:val="CH5NumberedList1"/>
      </w:pPr>
      <w:r w:rsidRPr="00D33008">
        <w:t>Determine net cumulative EE savings (GWh)</w:t>
      </w:r>
    </w:p>
    <w:p w14:paraId="4C56F7F4" w14:textId="77777777" w:rsidR="00810FAC" w:rsidRPr="00D33008" w:rsidRDefault="00810FAC" w:rsidP="00810FAC">
      <w:pPr>
        <w:pStyle w:val="CH5NumberedList1"/>
      </w:pPr>
      <w:r>
        <w:lastRenderedPageBreak/>
        <w:t>Determine sales after net EE (GWh)</w:t>
      </w:r>
    </w:p>
    <w:p w14:paraId="3F733B0F" w14:textId="77777777" w:rsidR="00810FAC" w:rsidRPr="00D33008" w:rsidRDefault="00810FAC" w:rsidP="00810FAC">
      <w:pPr>
        <w:pStyle w:val="CH5NumberedList1"/>
      </w:pPr>
      <w:r w:rsidRPr="00D33008">
        <w:t>Determine net cumulative EE savings as a percentage of BAU sales</w:t>
      </w:r>
    </w:p>
    <w:p w14:paraId="42AD8C1C" w14:textId="2357C907" w:rsidR="00810FAC" w:rsidRPr="00D33008" w:rsidRDefault="00810FAC" w:rsidP="00810FAC">
      <w:pPr>
        <w:pStyle w:val="CH5BodyText"/>
      </w:pPr>
      <w:r w:rsidRPr="00D33008">
        <w:t>To illustrate these calculations, each step is described and results provided for one state (using South Carolina as an example</w:t>
      </w:r>
      <w:r w:rsidRPr="000E58D2">
        <w:t>) for 2020 through 202</w:t>
      </w:r>
      <w:r>
        <w:t>7</w:t>
      </w:r>
      <w:r w:rsidRPr="000E58D2">
        <w:t>. We truncate the results at 202</w:t>
      </w:r>
      <w:r>
        <w:t>7</w:t>
      </w:r>
      <w:r w:rsidRPr="000E58D2">
        <w:t xml:space="preserve"> for simplicity, but </w:t>
      </w:r>
      <w:r>
        <w:t xml:space="preserve">all calculations and </w:t>
      </w:r>
      <w:r w:rsidRPr="000E58D2">
        <w:t xml:space="preserve">full results are presented for all states </w:t>
      </w:r>
      <w:r>
        <w:t>for all years in the spreadsheet file included as Appendix 3</w:t>
      </w:r>
      <w:r w:rsidRPr="0052046D">
        <w:t>.</w:t>
      </w:r>
    </w:p>
    <w:p w14:paraId="16E4E9F6" w14:textId="77777777" w:rsidR="00810FAC" w:rsidRPr="00D33008" w:rsidRDefault="00810FAC" w:rsidP="009148E2">
      <w:pPr>
        <w:pStyle w:val="Heading3"/>
      </w:pPr>
      <w:bookmarkStart w:id="106" w:name="_Toc424721583"/>
      <w:r w:rsidRPr="00D33008">
        <w:t>Step 1: Determine Annual Business as Usual (BAU) Sales</w:t>
      </w:r>
      <w:bookmarkEnd w:id="106"/>
    </w:p>
    <w:p w14:paraId="66F04966" w14:textId="77777777" w:rsidR="00810FAC" w:rsidRPr="00D33008" w:rsidRDefault="00810FAC" w:rsidP="00810FAC">
      <w:pPr>
        <w:pStyle w:val="CH5BodyText"/>
      </w:pPr>
      <w:r w:rsidRPr="00D33008">
        <w:t xml:space="preserve">BAU sales are derived by </w:t>
      </w:r>
      <w:r>
        <w:t xml:space="preserve">aggregating </w:t>
      </w:r>
      <w:r w:rsidRPr="00D33008">
        <w:t>201</w:t>
      </w:r>
      <w:r>
        <w:t>3</w:t>
      </w:r>
      <w:r w:rsidRPr="00D33008">
        <w:t xml:space="preserve"> sales </w:t>
      </w:r>
      <w:r>
        <w:t xml:space="preserve">to the state level using </w:t>
      </w:r>
      <w:r w:rsidRPr="00D33008">
        <w:t xml:space="preserve">EIA Form 861 </w:t>
      </w:r>
      <w:r>
        <w:t xml:space="preserve">data </w:t>
      </w:r>
      <w:r w:rsidRPr="00D33008">
        <w:t xml:space="preserve">and increasing </w:t>
      </w:r>
      <w:r>
        <w:t>the value</w:t>
      </w:r>
      <w:r w:rsidRPr="00D33008">
        <w:t xml:space="preserve"> for each subsequent year by the average annual growth rate </w:t>
      </w:r>
      <w:r>
        <w:t xml:space="preserve">(AAGR) </w:t>
      </w:r>
      <w:r w:rsidRPr="00D33008">
        <w:t>from the AEO 201</w:t>
      </w:r>
      <w:r>
        <w:t>5</w:t>
      </w:r>
      <w:r w:rsidRPr="00D33008">
        <w:t xml:space="preserve"> Reference Case for the region corresponding to the state. </w:t>
      </w:r>
      <w:r>
        <w:t>Specifically,</w:t>
      </w:r>
      <w:r w:rsidRPr="00947EB0">
        <w:t xml:space="preserve"> the AAGR from AEO 201</w:t>
      </w:r>
      <w:r>
        <w:t>5</w:t>
      </w:r>
      <w:r w:rsidRPr="00947EB0">
        <w:t xml:space="preserve"> for 201</w:t>
      </w:r>
      <w:r>
        <w:t>3</w:t>
      </w:r>
      <w:r w:rsidRPr="00947EB0">
        <w:t xml:space="preserve">-2040 </w:t>
      </w:r>
      <w:r>
        <w:t>is used to derive BAU sales f</w:t>
      </w:r>
      <w:r w:rsidRPr="00947EB0">
        <w:t>or 201</w:t>
      </w:r>
      <w:r>
        <w:t>4</w:t>
      </w:r>
      <w:r w:rsidRPr="00947EB0">
        <w:t xml:space="preserve"> through 2040</w:t>
      </w:r>
      <w:r>
        <w:t xml:space="preserve">, and </w:t>
      </w:r>
      <w:r w:rsidRPr="00947EB0">
        <w:t>the AAGR from AEO 201</w:t>
      </w:r>
      <w:r>
        <w:t>5</w:t>
      </w:r>
      <w:r w:rsidRPr="00947EB0">
        <w:t xml:space="preserve"> for 2030-2040</w:t>
      </w:r>
      <w:r>
        <w:t xml:space="preserve"> is used to derive BAU sales f</w:t>
      </w:r>
      <w:r w:rsidRPr="00947EB0">
        <w:t>or 2041 through 2050</w:t>
      </w:r>
      <w:r>
        <w:t xml:space="preserve">. </w:t>
      </w:r>
      <w:r w:rsidRPr="00D33008">
        <w:t>For South Carolina the corresponding region is S</w:t>
      </w:r>
      <w:r>
        <w:t>RVC</w:t>
      </w:r>
      <w:r w:rsidRPr="00D33008">
        <w:t xml:space="preserve"> and the </w:t>
      </w:r>
      <w:r>
        <w:t>AAGR</w:t>
      </w:r>
      <w:r w:rsidRPr="00D33008">
        <w:t xml:space="preserve"> from 201</w:t>
      </w:r>
      <w:r>
        <w:t>3-</w:t>
      </w:r>
      <w:r w:rsidRPr="00D33008">
        <w:t xml:space="preserve">2040 is </w:t>
      </w:r>
      <w:r>
        <w:t>0.88</w:t>
      </w:r>
      <w:r w:rsidRPr="00D33008">
        <w:t>% per year</w:t>
      </w:r>
      <w:r>
        <w:t xml:space="preserve"> and from 2030-2040 is 0.76% per year</w:t>
      </w:r>
      <w:r w:rsidRPr="00D33008">
        <w:t xml:space="preserve">. The resulting values are </w:t>
      </w:r>
      <w:r>
        <w:t>provided</w:t>
      </w:r>
      <w:r w:rsidRPr="00D33008">
        <w:t xml:space="preserve"> in Table 1</w:t>
      </w:r>
      <w:r>
        <w:t>7</w:t>
      </w:r>
      <w:r w:rsidRPr="00D33008">
        <w:t xml:space="preserve"> for South Carolina.</w:t>
      </w:r>
    </w:p>
    <w:p w14:paraId="2B3CAF63" w14:textId="79C7E2C3" w:rsidR="00810FAC" w:rsidRPr="00D33008" w:rsidRDefault="00810FAC" w:rsidP="007B2A82">
      <w:pPr>
        <w:pStyle w:val="CH5TableTitle"/>
      </w:pPr>
      <w:bookmarkStart w:id="107" w:name="_Toc424720267"/>
      <w:r w:rsidRPr="00D33008">
        <w:t>T</w:t>
      </w:r>
      <w:r>
        <w:t>able</w:t>
      </w:r>
      <w:r w:rsidRPr="00D33008">
        <w:t xml:space="preserve"> 1</w:t>
      </w:r>
      <w:r>
        <w:t xml:space="preserve">7. </w:t>
      </w:r>
      <w:r w:rsidRPr="00D33008">
        <w:t>BAU Sales for South Carolina</w:t>
      </w:r>
      <w:bookmarkEnd w:id="107"/>
    </w:p>
    <w:tbl>
      <w:tblPr>
        <w:tblStyle w:val="TableGrid"/>
        <w:tblW w:w="9540" w:type="dxa"/>
        <w:tblInd w:w="-5" w:type="dxa"/>
        <w:tblLayout w:type="fixed"/>
        <w:tblLook w:val="04A0" w:firstRow="1" w:lastRow="0" w:firstColumn="1" w:lastColumn="0" w:noHBand="0" w:noVBand="1"/>
      </w:tblPr>
      <w:tblGrid>
        <w:gridCol w:w="1328"/>
        <w:gridCol w:w="1026"/>
        <w:gridCol w:w="1027"/>
        <w:gridCol w:w="1026"/>
        <w:gridCol w:w="1027"/>
        <w:gridCol w:w="1026"/>
        <w:gridCol w:w="1027"/>
        <w:gridCol w:w="1026"/>
        <w:gridCol w:w="1027"/>
      </w:tblGrid>
      <w:tr w:rsidR="00810FAC" w:rsidRPr="00D33008" w14:paraId="7915BF59" w14:textId="77777777" w:rsidTr="00BF5472">
        <w:trPr>
          <w:trHeight w:val="187"/>
          <w:tblHeader/>
        </w:trPr>
        <w:tc>
          <w:tcPr>
            <w:tcW w:w="1328" w:type="dxa"/>
            <w:vMerge w:val="restart"/>
            <w:shd w:val="clear" w:color="auto" w:fill="D9D9D9" w:themeFill="background1" w:themeFillShade="D9"/>
            <w:vAlign w:val="center"/>
          </w:tcPr>
          <w:p w14:paraId="522140EE" w14:textId="77777777" w:rsidR="00810FAC" w:rsidRPr="00BF5472" w:rsidRDefault="00810FAC" w:rsidP="00CF0D49">
            <w:pPr>
              <w:pStyle w:val="TableText"/>
              <w:keepNext/>
              <w:rPr>
                <w:b/>
              </w:rPr>
            </w:pPr>
          </w:p>
        </w:tc>
        <w:tc>
          <w:tcPr>
            <w:tcW w:w="8212" w:type="dxa"/>
            <w:gridSpan w:val="8"/>
            <w:shd w:val="clear" w:color="auto" w:fill="D9D9D9" w:themeFill="background1" w:themeFillShade="D9"/>
          </w:tcPr>
          <w:p w14:paraId="60C4CDBD" w14:textId="77777777" w:rsidR="00810FAC" w:rsidRPr="00BF5472" w:rsidRDefault="00810FAC" w:rsidP="00CF0D49">
            <w:pPr>
              <w:pStyle w:val="TableText"/>
              <w:keepNext/>
              <w:rPr>
                <w:b/>
              </w:rPr>
            </w:pPr>
            <w:r w:rsidRPr="00BF5472">
              <w:rPr>
                <w:b/>
              </w:rPr>
              <w:t>Year</w:t>
            </w:r>
          </w:p>
        </w:tc>
      </w:tr>
      <w:tr w:rsidR="00810FAC" w:rsidRPr="00D33008" w14:paraId="0BA9700B" w14:textId="77777777" w:rsidTr="00BF5472">
        <w:trPr>
          <w:trHeight w:val="199"/>
          <w:tblHeader/>
        </w:trPr>
        <w:tc>
          <w:tcPr>
            <w:tcW w:w="1328" w:type="dxa"/>
            <w:vMerge/>
            <w:shd w:val="clear" w:color="auto" w:fill="D9D9D9" w:themeFill="background1" w:themeFillShade="D9"/>
            <w:vAlign w:val="center"/>
          </w:tcPr>
          <w:p w14:paraId="525AA48E" w14:textId="77777777" w:rsidR="00810FAC" w:rsidRPr="00BF5472" w:rsidRDefault="00810FAC" w:rsidP="00CF0D49">
            <w:pPr>
              <w:pStyle w:val="TableText"/>
              <w:keepNext/>
              <w:rPr>
                <w:b/>
              </w:rPr>
            </w:pPr>
          </w:p>
        </w:tc>
        <w:tc>
          <w:tcPr>
            <w:tcW w:w="1026" w:type="dxa"/>
            <w:shd w:val="clear" w:color="auto" w:fill="D9D9D9" w:themeFill="background1" w:themeFillShade="D9"/>
            <w:vAlign w:val="center"/>
          </w:tcPr>
          <w:p w14:paraId="7A67B2B9" w14:textId="77777777" w:rsidR="00810FAC" w:rsidRPr="00BF5472" w:rsidRDefault="00810FAC" w:rsidP="00CF0D49">
            <w:pPr>
              <w:pStyle w:val="TableText"/>
              <w:keepNext/>
              <w:rPr>
                <w:b/>
              </w:rPr>
            </w:pPr>
            <w:r w:rsidRPr="00BF5472">
              <w:rPr>
                <w:b/>
              </w:rPr>
              <w:t>2020</w:t>
            </w:r>
          </w:p>
        </w:tc>
        <w:tc>
          <w:tcPr>
            <w:tcW w:w="1027" w:type="dxa"/>
            <w:shd w:val="clear" w:color="auto" w:fill="D9D9D9" w:themeFill="background1" w:themeFillShade="D9"/>
            <w:vAlign w:val="center"/>
          </w:tcPr>
          <w:p w14:paraId="77406CEC" w14:textId="77777777" w:rsidR="00810FAC" w:rsidRPr="00BF5472" w:rsidRDefault="00810FAC" w:rsidP="00CF0D49">
            <w:pPr>
              <w:pStyle w:val="TableText"/>
              <w:keepNext/>
              <w:rPr>
                <w:b/>
              </w:rPr>
            </w:pPr>
            <w:r w:rsidRPr="00BF5472">
              <w:rPr>
                <w:b/>
              </w:rPr>
              <w:t>2021</w:t>
            </w:r>
          </w:p>
        </w:tc>
        <w:tc>
          <w:tcPr>
            <w:tcW w:w="1026" w:type="dxa"/>
            <w:shd w:val="clear" w:color="auto" w:fill="D9D9D9" w:themeFill="background1" w:themeFillShade="D9"/>
            <w:vAlign w:val="center"/>
          </w:tcPr>
          <w:p w14:paraId="7D9F948A" w14:textId="77777777" w:rsidR="00810FAC" w:rsidRPr="00BF5472" w:rsidRDefault="00810FAC" w:rsidP="00CF0D49">
            <w:pPr>
              <w:pStyle w:val="TableText"/>
              <w:keepNext/>
              <w:rPr>
                <w:b/>
              </w:rPr>
            </w:pPr>
            <w:r w:rsidRPr="00BF5472">
              <w:rPr>
                <w:b/>
              </w:rPr>
              <w:t>2022</w:t>
            </w:r>
          </w:p>
        </w:tc>
        <w:tc>
          <w:tcPr>
            <w:tcW w:w="1027" w:type="dxa"/>
            <w:shd w:val="clear" w:color="auto" w:fill="D9D9D9" w:themeFill="background1" w:themeFillShade="D9"/>
          </w:tcPr>
          <w:p w14:paraId="6E12673E" w14:textId="77777777" w:rsidR="00810FAC" w:rsidRPr="00BF5472" w:rsidRDefault="00810FAC" w:rsidP="00CF0D49">
            <w:pPr>
              <w:pStyle w:val="TableText"/>
              <w:keepNext/>
              <w:rPr>
                <w:b/>
              </w:rPr>
            </w:pPr>
            <w:r w:rsidRPr="00BF5472">
              <w:rPr>
                <w:b/>
              </w:rPr>
              <w:t>2023</w:t>
            </w:r>
          </w:p>
        </w:tc>
        <w:tc>
          <w:tcPr>
            <w:tcW w:w="1026" w:type="dxa"/>
            <w:shd w:val="clear" w:color="auto" w:fill="D9D9D9" w:themeFill="background1" w:themeFillShade="D9"/>
          </w:tcPr>
          <w:p w14:paraId="530FB221" w14:textId="77777777" w:rsidR="00810FAC" w:rsidRPr="00BF5472" w:rsidRDefault="00810FAC" w:rsidP="00CF0D49">
            <w:pPr>
              <w:pStyle w:val="TableText"/>
              <w:keepNext/>
              <w:rPr>
                <w:b/>
              </w:rPr>
            </w:pPr>
            <w:r w:rsidRPr="00BF5472">
              <w:rPr>
                <w:b/>
              </w:rPr>
              <w:t>2024</w:t>
            </w:r>
          </w:p>
        </w:tc>
        <w:tc>
          <w:tcPr>
            <w:tcW w:w="1027" w:type="dxa"/>
            <w:shd w:val="clear" w:color="auto" w:fill="D9D9D9" w:themeFill="background1" w:themeFillShade="D9"/>
          </w:tcPr>
          <w:p w14:paraId="1C317887" w14:textId="77777777" w:rsidR="00810FAC" w:rsidRPr="00BF5472" w:rsidRDefault="00810FAC" w:rsidP="00CF0D49">
            <w:pPr>
              <w:pStyle w:val="TableText"/>
              <w:keepNext/>
              <w:rPr>
                <w:b/>
              </w:rPr>
            </w:pPr>
            <w:r w:rsidRPr="00BF5472">
              <w:rPr>
                <w:b/>
              </w:rPr>
              <w:t>2025</w:t>
            </w:r>
          </w:p>
        </w:tc>
        <w:tc>
          <w:tcPr>
            <w:tcW w:w="1026" w:type="dxa"/>
            <w:shd w:val="clear" w:color="auto" w:fill="D9D9D9" w:themeFill="background1" w:themeFillShade="D9"/>
          </w:tcPr>
          <w:p w14:paraId="30E99308" w14:textId="77777777" w:rsidR="00810FAC" w:rsidRPr="00BF5472" w:rsidRDefault="00810FAC" w:rsidP="00CF0D49">
            <w:pPr>
              <w:pStyle w:val="TableText"/>
              <w:keepNext/>
              <w:rPr>
                <w:b/>
              </w:rPr>
            </w:pPr>
            <w:r w:rsidRPr="00BF5472">
              <w:rPr>
                <w:b/>
              </w:rPr>
              <w:t>2026</w:t>
            </w:r>
          </w:p>
        </w:tc>
        <w:tc>
          <w:tcPr>
            <w:tcW w:w="1027" w:type="dxa"/>
            <w:shd w:val="clear" w:color="auto" w:fill="D9D9D9" w:themeFill="background1" w:themeFillShade="D9"/>
          </w:tcPr>
          <w:p w14:paraId="0BBA7865" w14:textId="77777777" w:rsidR="00810FAC" w:rsidRPr="00BF5472" w:rsidRDefault="00810FAC" w:rsidP="00CF0D49">
            <w:pPr>
              <w:pStyle w:val="TableText"/>
              <w:keepNext/>
              <w:rPr>
                <w:b/>
              </w:rPr>
            </w:pPr>
            <w:r w:rsidRPr="00BF5472">
              <w:rPr>
                <w:b/>
              </w:rPr>
              <w:t>2027</w:t>
            </w:r>
          </w:p>
        </w:tc>
      </w:tr>
      <w:tr w:rsidR="00810FAC" w:rsidRPr="00D33008" w14:paraId="09651638" w14:textId="77777777" w:rsidTr="00810FAC">
        <w:trPr>
          <w:trHeight w:val="905"/>
        </w:trPr>
        <w:tc>
          <w:tcPr>
            <w:tcW w:w="1328" w:type="dxa"/>
            <w:vAlign w:val="center"/>
          </w:tcPr>
          <w:p w14:paraId="7E3C160E" w14:textId="77777777" w:rsidR="00810FAC" w:rsidRPr="00BF5472" w:rsidRDefault="00810FAC" w:rsidP="00BF5472">
            <w:pPr>
              <w:pStyle w:val="TableText"/>
            </w:pPr>
            <w:r w:rsidRPr="00BF5472">
              <w:t>BAU Sales</w:t>
            </w:r>
            <w:r w:rsidRPr="00BF5472">
              <w:br/>
              <w:t>(GWh)</w:t>
            </w:r>
          </w:p>
        </w:tc>
        <w:tc>
          <w:tcPr>
            <w:tcW w:w="1026" w:type="dxa"/>
            <w:vAlign w:val="center"/>
          </w:tcPr>
          <w:p w14:paraId="622722E6" w14:textId="77777777" w:rsidR="00810FAC" w:rsidRPr="00BF5472" w:rsidRDefault="00810FAC" w:rsidP="00BF5472">
            <w:pPr>
              <w:pStyle w:val="TableText"/>
            </w:pPr>
            <w:r w:rsidRPr="00BF5472">
              <w:t>83,601</w:t>
            </w:r>
          </w:p>
        </w:tc>
        <w:tc>
          <w:tcPr>
            <w:tcW w:w="1027" w:type="dxa"/>
            <w:vAlign w:val="center"/>
          </w:tcPr>
          <w:p w14:paraId="1272CFA9" w14:textId="77777777" w:rsidR="00810FAC" w:rsidRPr="00BF5472" w:rsidRDefault="00810FAC" w:rsidP="00BF5472">
            <w:pPr>
              <w:pStyle w:val="TableText"/>
            </w:pPr>
            <w:r w:rsidRPr="00BF5472">
              <w:t>84,341</w:t>
            </w:r>
          </w:p>
        </w:tc>
        <w:tc>
          <w:tcPr>
            <w:tcW w:w="1026" w:type="dxa"/>
            <w:vAlign w:val="center"/>
          </w:tcPr>
          <w:p w14:paraId="599554C5" w14:textId="77777777" w:rsidR="00810FAC" w:rsidRPr="00BF5472" w:rsidRDefault="00810FAC" w:rsidP="00BF5472">
            <w:pPr>
              <w:pStyle w:val="TableText"/>
            </w:pPr>
            <w:r w:rsidRPr="00BF5472">
              <w:t>85,087</w:t>
            </w:r>
          </w:p>
        </w:tc>
        <w:tc>
          <w:tcPr>
            <w:tcW w:w="1027" w:type="dxa"/>
            <w:vAlign w:val="center"/>
          </w:tcPr>
          <w:p w14:paraId="50E1E341" w14:textId="77777777" w:rsidR="00810FAC" w:rsidRPr="00BF5472" w:rsidRDefault="00810FAC" w:rsidP="00BF5472">
            <w:pPr>
              <w:pStyle w:val="TableText"/>
            </w:pPr>
            <w:r w:rsidRPr="00BF5472">
              <w:t>85,840</w:t>
            </w:r>
          </w:p>
        </w:tc>
        <w:tc>
          <w:tcPr>
            <w:tcW w:w="1026" w:type="dxa"/>
            <w:vAlign w:val="center"/>
          </w:tcPr>
          <w:p w14:paraId="04D81EB7" w14:textId="77777777" w:rsidR="00810FAC" w:rsidRPr="00BF5472" w:rsidRDefault="00810FAC" w:rsidP="00BF5472">
            <w:pPr>
              <w:pStyle w:val="TableText"/>
            </w:pPr>
            <w:r w:rsidRPr="00BF5472">
              <w:t>86,599</w:t>
            </w:r>
          </w:p>
        </w:tc>
        <w:tc>
          <w:tcPr>
            <w:tcW w:w="1027" w:type="dxa"/>
            <w:vAlign w:val="center"/>
          </w:tcPr>
          <w:p w14:paraId="721F0DBF" w14:textId="77777777" w:rsidR="00810FAC" w:rsidRPr="00BF5472" w:rsidRDefault="00810FAC" w:rsidP="00BF5472">
            <w:pPr>
              <w:pStyle w:val="TableText"/>
            </w:pPr>
            <w:r w:rsidRPr="00BF5472">
              <w:t>87,365</w:t>
            </w:r>
          </w:p>
        </w:tc>
        <w:tc>
          <w:tcPr>
            <w:tcW w:w="1026" w:type="dxa"/>
            <w:vAlign w:val="center"/>
          </w:tcPr>
          <w:p w14:paraId="2C5F4C3A" w14:textId="77777777" w:rsidR="00810FAC" w:rsidRPr="00BF5472" w:rsidRDefault="00810FAC" w:rsidP="00BF5472">
            <w:pPr>
              <w:pStyle w:val="TableText"/>
            </w:pPr>
            <w:r w:rsidRPr="00BF5472">
              <w:t>88,138</w:t>
            </w:r>
          </w:p>
        </w:tc>
        <w:tc>
          <w:tcPr>
            <w:tcW w:w="1027" w:type="dxa"/>
            <w:vAlign w:val="center"/>
          </w:tcPr>
          <w:p w14:paraId="5EFC2004" w14:textId="77777777" w:rsidR="00810FAC" w:rsidRPr="00BF5472" w:rsidRDefault="00810FAC" w:rsidP="00BF5472">
            <w:pPr>
              <w:pStyle w:val="TableText"/>
            </w:pPr>
            <w:r w:rsidRPr="00BF5472">
              <w:t>88,918</w:t>
            </w:r>
          </w:p>
        </w:tc>
      </w:tr>
    </w:tbl>
    <w:p w14:paraId="061210E1" w14:textId="77777777" w:rsidR="00810FAC" w:rsidRPr="0014218C" w:rsidRDefault="00810FAC" w:rsidP="00810FAC"/>
    <w:p w14:paraId="7E1E337E" w14:textId="77777777" w:rsidR="00810FAC" w:rsidRPr="00D33008" w:rsidRDefault="00810FAC" w:rsidP="009148E2">
      <w:pPr>
        <w:pStyle w:val="Heading3"/>
      </w:pPr>
      <w:bookmarkStart w:id="108" w:name="_Toc424721584"/>
      <w:r w:rsidRPr="00D33008">
        <w:t>Step 2: Determine Annual Incremental EE Savings as a Percentage of Sales</w:t>
      </w:r>
      <w:bookmarkEnd w:id="108"/>
    </w:p>
    <w:p w14:paraId="67AA6BF9" w14:textId="618DC27D" w:rsidR="00810FAC" w:rsidRPr="00D33008" w:rsidRDefault="00810FAC" w:rsidP="00810FAC">
      <w:pPr>
        <w:pStyle w:val="CH5BodyText"/>
      </w:pPr>
      <w:r w:rsidRPr="00147909">
        <w:t>Next, the 2020 value for annual incremental EE savings as a percentage of sales is set at the 2013 value based upon aggregated EIA-861 reported data (see Table 4). For South Carolina that value is 0.46%. This value is then increased by the pace of improvement of 0.2% per year until the goal level of 1.0% is reached and then held constant. The resulting values are provided in Table 18 for South Carolina.</w:t>
      </w:r>
    </w:p>
    <w:p w14:paraId="0FFD0B66" w14:textId="04534F26" w:rsidR="00810FAC" w:rsidRPr="00D33008" w:rsidRDefault="00810FAC" w:rsidP="007300F4">
      <w:pPr>
        <w:pStyle w:val="CH5TableTitle"/>
      </w:pPr>
      <w:bookmarkStart w:id="109" w:name="_Toc424720268"/>
      <w:r w:rsidRPr="00D33008">
        <w:lastRenderedPageBreak/>
        <w:t>T</w:t>
      </w:r>
      <w:r>
        <w:t>able</w:t>
      </w:r>
      <w:r w:rsidRPr="00D33008">
        <w:t xml:space="preserve"> 1</w:t>
      </w:r>
      <w:r>
        <w:t xml:space="preserve">8. </w:t>
      </w:r>
      <w:r w:rsidRPr="00D33008">
        <w:t xml:space="preserve">Annual Incremental </w:t>
      </w:r>
      <w:r>
        <w:t>EE</w:t>
      </w:r>
      <w:r w:rsidRPr="00D33008">
        <w:t xml:space="preserve"> Savings as a Percentage of Sales for South Carolina</w:t>
      </w:r>
      <w:bookmarkEnd w:id="109"/>
    </w:p>
    <w:tbl>
      <w:tblPr>
        <w:tblStyle w:val="TableGrid"/>
        <w:tblW w:w="9569" w:type="dxa"/>
        <w:tblInd w:w="-5" w:type="dxa"/>
        <w:tblLayout w:type="fixed"/>
        <w:tblLook w:val="04A0" w:firstRow="1" w:lastRow="0" w:firstColumn="1" w:lastColumn="0" w:noHBand="0" w:noVBand="1"/>
      </w:tblPr>
      <w:tblGrid>
        <w:gridCol w:w="1354"/>
        <w:gridCol w:w="1026"/>
        <w:gridCol w:w="1027"/>
        <w:gridCol w:w="1027"/>
        <w:gridCol w:w="1027"/>
        <w:gridCol w:w="1026"/>
        <w:gridCol w:w="1027"/>
        <w:gridCol w:w="1027"/>
        <w:gridCol w:w="1028"/>
      </w:tblGrid>
      <w:tr w:rsidR="00810FAC" w:rsidRPr="00D33008" w14:paraId="6B5E8FD6" w14:textId="77777777" w:rsidTr="00BF5472">
        <w:trPr>
          <w:trHeight w:val="256"/>
          <w:tblHeader/>
        </w:trPr>
        <w:tc>
          <w:tcPr>
            <w:tcW w:w="1354" w:type="dxa"/>
            <w:vMerge w:val="restart"/>
            <w:shd w:val="clear" w:color="auto" w:fill="D9D9D9" w:themeFill="background1" w:themeFillShade="D9"/>
            <w:vAlign w:val="center"/>
          </w:tcPr>
          <w:p w14:paraId="79AAF6A8" w14:textId="77777777" w:rsidR="00810FAC" w:rsidRPr="00D33008" w:rsidRDefault="00810FAC" w:rsidP="00810FAC">
            <w:pPr>
              <w:pStyle w:val="CH5TableText"/>
            </w:pPr>
          </w:p>
        </w:tc>
        <w:tc>
          <w:tcPr>
            <w:tcW w:w="8215" w:type="dxa"/>
            <w:gridSpan w:val="8"/>
            <w:shd w:val="clear" w:color="auto" w:fill="D9D9D9" w:themeFill="background1" w:themeFillShade="D9"/>
          </w:tcPr>
          <w:p w14:paraId="2EC58A7C" w14:textId="77777777" w:rsidR="00810FAC" w:rsidRPr="00D33008" w:rsidRDefault="00810FAC" w:rsidP="00810FAC">
            <w:pPr>
              <w:pStyle w:val="CH5TableText"/>
              <w:rPr>
                <w:b/>
              </w:rPr>
            </w:pPr>
            <w:r w:rsidRPr="00D33008">
              <w:rPr>
                <w:b/>
              </w:rPr>
              <w:t>Year</w:t>
            </w:r>
          </w:p>
        </w:tc>
      </w:tr>
      <w:tr w:rsidR="00810FAC" w:rsidRPr="00D33008" w14:paraId="4716D32A" w14:textId="77777777" w:rsidTr="00BF5472">
        <w:trPr>
          <w:trHeight w:val="273"/>
          <w:tblHeader/>
        </w:trPr>
        <w:tc>
          <w:tcPr>
            <w:tcW w:w="1354" w:type="dxa"/>
            <w:vMerge/>
            <w:shd w:val="clear" w:color="auto" w:fill="D9D9D9" w:themeFill="background1" w:themeFillShade="D9"/>
            <w:vAlign w:val="center"/>
          </w:tcPr>
          <w:p w14:paraId="25C0E7F3" w14:textId="77777777" w:rsidR="00810FAC" w:rsidRPr="00D33008" w:rsidRDefault="00810FAC" w:rsidP="00810FAC">
            <w:pPr>
              <w:pStyle w:val="CH5TableText"/>
            </w:pPr>
          </w:p>
        </w:tc>
        <w:tc>
          <w:tcPr>
            <w:tcW w:w="1026" w:type="dxa"/>
            <w:shd w:val="clear" w:color="auto" w:fill="D9D9D9" w:themeFill="background1" w:themeFillShade="D9"/>
            <w:vAlign w:val="center"/>
          </w:tcPr>
          <w:p w14:paraId="748F1BA2" w14:textId="77777777" w:rsidR="00810FAC" w:rsidRPr="00D33008" w:rsidRDefault="00810FAC" w:rsidP="00810FAC">
            <w:pPr>
              <w:pStyle w:val="CH5TableText"/>
              <w:rPr>
                <w:b/>
              </w:rPr>
            </w:pPr>
            <w:r w:rsidRPr="00D33008">
              <w:rPr>
                <w:b/>
              </w:rPr>
              <w:t>2020</w:t>
            </w:r>
          </w:p>
        </w:tc>
        <w:tc>
          <w:tcPr>
            <w:tcW w:w="1027" w:type="dxa"/>
            <w:shd w:val="clear" w:color="auto" w:fill="D9D9D9" w:themeFill="background1" w:themeFillShade="D9"/>
            <w:vAlign w:val="center"/>
          </w:tcPr>
          <w:p w14:paraId="31240532" w14:textId="77777777" w:rsidR="00810FAC" w:rsidRPr="00D33008" w:rsidRDefault="00810FAC" w:rsidP="00810FAC">
            <w:pPr>
              <w:pStyle w:val="CH5TableText"/>
              <w:rPr>
                <w:b/>
              </w:rPr>
            </w:pPr>
            <w:r w:rsidRPr="00D33008">
              <w:rPr>
                <w:b/>
              </w:rPr>
              <w:t>2021</w:t>
            </w:r>
          </w:p>
        </w:tc>
        <w:tc>
          <w:tcPr>
            <w:tcW w:w="1027" w:type="dxa"/>
            <w:shd w:val="clear" w:color="auto" w:fill="D9D9D9" w:themeFill="background1" w:themeFillShade="D9"/>
            <w:vAlign w:val="center"/>
          </w:tcPr>
          <w:p w14:paraId="4DE82601" w14:textId="77777777" w:rsidR="00810FAC" w:rsidRPr="00D33008" w:rsidRDefault="00810FAC" w:rsidP="00810FAC">
            <w:pPr>
              <w:pStyle w:val="CH5TableText"/>
              <w:rPr>
                <w:b/>
              </w:rPr>
            </w:pPr>
            <w:r w:rsidRPr="00D33008">
              <w:rPr>
                <w:b/>
              </w:rPr>
              <w:t>2022</w:t>
            </w:r>
          </w:p>
        </w:tc>
        <w:tc>
          <w:tcPr>
            <w:tcW w:w="1027" w:type="dxa"/>
            <w:shd w:val="clear" w:color="auto" w:fill="D9D9D9" w:themeFill="background1" w:themeFillShade="D9"/>
          </w:tcPr>
          <w:p w14:paraId="5E06E235" w14:textId="77777777" w:rsidR="00810FAC" w:rsidRPr="00D33008" w:rsidRDefault="00810FAC" w:rsidP="00810FAC">
            <w:pPr>
              <w:pStyle w:val="CH5TableText"/>
              <w:rPr>
                <w:b/>
              </w:rPr>
            </w:pPr>
            <w:r w:rsidRPr="00D33008">
              <w:rPr>
                <w:b/>
              </w:rPr>
              <w:t>2023</w:t>
            </w:r>
          </w:p>
        </w:tc>
        <w:tc>
          <w:tcPr>
            <w:tcW w:w="1026" w:type="dxa"/>
            <w:shd w:val="clear" w:color="auto" w:fill="D9D9D9" w:themeFill="background1" w:themeFillShade="D9"/>
          </w:tcPr>
          <w:p w14:paraId="4920F008" w14:textId="77777777" w:rsidR="00810FAC" w:rsidRPr="00D33008" w:rsidRDefault="00810FAC" w:rsidP="00810FAC">
            <w:pPr>
              <w:pStyle w:val="CH5TableText"/>
              <w:rPr>
                <w:b/>
              </w:rPr>
            </w:pPr>
            <w:r w:rsidRPr="00D33008">
              <w:rPr>
                <w:b/>
              </w:rPr>
              <w:t>2024</w:t>
            </w:r>
          </w:p>
        </w:tc>
        <w:tc>
          <w:tcPr>
            <w:tcW w:w="1027" w:type="dxa"/>
            <w:shd w:val="clear" w:color="auto" w:fill="D9D9D9" w:themeFill="background1" w:themeFillShade="D9"/>
          </w:tcPr>
          <w:p w14:paraId="0FA54883" w14:textId="77777777" w:rsidR="00810FAC" w:rsidRPr="00D33008" w:rsidRDefault="00810FAC" w:rsidP="00810FAC">
            <w:pPr>
              <w:pStyle w:val="CH5TableText"/>
              <w:rPr>
                <w:b/>
              </w:rPr>
            </w:pPr>
            <w:r w:rsidRPr="00D33008">
              <w:rPr>
                <w:b/>
              </w:rPr>
              <w:t>2025</w:t>
            </w:r>
          </w:p>
        </w:tc>
        <w:tc>
          <w:tcPr>
            <w:tcW w:w="1027" w:type="dxa"/>
            <w:shd w:val="clear" w:color="auto" w:fill="D9D9D9" w:themeFill="background1" w:themeFillShade="D9"/>
          </w:tcPr>
          <w:p w14:paraId="52DB88C1" w14:textId="77777777" w:rsidR="00810FAC" w:rsidRPr="00D33008" w:rsidRDefault="00810FAC" w:rsidP="00810FAC">
            <w:pPr>
              <w:pStyle w:val="CH5TableText"/>
              <w:rPr>
                <w:b/>
              </w:rPr>
            </w:pPr>
            <w:r>
              <w:rPr>
                <w:b/>
              </w:rPr>
              <w:t>2026</w:t>
            </w:r>
          </w:p>
        </w:tc>
        <w:tc>
          <w:tcPr>
            <w:tcW w:w="1027" w:type="dxa"/>
            <w:shd w:val="clear" w:color="auto" w:fill="D9D9D9" w:themeFill="background1" w:themeFillShade="D9"/>
          </w:tcPr>
          <w:p w14:paraId="4B1A32AC" w14:textId="77777777" w:rsidR="00810FAC" w:rsidRPr="00D33008" w:rsidRDefault="00810FAC" w:rsidP="00810FAC">
            <w:pPr>
              <w:pStyle w:val="CH5TableText"/>
              <w:rPr>
                <w:b/>
              </w:rPr>
            </w:pPr>
            <w:r>
              <w:rPr>
                <w:b/>
              </w:rPr>
              <w:t>2027</w:t>
            </w:r>
          </w:p>
        </w:tc>
      </w:tr>
      <w:tr w:rsidR="00810FAC" w:rsidRPr="00D33008" w14:paraId="2EFC169B" w14:textId="77777777" w:rsidTr="00810FAC">
        <w:trPr>
          <w:trHeight w:val="1237"/>
        </w:trPr>
        <w:tc>
          <w:tcPr>
            <w:tcW w:w="1354" w:type="dxa"/>
            <w:vAlign w:val="center"/>
          </w:tcPr>
          <w:p w14:paraId="51AFD490" w14:textId="77777777" w:rsidR="00810FAC" w:rsidRPr="00D33008" w:rsidRDefault="00810FAC" w:rsidP="00810FAC">
            <w:pPr>
              <w:pStyle w:val="CH5TableText"/>
              <w:rPr>
                <w:b/>
              </w:rPr>
            </w:pPr>
            <w:r w:rsidRPr="00D33008">
              <w:rPr>
                <w:b/>
              </w:rPr>
              <w:t xml:space="preserve">Annual Incremental </w:t>
            </w:r>
            <w:r>
              <w:rPr>
                <w:b/>
              </w:rPr>
              <w:t>EE</w:t>
            </w:r>
            <w:r w:rsidRPr="00D33008">
              <w:rPr>
                <w:b/>
              </w:rPr>
              <w:t xml:space="preserve"> Savings</w:t>
            </w:r>
            <w:r>
              <w:rPr>
                <w:b/>
              </w:rPr>
              <w:br/>
            </w:r>
            <w:r w:rsidRPr="00D33008">
              <w:rPr>
                <w:b/>
              </w:rPr>
              <w:t>(% sales)</w:t>
            </w:r>
          </w:p>
        </w:tc>
        <w:tc>
          <w:tcPr>
            <w:tcW w:w="1026" w:type="dxa"/>
            <w:vAlign w:val="center"/>
          </w:tcPr>
          <w:p w14:paraId="617A7E23" w14:textId="77777777" w:rsidR="00810FAC" w:rsidRPr="00D33008" w:rsidRDefault="00810FAC" w:rsidP="00810FAC">
            <w:pPr>
              <w:pStyle w:val="CH5TableText"/>
            </w:pPr>
            <w:r w:rsidRPr="00D33008">
              <w:t>0.</w:t>
            </w:r>
            <w:r>
              <w:t>46</w:t>
            </w:r>
            <w:r w:rsidRPr="00D33008">
              <w:t>%</w:t>
            </w:r>
          </w:p>
        </w:tc>
        <w:tc>
          <w:tcPr>
            <w:tcW w:w="1027" w:type="dxa"/>
            <w:vAlign w:val="center"/>
          </w:tcPr>
          <w:p w14:paraId="3345FF26" w14:textId="77777777" w:rsidR="00810FAC" w:rsidRPr="00D33008" w:rsidRDefault="00810FAC" w:rsidP="00810FAC">
            <w:pPr>
              <w:pStyle w:val="CH5TableText"/>
            </w:pPr>
            <w:r>
              <w:t>0.66</w:t>
            </w:r>
            <w:r w:rsidRPr="00D33008">
              <w:t>%</w:t>
            </w:r>
          </w:p>
        </w:tc>
        <w:tc>
          <w:tcPr>
            <w:tcW w:w="1027" w:type="dxa"/>
            <w:vAlign w:val="center"/>
          </w:tcPr>
          <w:p w14:paraId="1F5A2701" w14:textId="77777777" w:rsidR="00810FAC" w:rsidRPr="00D33008" w:rsidRDefault="00810FAC" w:rsidP="00810FAC">
            <w:pPr>
              <w:pStyle w:val="CH5TableText"/>
            </w:pPr>
            <w:r>
              <w:t>0.86</w:t>
            </w:r>
            <w:r w:rsidRPr="00D33008">
              <w:t>%</w:t>
            </w:r>
          </w:p>
        </w:tc>
        <w:tc>
          <w:tcPr>
            <w:tcW w:w="1027" w:type="dxa"/>
            <w:vAlign w:val="center"/>
          </w:tcPr>
          <w:p w14:paraId="60970ECE" w14:textId="77777777" w:rsidR="00810FAC" w:rsidRPr="00D33008" w:rsidRDefault="00810FAC" w:rsidP="00810FAC">
            <w:pPr>
              <w:pStyle w:val="CH5TableText"/>
            </w:pPr>
            <w:r w:rsidRPr="00D33008">
              <w:t>1.</w:t>
            </w:r>
            <w:r>
              <w:t>0</w:t>
            </w:r>
            <w:r w:rsidRPr="00D33008">
              <w:t>0%</w:t>
            </w:r>
          </w:p>
        </w:tc>
        <w:tc>
          <w:tcPr>
            <w:tcW w:w="1026" w:type="dxa"/>
            <w:vAlign w:val="center"/>
          </w:tcPr>
          <w:p w14:paraId="1E1FCC94" w14:textId="77777777" w:rsidR="00810FAC" w:rsidRPr="00D33008" w:rsidRDefault="00810FAC" w:rsidP="00810FAC">
            <w:pPr>
              <w:pStyle w:val="CH5TableText"/>
            </w:pPr>
            <w:r w:rsidRPr="00D33008">
              <w:t>1.</w:t>
            </w:r>
            <w:r>
              <w:t>0</w:t>
            </w:r>
            <w:r w:rsidRPr="00D33008">
              <w:t>0%</w:t>
            </w:r>
          </w:p>
        </w:tc>
        <w:tc>
          <w:tcPr>
            <w:tcW w:w="1027" w:type="dxa"/>
            <w:vAlign w:val="center"/>
          </w:tcPr>
          <w:p w14:paraId="44F81824" w14:textId="77777777" w:rsidR="00810FAC" w:rsidRPr="00D33008" w:rsidRDefault="00810FAC" w:rsidP="00810FAC">
            <w:pPr>
              <w:pStyle w:val="CH5TableText"/>
            </w:pPr>
            <w:r w:rsidRPr="00D33008">
              <w:t>1.</w:t>
            </w:r>
            <w:r>
              <w:t>0</w:t>
            </w:r>
            <w:r w:rsidRPr="00D33008">
              <w:t>0%</w:t>
            </w:r>
          </w:p>
        </w:tc>
        <w:tc>
          <w:tcPr>
            <w:tcW w:w="1027" w:type="dxa"/>
            <w:vAlign w:val="center"/>
          </w:tcPr>
          <w:p w14:paraId="7CC2F6C4" w14:textId="77777777" w:rsidR="00810FAC" w:rsidRPr="00D33008" w:rsidRDefault="00810FAC" w:rsidP="00810FAC">
            <w:pPr>
              <w:pStyle w:val="CH5TableText"/>
            </w:pPr>
            <w:r>
              <w:t>1.00%</w:t>
            </w:r>
          </w:p>
        </w:tc>
        <w:tc>
          <w:tcPr>
            <w:tcW w:w="1027" w:type="dxa"/>
            <w:vAlign w:val="center"/>
          </w:tcPr>
          <w:p w14:paraId="5E81A74D" w14:textId="77777777" w:rsidR="00810FAC" w:rsidRPr="00D33008" w:rsidRDefault="00810FAC" w:rsidP="00810FAC">
            <w:pPr>
              <w:pStyle w:val="CH5TableText"/>
            </w:pPr>
            <w:r>
              <w:t>1.00%</w:t>
            </w:r>
          </w:p>
        </w:tc>
      </w:tr>
    </w:tbl>
    <w:p w14:paraId="17FC05CA" w14:textId="77777777" w:rsidR="00810FAC" w:rsidRPr="007300F4" w:rsidRDefault="00810FAC" w:rsidP="007300F4"/>
    <w:p w14:paraId="3A76C2D1" w14:textId="77777777" w:rsidR="00810FAC" w:rsidRPr="00D33008" w:rsidRDefault="00810FAC" w:rsidP="009148E2">
      <w:pPr>
        <w:pStyle w:val="Heading3"/>
      </w:pPr>
      <w:bookmarkStart w:id="110" w:name="_Toc424721585"/>
      <w:r w:rsidRPr="00D33008">
        <w:t xml:space="preserve">Step 3: Determine Annual Incremental </w:t>
      </w:r>
      <w:r>
        <w:t>EE</w:t>
      </w:r>
      <w:r w:rsidRPr="00D33008">
        <w:t xml:space="preserve"> Savings (GWh)</w:t>
      </w:r>
      <w:bookmarkEnd w:id="110"/>
    </w:p>
    <w:p w14:paraId="791C9ABF" w14:textId="77777777" w:rsidR="00810FAC" w:rsidRDefault="00810FAC" w:rsidP="00810FAC">
      <w:pPr>
        <w:pStyle w:val="CH5BodyText"/>
      </w:pPr>
      <w:r w:rsidRPr="00D33008">
        <w:t xml:space="preserve">Annual incremental </w:t>
      </w:r>
      <w:r>
        <w:t>EE</w:t>
      </w:r>
      <w:r w:rsidRPr="00D33008">
        <w:t xml:space="preserve"> savings </w:t>
      </w:r>
      <w:r>
        <w:t xml:space="preserve">(also known as first-year savings) </w:t>
      </w:r>
      <w:r w:rsidRPr="00D33008">
        <w:t xml:space="preserve">are calculated by multiplying the annual incremental savings as a percentage of sales times the prior year sales after net </w:t>
      </w:r>
      <w:r>
        <w:t>EE</w:t>
      </w:r>
      <w:r w:rsidRPr="00D33008">
        <w:t xml:space="preserve">. The resulting values are </w:t>
      </w:r>
      <w:r>
        <w:t>provided</w:t>
      </w:r>
      <w:r w:rsidRPr="00D33008">
        <w:t xml:space="preserve"> in Table 1</w:t>
      </w:r>
      <w:r>
        <w:t>9</w:t>
      </w:r>
      <w:r w:rsidRPr="00D33008">
        <w:t xml:space="preserve"> for South Carolina.</w:t>
      </w:r>
    </w:p>
    <w:p w14:paraId="596994E2" w14:textId="0B102579" w:rsidR="00810FAC" w:rsidRPr="00D33008" w:rsidRDefault="00810FAC" w:rsidP="007300F4">
      <w:pPr>
        <w:pStyle w:val="CH5TableTitle"/>
      </w:pPr>
      <w:bookmarkStart w:id="111" w:name="_Toc424720269"/>
      <w:r w:rsidRPr="00D33008">
        <w:t>T</w:t>
      </w:r>
      <w:r>
        <w:t>able</w:t>
      </w:r>
      <w:r w:rsidRPr="00D33008">
        <w:t xml:space="preserve"> 1</w:t>
      </w:r>
      <w:r>
        <w:t xml:space="preserve">9. </w:t>
      </w:r>
      <w:r w:rsidRPr="00D33008">
        <w:t xml:space="preserve">Annual Incremental </w:t>
      </w:r>
      <w:r>
        <w:t>EE</w:t>
      </w:r>
      <w:r w:rsidRPr="00D33008">
        <w:t xml:space="preserve"> Savings</w:t>
      </w:r>
      <w:r>
        <w:t xml:space="preserve"> (GWh)</w:t>
      </w:r>
      <w:r w:rsidRPr="00D33008">
        <w:t xml:space="preserve"> for South Carolina</w:t>
      </w:r>
      <w:bookmarkEnd w:id="111"/>
    </w:p>
    <w:tbl>
      <w:tblPr>
        <w:tblStyle w:val="TableGrid"/>
        <w:tblW w:w="5082" w:type="pct"/>
        <w:jc w:val="center"/>
        <w:tblLook w:val="04A0" w:firstRow="1" w:lastRow="0" w:firstColumn="1" w:lastColumn="0" w:noHBand="0" w:noVBand="1"/>
      </w:tblPr>
      <w:tblGrid>
        <w:gridCol w:w="1261"/>
        <w:gridCol w:w="1027"/>
        <w:gridCol w:w="1027"/>
        <w:gridCol w:w="1027"/>
        <w:gridCol w:w="1031"/>
        <w:gridCol w:w="1030"/>
        <w:gridCol w:w="1030"/>
        <w:gridCol w:w="1030"/>
        <w:gridCol w:w="1040"/>
      </w:tblGrid>
      <w:tr w:rsidR="00810FAC" w:rsidRPr="00D33008" w14:paraId="21D43E5D" w14:textId="77777777" w:rsidTr="00BF5472">
        <w:trPr>
          <w:trHeight w:val="393"/>
          <w:tblHeader/>
          <w:jc w:val="center"/>
        </w:trPr>
        <w:tc>
          <w:tcPr>
            <w:tcW w:w="661" w:type="pct"/>
            <w:vMerge w:val="restart"/>
            <w:shd w:val="clear" w:color="auto" w:fill="D9D9D9" w:themeFill="background1" w:themeFillShade="D9"/>
            <w:vAlign w:val="center"/>
          </w:tcPr>
          <w:p w14:paraId="428199E9" w14:textId="77777777" w:rsidR="00810FAC" w:rsidRPr="00D33008" w:rsidRDefault="00810FAC" w:rsidP="00810FAC">
            <w:pPr>
              <w:pStyle w:val="CH5TableText"/>
            </w:pPr>
          </w:p>
        </w:tc>
        <w:tc>
          <w:tcPr>
            <w:tcW w:w="4339" w:type="pct"/>
            <w:gridSpan w:val="8"/>
            <w:shd w:val="clear" w:color="auto" w:fill="D9D9D9" w:themeFill="background1" w:themeFillShade="D9"/>
          </w:tcPr>
          <w:p w14:paraId="00FA6A7F" w14:textId="77777777" w:rsidR="00810FAC" w:rsidRPr="00D33008" w:rsidRDefault="00810FAC" w:rsidP="00810FAC">
            <w:pPr>
              <w:pStyle w:val="CH5TableText"/>
              <w:rPr>
                <w:b/>
              </w:rPr>
            </w:pPr>
            <w:r w:rsidRPr="00D33008">
              <w:rPr>
                <w:b/>
              </w:rPr>
              <w:t>Year</w:t>
            </w:r>
          </w:p>
        </w:tc>
      </w:tr>
      <w:tr w:rsidR="00810FAC" w:rsidRPr="00D33008" w14:paraId="02CE11E8" w14:textId="77777777" w:rsidTr="00BF5472">
        <w:trPr>
          <w:trHeight w:val="354"/>
          <w:tblHeader/>
          <w:jc w:val="center"/>
        </w:trPr>
        <w:tc>
          <w:tcPr>
            <w:tcW w:w="661" w:type="pct"/>
            <w:vMerge/>
            <w:shd w:val="clear" w:color="auto" w:fill="D9D9D9" w:themeFill="background1" w:themeFillShade="D9"/>
            <w:vAlign w:val="center"/>
          </w:tcPr>
          <w:p w14:paraId="6669406A" w14:textId="77777777" w:rsidR="00810FAC" w:rsidRPr="00D33008" w:rsidRDefault="00810FAC" w:rsidP="00810FAC">
            <w:pPr>
              <w:pStyle w:val="CH5TableText"/>
            </w:pPr>
          </w:p>
        </w:tc>
        <w:tc>
          <w:tcPr>
            <w:tcW w:w="541" w:type="pct"/>
            <w:shd w:val="clear" w:color="auto" w:fill="D9D9D9" w:themeFill="background1" w:themeFillShade="D9"/>
            <w:vAlign w:val="center"/>
          </w:tcPr>
          <w:p w14:paraId="6ED9048D" w14:textId="77777777" w:rsidR="00810FAC" w:rsidRPr="00D33008" w:rsidRDefault="00810FAC" w:rsidP="00810FAC">
            <w:pPr>
              <w:pStyle w:val="CH5TableText"/>
              <w:rPr>
                <w:b/>
              </w:rPr>
            </w:pPr>
            <w:r w:rsidRPr="00D33008">
              <w:rPr>
                <w:b/>
              </w:rPr>
              <w:t>2020</w:t>
            </w:r>
          </w:p>
        </w:tc>
        <w:tc>
          <w:tcPr>
            <w:tcW w:w="541" w:type="pct"/>
            <w:shd w:val="clear" w:color="auto" w:fill="D9D9D9" w:themeFill="background1" w:themeFillShade="D9"/>
            <w:vAlign w:val="center"/>
          </w:tcPr>
          <w:p w14:paraId="169075E2" w14:textId="77777777" w:rsidR="00810FAC" w:rsidRPr="00D33008" w:rsidRDefault="00810FAC" w:rsidP="00810FAC">
            <w:pPr>
              <w:pStyle w:val="CH5TableText"/>
              <w:rPr>
                <w:b/>
              </w:rPr>
            </w:pPr>
            <w:r w:rsidRPr="00D33008">
              <w:rPr>
                <w:b/>
              </w:rPr>
              <w:t>2021</w:t>
            </w:r>
          </w:p>
        </w:tc>
        <w:tc>
          <w:tcPr>
            <w:tcW w:w="541" w:type="pct"/>
            <w:shd w:val="clear" w:color="auto" w:fill="D9D9D9" w:themeFill="background1" w:themeFillShade="D9"/>
            <w:vAlign w:val="center"/>
          </w:tcPr>
          <w:p w14:paraId="3F071EDE" w14:textId="77777777" w:rsidR="00810FAC" w:rsidRPr="00D33008" w:rsidRDefault="00810FAC" w:rsidP="00810FAC">
            <w:pPr>
              <w:pStyle w:val="CH5TableText"/>
              <w:rPr>
                <w:b/>
              </w:rPr>
            </w:pPr>
            <w:r w:rsidRPr="00D33008">
              <w:rPr>
                <w:b/>
              </w:rPr>
              <w:t>2022</w:t>
            </w:r>
          </w:p>
        </w:tc>
        <w:tc>
          <w:tcPr>
            <w:tcW w:w="543" w:type="pct"/>
            <w:shd w:val="clear" w:color="auto" w:fill="D9D9D9" w:themeFill="background1" w:themeFillShade="D9"/>
          </w:tcPr>
          <w:p w14:paraId="0F37F43B" w14:textId="77777777" w:rsidR="00810FAC" w:rsidRPr="00D33008" w:rsidRDefault="00810FAC" w:rsidP="00810FAC">
            <w:pPr>
              <w:pStyle w:val="CH5TableText"/>
              <w:rPr>
                <w:b/>
              </w:rPr>
            </w:pPr>
            <w:r w:rsidRPr="00D33008">
              <w:rPr>
                <w:b/>
              </w:rPr>
              <w:t>2023</w:t>
            </w:r>
          </w:p>
        </w:tc>
        <w:tc>
          <w:tcPr>
            <w:tcW w:w="542" w:type="pct"/>
            <w:shd w:val="clear" w:color="auto" w:fill="D9D9D9" w:themeFill="background1" w:themeFillShade="D9"/>
          </w:tcPr>
          <w:p w14:paraId="70A13D25" w14:textId="77777777" w:rsidR="00810FAC" w:rsidRPr="00D33008" w:rsidRDefault="00810FAC" w:rsidP="00810FAC">
            <w:pPr>
              <w:pStyle w:val="CH5TableText"/>
              <w:rPr>
                <w:b/>
              </w:rPr>
            </w:pPr>
            <w:r w:rsidRPr="00D33008">
              <w:rPr>
                <w:b/>
              </w:rPr>
              <w:t>2024</w:t>
            </w:r>
          </w:p>
        </w:tc>
        <w:tc>
          <w:tcPr>
            <w:tcW w:w="542" w:type="pct"/>
            <w:shd w:val="clear" w:color="auto" w:fill="D9D9D9" w:themeFill="background1" w:themeFillShade="D9"/>
          </w:tcPr>
          <w:p w14:paraId="74B399BE" w14:textId="77777777" w:rsidR="00810FAC" w:rsidRPr="00D33008" w:rsidRDefault="00810FAC" w:rsidP="00810FAC">
            <w:pPr>
              <w:pStyle w:val="CH5TableText"/>
              <w:rPr>
                <w:b/>
              </w:rPr>
            </w:pPr>
            <w:r w:rsidRPr="00D33008">
              <w:rPr>
                <w:b/>
              </w:rPr>
              <w:t>2025</w:t>
            </w:r>
          </w:p>
        </w:tc>
        <w:tc>
          <w:tcPr>
            <w:tcW w:w="542" w:type="pct"/>
            <w:shd w:val="clear" w:color="auto" w:fill="D9D9D9" w:themeFill="background1" w:themeFillShade="D9"/>
          </w:tcPr>
          <w:p w14:paraId="291DFE0B" w14:textId="77777777" w:rsidR="00810FAC" w:rsidRPr="00D33008" w:rsidRDefault="00810FAC" w:rsidP="00810FAC">
            <w:pPr>
              <w:pStyle w:val="CH5TableText"/>
              <w:rPr>
                <w:b/>
              </w:rPr>
            </w:pPr>
            <w:r>
              <w:rPr>
                <w:b/>
              </w:rPr>
              <w:t>2026</w:t>
            </w:r>
          </w:p>
        </w:tc>
        <w:tc>
          <w:tcPr>
            <w:tcW w:w="543" w:type="pct"/>
            <w:shd w:val="clear" w:color="auto" w:fill="D9D9D9" w:themeFill="background1" w:themeFillShade="D9"/>
          </w:tcPr>
          <w:p w14:paraId="7EA7B4BF" w14:textId="77777777" w:rsidR="00810FAC" w:rsidRPr="00D33008" w:rsidRDefault="00810FAC" w:rsidP="00810FAC">
            <w:pPr>
              <w:pStyle w:val="CH5TableText"/>
              <w:rPr>
                <w:b/>
              </w:rPr>
            </w:pPr>
            <w:r>
              <w:rPr>
                <w:b/>
              </w:rPr>
              <w:t>2027</w:t>
            </w:r>
          </w:p>
        </w:tc>
      </w:tr>
      <w:tr w:rsidR="00810FAC" w:rsidRPr="00D33008" w14:paraId="2E06794A" w14:textId="77777777" w:rsidTr="00810FAC">
        <w:trPr>
          <w:trHeight w:val="1113"/>
          <w:jc w:val="center"/>
        </w:trPr>
        <w:tc>
          <w:tcPr>
            <w:tcW w:w="661" w:type="pct"/>
            <w:vAlign w:val="center"/>
          </w:tcPr>
          <w:p w14:paraId="369190FA" w14:textId="77777777" w:rsidR="00810FAC" w:rsidRPr="00D33008" w:rsidRDefault="00810FAC" w:rsidP="00810FAC">
            <w:pPr>
              <w:pStyle w:val="CH5TableText"/>
              <w:rPr>
                <w:b/>
              </w:rPr>
            </w:pPr>
            <w:r w:rsidRPr="00D33008">
              <w:rPr>
                <w:b/>
              </w:rPr>
              <w:t>Annual Incremental EE Savings (GWh)</w:t>
            </w:r>
          </w:p>
        </w:tc>
        <w:tc>
          <w:tcPr>
            <w:tcW w:w="541" w:type="pct"/>
            <w:vAlign w:val="center"/>
          </w:tcPr>
          <w:p w14:paraId="09739A4C" w14:textId="77777777" w:rsidR="00810FAC" w:rsidRPr="00D33008" w:rsidRDefault="00810FAC" w:rsidP="00810FAC">
            <w:pPr>
              <w:pStyle w:val="CH5TableText"/>
            </w:pPr>
            <w:r>
              <w:t>385</w:t>
            </w:r>
          </w:p>
        </w:tc>
        <w:tc>
          <w:tcPr>
            <w:tcW w:w="541" w:type="pct"/>
            <w:vAlign w:val="center"/>
          </w:tcPr>
          <w:p w14:paraId="32F30710" w14:textId="77777777" w:rsidR="00810FAC" w:rsidRPr="00D33008" w:rsidRDefault="00810FAC" w:rsidP="00810FAC">
            <w:pPr>
              <w:pStyle w:val="CH5TableText"/>
            </w:pPr>
            <w:r>
              <w:t>553</w:t>
            </w:r>
          </w:p>
        </w:tc>
        <w:tc>
          <w:tcPr>
            <w:tcW w:w="541" w:type="pct"/>
            <w:vAlign w:val="center"/>
          </w:tcPr>
          <w:p w14:paraId="3062C628" w14:textId="77777777" w:rsidR="00810FAC" w:rsidRPr="00D33008" w:rsidRDefault="00810FAC" w:rsidP="00810FAC">
            <w:pPr>
              <w:pStyle w:val="CH5TableText"/>
            </w:pPr>
            <w:r>
              <w:t>721</w:t>
            </w:r>
          </w:p>
        </w:tc>
        <w:tc>
          <w:tcPr>
            <w:tcW w:w="543" w:type="pct"/>
            <w:vAlign w:val="center"/>
          </w:tcPr>
          <w:p w14:paraId="5858C219" w14:textId="77777777" w:rsidR="00810FAC" w:rsidRPr="00D33008" w:rsidRDefault="00810FAC" w:rsidP="00810FAC">
            <w:pPr>
              <w:pStyle w:val="CH5TableText"/>
            </w:pPr>
            <w:r>
              <w:t>834</w:t>
            </w:r>
          </w:p>
        </w:tc>
        <w:tc>
          <w:tcPr>
            <w:tcW w:w="542" w:type="pct"/>
            <w:vAlign w:val="center"/>
          </w:tcPr>
          <w:p w14:paraId="601B238E" w14:textId="77777777" w:rsidR="00810FAC" w:rsidRPr="00D33008" w:rsidRDefault="00810FAC" w:rsidP="00810FAC">
            <w:pPr>
              <w:pStyle w:val="CH5TableText"/>
            </w:pPr>
            <w:r>
              <w:t>833</w:t>
            </w:r>
          </w:p>
        </w:tc>
        <w:tc>
          <w:tcPr>
            <w:tcW w:w="542" w:type="pct"/>
            <w:vAlign w:val="center"/>
          </w:tcPr>
          <w:p w14:paraId="0C2FDCB3" w14:textId="77777777" w:rsidR="00810FAC" w:rsidRPr="00D33008" w:rsidRDefault="00810FAC" w:rsidP="00810FAC">
            <w:pPr>
              <w:pStyle w:val="CH5TableText"/>
            </w:pPr>
            <w:r>
              <w:t>833</w:t>
            </w:r>
          </w:p>
        </w:tc>
        <w:tc>
          <w:tcPr>
            <w:tcW w:w="542" w:type="pct"/>
            <w:vAlign w:val="center"/>
          </w:tcPr>
          <w:p w14:paraId="233277E6" w14:textId="77777777" w:rsidR="00810FAC" w:rsidRDefault="00810FAC" w:rsidP="00810FAC">
            <w:pPr>
              <w:pStyle w:val="CH5TableText"/>
            </w:pPr>
            <w:r>
              <w:t>832</w:t>
            </w:r>
          </w:p>
        </w:tc>
        <w:tc>
          <w:tcPr>
            <w:tcW w:w="543" w:type="pct"/>
            <w:vAlign w:val="center"/>
          </w:tcPr>
          <w:p w14:paraId="622E8739" w14:textId="77777777" w:rsidR="00810FAC" w:rsidRDefault="00810FAC" w:rsidP="00810FAC">
            <w:pPr>
              <w:pStyle w:val="CH5TableText"/>
            </w:pPr>
            <w:r>
              <w:t>832</w:t>
            </w:r>
          </w:p>
        </w:tc>
      </w:tr>
    </w:tbl>
    <w:p w14:paraId="4967CEB8" w14:textId="77777777" w:rsidR="00810FAC" w:rsidRPr="00A54DCE" w:rsidRDefault="00810FAC" w:rsidP="00810FAC"/>
    <w:p w14:paraId="2E724395" w14:textId="77777777" w:rsidR="00810FAC" w:rsidRPr="00D33008" w:rsidRDefault="00810FAC" w:rsidP="009148E2">
      <w:pPr>
        <w:pStyle w:val="Heading3"/>
      </w:pPr>
      <w:bookmarkStart w:id="112" w:name="_Toc424721586"/>
      <w:r w:rsidRPr="00D33008">
        <w:t>Step 4: Determine Annual Expiring EE Savings (GWh)</w:t>
      </w:r>
      <w:bookmarkEnd w:id="112"/>
    </w:p>
    <w:p w14:paraId="709783B1" w14:textId="150045E4" w:rsidR="00810FAC" w:rsidRPr="00D33008" w:rsidRDefault="00810FAC" w:rsidP="00810FAC">
      <w:pPr>
        <w:pStyle w:val="CH5BodyText"/>
      </w:pPr>
      <w:r>
        <w:t xml:space="preserve">As discussed above </w:t>
      </w:r>
      <w:r w:rsidRPr="00B562BA">
        <w:t>(section 8.2.6)</w:t>
      </w:r>
      <w:r>
        <w:t xml:space="preserve">, the annual incremental (or first-year) EE savings of the portfolio decline (or expire) over time according to the </w:t>
      </w:r>
      <w:r w:rsidRPr="00764153">
        <w:t xml:space="preserve">four-tier </w:t>
      </w:r>
      <w:r>
        <w:t xml:space="preserve">distribution of measure lives. </w:t>
      </w:r>
      <w:r w:rsidRPr="005476DC">
        <w:t>Expiring EE savings are calculated as the sum of all expired savings in a given year from all prior years’ incremental (first-year) savings</w:t>
      </w:r>
      <w:r>
        <w:t>.</w:t>
      </w:r>
      <w:r w:rsidRPr="005476DC">
        <w:t xml:space="preserve"> The resulting values for expiring EE savings are </w:t>
      </w:r>
      <w:r>
        <w:t>provided</w:t>
      </w:r>
      <w:r w:rsidRPr="005476DC">
        <w:t xml:space="preserve"> in Table </w:t>
      </w:r>
      <w:r>
        <w:t>20</w:t>
      </w:r>
      <w:r w:rsidRPr="005476DC">
        <w:t xml:space="preserve"> for South Carolina.</w:t>
      </w:r>
    </w:p>
    <w:p w14:paraId="7FA411F6" w14:textId="057A3D12" w:rsidR="00810FAC" w:rsidRPr="00D33008" w:rsidRDefault="00810FAC" w:rsidP="007300F4">
      <w:pPr>
        <w:pStyle w:val="CH5TableTitle"/>
      </w:pPr>
      <w:bookmarkStart w:id="113" w:name="_Toc424720270"/>
      <w:r w:rsidRPr="00D33008">
        <w:t>T</w:t>
      </w:r>
      <w:r>
        <w:t>able</w:t>
      </w:r>
      <w:r w:rsidRPr="00D33008">
        <w:t xml:space="preserve"> </w:t>
      </w:r>
      <w:r>
        <w:t xml:space="preserve">20. </w:t>
      </w:r>
      <w:r w:rsidRPr="00D33008">
        <w:t>Expiring EE Savings for South Carolina</w:t>
      </w:r>
      <w:bookmarkEnd w:id="113"/>
    </w:p>
    <w:tbl>
      <w:tblPr>
        <w:tblStyle w:val="TableGrid"/>
        <w:tblW w:w="5000" w:type="pct"/>
        <w:jc w:val="center"/>
        <w:tblLook w:val="04A0" w:firstRow="1" w:lastRow="0" w:firstColumn="1" w:lastColumn="0" w:noHBand="0" w:noVBand="1"/>
      </w:tblPr>
      <w:tblGrid>
        <w:gridCol w:w="1085"/>
        <w:gridCol w:w="1032"/>
        <w:gridCol w:w="1034"/>
        <w:gridCol w:w="1034"/>
        <w:gridCol w:w="1034"/>
        <w:gridCol w:w="1034"/>
        <w:gridCol w:w="1038"/>
        <w:gridCol w:w="1030"/>
        <w:gridCol w:w="1029"/>
      </w:tblGrid>
      <w:tr w:rsidR="00810FAC" w:rsidRPr="00D33008" w14:paraId="5B22A1A7" w14:textId="77777777" w:rsidTr="00BF5472">
        <w:trPr>
          <w:tblHeader/>
          <w:jc w:val="center"/>
        </w:trPr>
        <w:tc>
          <w:tcPr>
            <w:tcW w:w="580" w:type="pct"/>
            <w:vMerge w:val="restart"/>
            <w:shd w:val="clear" w:color="auto" w:fill="D9D9D9" w:themeFill="background1" w:themeFillShade="D9"/>
            <w:vAlign w:val="center"/>
          </w:tcPr>
          <w:p w14:paraId="54520386" w14:textId="77777777" w:rsidR="00810FAC" w:rsidRPr="00D33008" w:rsidRDefault="00810FAC" w:rsidP="00810FAC">
            <w:pPr>
              <w:pStyle w:val="CH5TableText"/>
              <w:keepNext/>
            </w:pPr>
          </w:p>
        </w:tc>
        <w:tc>
          <w:tcPr>
            <w:tcW w:w="4420" w:type="pct"/>
            <w:gridSpan w:val="8"/>
            <w:shd w:val="clear" w:color="auto" w:fill="D9D9D9" w:themeFill="background1" w:themeFillShade="D9"/>
          </w:tcPr>
          <w:p w14:paraId="695E20F1" w14:textId="77777777" w:rsidR="00810FAC" w:rsidRPr="00D33008" w:rsidRDefault="00810FAC" w:rsidP="00810FAC">
            <w:pPr>
              <w:pStyle w:val="CH5TableText"/>
              <w:keepNext/>
              <w:rPr>
                <w:b/>
              </w:rPr>
            </w:pPr>
            <w:r w:rsidRPr="00D33008">
              <w:rPr>
                <w:b/>
              </w:rPr>
              <w:t>Year</w:t>
            </w:r>
          </w:p>
        </w:tc>
      </w:tr>
      <w:tr w:rsidR="00810FAC" w:rsidRPr="00D33008" w14:paraId="7402C80F" w14:textId="77777777" w:rsidTr="00BF5472">
        <w:trPr>
          <w:tblHeader/>
          <w:jc w:val="center"/>
        </w:trPr>
        <w:tc>
          <w:tcPr>
            <w:tcW w:w="580" w:type="pct"/>
            <w:vMerge/>
            <w:shd w:val="clear" w:color="auto" w:fill="D9D9D9" w:themeFill="background1" w:themeFillShade="D9"/>
            <w:vAlign w:val="center"/>
          </w:tcPr>
          <w:p w14:paraId="5AA07748" w14:textId="77777777" w:rsidR="00810FAC" w:rsidRPr="00D33008" w:rsidRDefault="00810FAC" w:rsidP="00810FAC">
            <w:pPr>
              <w:pStyle w:val="CH5TableText"/>
              <w:keepNext/>
            </w:pPr>
          </w:p>
        </w:tc>
        <w:tc>
          <w:tcPr>
            <w:tcW w:w="552" w:type="pct"/>
            <w:shd w:val="clear" w:color="auto" w:fill="D9D9D9" w:themeFill="background1" w:themeFillShade="D9"/>
            <w:vAlign w:val="center"/>
          </w:tcPr>
          <w:p w14:paraId="590CE969" w14:textId="77777777" w:rsidR="00810FAC" w:rsidRPr="00D33008" w:rsidRDefault="00810FAC" w:rsidP="00810FAC">
            <w:pPr>
              <w:pStyle w:val="CH5TableText"/>
              <w:keepNext/>
              <w:rPr>
                <w:b/>
              </w:rPr>
            </w:pPr>
            <w:r w:rsidRPr="00D33008">
              <w:rPr>
                <w:b/>
              </w:rPr>
              <w:t>2020</w:t>
            </w:r>
          </w:p>
        </w:tc>
        <w:tc>
          <w:tcPr>
            <w:tcW w:w="553" w:type="pct"/>
            <w:shd w:val="clear" w:color="auto" w:fill="D9D9D9" w:themeFill="background1" w:themeFillShade="D9"/>
            <w:vAlign w:val="center"/>
          </w:tcPr>
          <w:p w14:paraId="5F633C55" w14:textId="77777777" w:rsidR="00810FAC" w:rsidRPr="00D33008" w:rsidRDefault="00810FAC" w:rsidP="00810FAC">
            <w:pPr>
              <w:pStyle w:val="CH5TableText"/>
              <w:keepNext/>
              <w:rPr>
                <w:b/>
              </w:rPr>
            </w:pPr>
            <w:r w:rsidRPr="00D33008">
              <w:rPr>
                <w:b/>
              </w:rPr>
              <w:t>2021</w:t>
            </w:r>
          </w:p>
        </w:tc>
        <w:tc>
          <w:tcPr>
            <w:tcW w:w="553" w:type="pct"/>
            <w:shd w:val="clear" w:color="auto" w:fill="D9D9D9" w:themeFill="background1" w:themeFillShade="D9"/>
            <w:vAlign w:val="center"/>
          </w:tcPr>
          <w:p w14:paraId="7D0E64E3" w14:textId="77777777" w:rsidR="00810FAC" w:rsidRPr="00D33008" w:rsidRDefault="00810FAC" w:rsidP="00810FAC">
            <w:pPr>
              <w:pStyle w:val="CH5TableText"/>
              <w:keepNext/>
              <w:rPr>
                <w:b/>
              </w:rPr>
            </w:pPr>
            <w:r w:rsidRPr="00D33008">
              <w:rPr>
                <w:b/>
              </w:rPr>
              <w:t>2022</w:t>
            </w:r>
          </w:p>
        </w:tc>
        <w:tc>
          <w:tcPr>
            <w:tcW w:w="553" w:type="pct"/>
            <w:shd w:val="clear" w:color="auto" w:fill="D9D9D9" w:themeFill="background1" w:themeFillShade="D9"/>
          </w:tcPr>
          <w:p w14:paraId="2C415AC4" w14:textId="77777777" w:rsidR="00810FAC" w:rsidRPr="00D33008" w:rsidRDefault="00810FAC" w:rsidP="00810FAC">
            <w:pPr>
              <w:pStyle w:val="CH5TableText"/>
              <w:keepNext/>
              <w:rPr>
                <w:b/>
              </w:rPr>
            </w:pPr>
            <w:r w:rsidRPr="00D33008">
              <w:rPr>
                <w:b/>
              </w:rPr>
              <w:t>2023</w:t>
            </w:r>
          </w:p>
        </w:tc>
        <w:tc>
          <w:tcPr>
            <w:tcW w:w="553" w:type="pct"/>
            <w:shd w:val="clear" w:color="auto" w:fill="D9D9D9" w:themeFill="background1" w:themeFillShade="D9"/>
          </w:tcPr>
          <w:p w14:paraId="6243E63F" w14:textId="77777777" w:rsidR="00810FAC" w:rsidRPr="00D33008" w:rsidRDefault="00810FAC" w:rsidP="00810FAC">
            <w:pPr>
              <w:pStyle w:val="CH5TableText"/>
              <w:keepNext/>
              <w:rPr>
                <w:b/>
              </w:rPr>
            </w:pPr>
            <w:r w:rsidRPr="00D33008">
              <w:rPr>
                <w:b/>
              </w:rPr>
              <w:t>2024</w:t>
            </w:r>
          </w:p>
        </w:tc>
        <w:tc>
          <w:tcPr>
            <w:tcW w:w="555" w:type="pct"/>
            <w:shd w:val="clear" w:color="auto" w:fill="D9D9D9" w:themeFill="background1" w:themeFillShade="D9"/>
          </w:tcPr>
          <w:p w14:paraId="61E4DEF1" w14:textId="77777777" w:rsidR="00810FAC" w:rsidRPr="00D33008" w:rsidRDefault="00810FAC" w:rsidP="00810FAC">
            <w:pPr>
              <w:pStyle w:val="CH5TableText"/>
              <w:keepNext/>
              <w:rPr>
                <w:b/>
              </w:rPr>
            </w:pPr>
            <w:r w:rsidRPr="00D33008">
              <w:rPr>
                <w:b/>
              </w:rPr>
              <w:t>2025</w:t>
            </w:r>
          </w:p>
        </w:tc>
        <w:tc>
          <w:tcPr>
            <w:tcW w:w="551" w:type="pct"/>
            <w:shd w:val="clear" w:color="auto" w:fill="D9D9D9" w:themeFill="background1" w:themeFillShade="D9"/>
          </w:tcPr>
          <w:p w14:paraId="2449BE83" w14:textId="77777777" w:rsidR="00810FAC" w:rsidRPr="00D33008" w:rsidRDefault="00810FAC" w:rsidP="00810FAC">
            <w:pPr>
              <w:pStyle w:val="CH5TableText"/>
              <w:keepNext/>
              <w:rPr>
                <w:b/>
              </w:rPr>
            </w:pPr>
            <w:r>
              <w:rPr>
                <w:b/>
              </w:rPr>
              <w:t>2026</w:t>
            </w:r>
          </w:p>
        </w:tc>
        <w:tc>
          <w:tcPr>
            <w:tcW w:w="550" w:type="pct"/>
            <w:shd w:val="clear" w:color="auto" w:fill="D9D9D9" w:themeFill="background1" w:themeFillShade="D9"/>
          </w:tcPr>
          <w:p w14:paraId="3C1E5DD7" w14:textId="77777777" w:rsidR="00810FAC" w:rsidRPr="00D33008" w:rsidRDefault="00810FAC" w:rsidP="00810FAC">
            <w:pPr>
              <w:pStyle w:val="CH5TableText"/>
              <w:keepNext/>
              <w:rPr>
                <w:b/>
              </w:rPr>
            </w:pPr>
            <w:r>
              <w:rPr>
                <w:b/>
              </w:rPr>
              <w:t>2027</w:t>
            </w:r>
          </w:p>
        </w:tc>
      </w:tr>
      <w:tr w:rsidR="00810FAC" w:rsidRPr="00D33008" w14:paraId="3F80FC25" w14:textId="77777777" w:rsidTr="00810FAC">
        <w:trPr>
          <w:jc w:val="center"/>
        </w:trPr>
        <w:tc>
          <w:tcPr>
            <w:tcW w:w="580" w:type="pct"/>
            <w:vAlign w:val="center"/>
          </w:tcPr>
          <w:p w14:paraId="29C1E82D" w14:textId="77777777" w:rsidR="00810FAC" w:rsidRPr="00D33008" w:rsidRDefault="00810FAC" w:rsidP="00810FAC">
            <w:pPr>
              <w:pStyle w:val="CH5TableText"/>
              <w:keepNext/>
              <w:rPr>
                <w:b/>
              </w:rPr>
            </w:pPr>
            <w:r w:rsidRPr="00D33008">
              <w:rPr>
                <w:b/>
              </w:rPr>
              <w:t>Expiring EE Savings (GWh)</w:t>
            </w:r>
          </w:p>
        </w:tc>
        <w:tc>
          <w:tcPr>
            <w:tcW w:w="552" w:type="pct"/>
            <w:vAlign w:val="center"/>
          </w:tcPr>
          <w:p w14:paraId="0EF4E296" w14:textId="77777777" w:rsidR="00810FAC" w:rsidRPr="00D33008" w:rsidRDefault="00810FAC" w:rsidP="00810FAC">
            <w:pPr>
              <w:pStyle w:val="CH5TableText"/>
              <w:keepNext/>
            </w:pPr>
            <w:r>
              <w:t>0</w:t>
            </w:r>
          </w:p>
        </w:tc>
        <w:tc>
          <w:tcPr>
            <w:tcW w:w="553" w:type="pct"/>
            <w:vAlign w:val="center"/>
          </w:tcPr>
          <w:p w14:paraId="63A55EF8" w14:textId="77777777" w:rsidR="00810FAC" w:rsidRPr="00D33008" w:rsidRDefault="00810FAC" w:rsidP="00810FAC">
            <w:pPr>
              <w:pStyle w:val="CH5TableText"/>
              <w:keepNext/>
            </w:pPr>
            <w:r>
              <w:t>0</w:t>
            </w:r>
          </w:p>
        </w:tc>
        <w:tc>
          <w:tcPr>
            <w:tcW w:w="553" w:type="pct"/>
            <w:vAlign w:val="center"/>
          </w:tcPr>
          <w:p w14:paraId="5A393F10" w14:textId="77777777" w:rsidR="00810FAC" w:rsidRPr="00D33008" w:rsidRDefault="00810FAC" w:rsidP="00810FAC">
            <w:pPr>
              <w:pStyle w:val="CH5TableText"/>
              <w:keepNext/>
            </w:pPr>
            <w:r>
              <w:t>0</w:t>
            </w:r>
          </w:p>
        </w:tc>
        <w:tc>
          <w:tcPr>
            <w:tcW w:w="553" w:type="pct"/>
            <w:vAlign w:val="center"/>
          </w:tcPr>
          <w:p w14:paraId="61352306" w14:textId="77777777" w:rsidR="00810FAC" w:rsidRPr="00D33008" w:rsidRDefault="00810FAC" w:rsidP="00810FAC">
            <w:pPr>
              <w:pStyle w:val="CH5TableText"/>
              <w:keepNext/>
            </w:pPr>
            <w:r>
              <w:t>0</w:t>
            </w:r>
          </w:p>
        </w:tc>
        <w:tc>
          <w:tcPr>
            <w:tcW w:w="553" w:type="pct"/>
            <w:vAlign w:val="center"/>
          </w:tcPr>
          <w:p w14:paraId="4E8D91B1" w14:textId="77777777" w:rsidR="00810FAC" w:rsidRPr="00D33008" w:rsidRDefault="00810FAC" w:rsidP="00810FAC">
            <w:pPr>
              <w:pStyle w:val="CH5TableText"/>
              <w:keepNext/>
            </w:pPr>
            <w:r>
              <w:t>0</w:t>
            </w:r>
          </w:p>
        </w:tc>
        <w:tc>
          <w:tcPr>
            <w:tcW w:w="555" w:type="pct"/>
            <w:vAlign w:val="center"/>
          </w:tcPr>
          <w:p w14:paraId="281B1E73" w14:textId="77777777" w:rsidR="00810FAC" w:rsidRPr="00D33008" w:rsidRDefault="00810FAC" w:rsidP="00810FAC">
            <w:pPr>
              <w:pStyle w:val="CH5TableText"/>
              <w:keepNext/>
            </w:pPr>
            <w:r>
              <w:t>0</w:t>
            </w:r>
          </w:p>
        </w:tc>
        <w:tc>
          <w:tcPr>
            <w:tcW w:w="551" w:type="pct"/>
            <w:vAlign w:val="center"/>
          </w:tcPr>
          <w:p w14:paraId="336BF1E0" w14:textId="77777777" w:rsidR="00810FAC" w:rsidRDefault="00810FAC" w:rsidP="00810FAC">
            <w:pPr>
              <w:pStyle w:val="CH5TableText"/>
              <w:keepNext/>
            </w:pPr>
            <w:r>
              <w:t>69</w:t>
            </w:r>
          </w:p>
        </w:tc>
        <w:tc>
          <w:tcPr>
            <w:tcW w:w="550" w:type="pct"/>
            <w:vAlign w:val="center"/>
          </w:tcPr>
          <w:p w14:paraId="4F2AFEE2" w14:textId="77777777" w:rsidR="00810FAC" w:rsidRDefault="00810FAC" w:rsidP="00810FAC">
            <w:pPr>
              <w:pStyle w:val="CH5TableText"/>
              <w:keepNext/>
            </w:pPr>
            <w:r>
              <w:t>165</w:t>
            </w:r>
          </w:p>
        </w:tc>
      </w:tr>
    </w:tbl>
    <w:p w14:paraId="5255DB53" w14:textId="77777777" w:rsidR="00810FAC" w:rsidRPr="007300F4" w:rsidRDefault="00810FAC" w:rsidP="007300F4"/>
    <w:p w14:paraId="42CBEEB9" w14:textId="77777777" w:rsidR="00810FAC" w:rsidRPr="00D33008" w:rsidRDefault="00810FAC" w:rsidP="006E6A19">
      <w:pPr>
        <w:pStyle w:val="Heading3"/>
      </w:pPr>
      <w:bookmarkStart w:id="114" w:name="_Toc424721587"/>
      <w:r>
        <w:lastRenderedPageBreak/>
        <w:t xml:space="preserve">Step 5: </w:t>
      </w:r>
      <w:r w:rsidRPr="00D33008">
        <w:t>Determine Net Cumulative EE Savings (GWh)</w:t>
      </w:r>
      <w:bookmarkEnd w:id="114"/>
    </w:p>
    <w:p w14:paraId="2491F471" w14:textId="3BFF1FCF" w:rsidR="00810FAC" w:rsidRPr="00D33008" w:rsidRDefault="00810FAC" w:rsidP="00810FAC">
      <w:pPr>
        <w:pStyle w:val="CH5BodyText"/>
      </w:pPr>
      <w:r w:rsidRPr="00D33008">
        <w:t xml:space="preserve">Net cumulative EE savings in a given year are equal to annual incremental savings for that year minus total expiring savings for that year plus net cumulative savings for the prior year. The resulting values are </w:t>
      </w:r>
      <w:r>
        <w:t>provided</w:t>
      </w:r>
      <w:r w:rsidRPr="00D33008">
        <w:t xml:space="preserve"> for South Carolina in Table </w:t>
      </w:r>
      <w:r>
        <w:t>21</w:t>
      </w:r>
      <w:r w:rsidRPr="00D33008">
        <w:t>.</w:t>
      </w:r>
    </w:p>
    <w:p w14:paraId="0E5B6699" w14:textId="3D85922A" w:rsidR="00810FAC" w:rsidRPr="00D33008" w:rsidRDefault="00810FAC" w:rsidP="007300F4">
      <w:pPr>
        <w:pStyle w:val="CH5TableTitle"/>
      </w:pPr>
      <w:bookmarkStart w:id="115" w:name="_Toc424720271"/>
      <w:r w:rsidRPr="00D33008">
        <w:t>T</w:t>
      </w:r>
      <w:r>
        <w:t>able</w:t>
      </w:r>
      <w:r w:rsidRPr="00D33008">
        <w:t xml:space="preserve"> </w:t>
      </w:r>
      <w:r>
        <w:t>2</w:t>
      </w:r>
      <w:r w:rsidRPr="00D33008">
        <w:t>1</w:t>
      </w:r>
      <w:r>
        <w:t xml:space="preserve">. </w:t>
      </w:r>
      <w:r w:rsidRPr="00D33008">
        <w:t xml:space="preserve">Net Cumulative </w:t>
      </w:r>
      <w:r>
        <w:t>EE</w:t>
      </w:r>
      <w:r w:rsidRPr="00D33008">
        <w:t xml:space="preserve"> Savings for South Carolina</w:t>
      </w:r>
      <w:bookmarkEnd w:id="115"/>
    </w:p>
    <w:tbl>
      <w:tblPr>
        <w:tblStyle w:val="TableGrid"/>
        <w:tblW w:w="5000" w:type="pct"/>
        <w:jc w:val="center"/>
        <w:tblLook w:val="04A0" w:firstRow="1" w:lastRow="0" w:firstColumn="1" w:lastColumn="0" w:noHBand="0" w:noVBand="1"/>
      </w:tblPr>
      <w:tblGrid>
        <w:gridCol w:w="1218"/>
        <w:gridCol w:w="1016"/>
        <w:gridCol w:w="1018"/>
        <w:gridCol w:w="1015"/>
        <w:gridCol w:w="1017"/>
        <w:gridCol w:w="1015"/>
        <w:gridCol w:w="1017"/>
        <w:gridCol w:w="1015"/>
        <w:gridCol w:w="1019"/>
      </w:tblGrid>
      <w:tr w:rsidR="00810FAC" w:rsidRPr="00D33008" w14:paraId="65EA2B05" w14:textId="77777777" w:rsidTr="00BF5472">
        <w:trPr>
          <w:tblHeader/>
          <w:jc w:val="center"/>
        </w:trPr>
        <w:tc>
          <w:tcPr>
            <w:tcW w:w="651" w:type="pct"/>
            <w:vMerge w:val="restart"/>
            <w:shd w:val="clear" w:color="auto" w:fill="D9D9D9" w:themeFill="background1" w:themeFillShade="D9"/>
            <w:vAlign w:val="center"/>
          </w:tcPr>
          <w:p w14:paraId="637BC35D" w14:textId="77777777" w:rsidR="00810FAC" w:rsidRPr="00D33008" w:rsidRDefault="00810FAC" w:rsidP="00810FAC">
            <w:pPr>
              <w:pStyle w:val="CH5TableText"/>
              <w:keepNext/>
            </w:pPr>
          </w:p>
        </w:tc>
        <w:tc>
          <w:tcPr>
            <w:tcW w:w="4349" w:type="pct"/>
            <w:gridSpan w:val="8"/>
            <w:shd w:val="clear" w:color="auto" w:fill="D9D9D9" w:themeFill="background1" w:themeFillShade="D9"/>
          </w:tcPr>
          <w:p w14:paraId="1E02A113" w14:textId="77777777" w:rsidR="00810FAC" w:rsidRPr="00D33008" w:rsidRDefault="00810FAC" w:rsidP="00810FAC">
            <w:pPr>
              <w:pStyle w:val="CH5TableText"/>
              <w:keepNext/>
              <w:rPr>
                <w:b/>
              </w:rPr>
            </w:pPr>
            <w:r w:rsidRPr="00D33008">
              <w:rPr>
                <w:b/>
              </w:rPr>
              <w:t>Year</w:t>
            </w:r>
          </w:p>
        </w:tc>
      </w:tr>
      <w:tr w:rsidR="00810FAC" w:rsidRPr="00D33008" w14:paraId="75441288" w14:textId="77777777" w:rsidTr="00BF5472">
        <w:trPr>
          <w:tblHeader/>
          <w:jc w:val="center"/>
        </w:trPr>
        <w:tc>
          <w:tcPr>
            <w:tcW w:w="651" w:type="pct"/>
            <w:vMerge/>
            <w:shd w:val="clear" w:color="auto" w:fill="D9D9D9" w:themeFill="background1" w:themeFillShade="D9"/>
            <w:vAlign w:val="center"/>
          </w:tcPr>
          <w:p w14:paraId="638145D7" w14:textId="77777777" w:rsidR="00810FAC" w:rsidRPr="00D33008" w:rsidRDefault="00810FAC" w:rsidP="00810FAC">
            <w:pPr>
              <w:pStyle w:val="CH5TableText"/>
              <w:keepNext/>
            </w:pPr>
          </w:p>
        </w:tc>
        <w:tc>
          <w:tcPr>
            <w:tcW w:w="543" w:type="pct"/>
            <w:shd w:val="clear" w:color="auto" w:fill="D9D9D9" w:themeFill="background1" w:themeFillShade="D9"/>
            <w:vAlign w:val="center"/>
          </w:tcPr>
          <w:p w14:paraId="71613FF0" w14:textId="77777777" w:rsidR="00810FAC" w:rsidRPr="00D33008" w:rsidRDefault="00810FAC" w:rsidP="00810FAC">
            <w:pPr>
              <w:pStyle w:val="CH5TableText"/>
              <w:keepNext/>
              <w:rPr>
                <w:b/>
              </w:rPr>
            </w:pPr>
            <w:r w:rsidRPr="00D33008">
              <w:rPr>
                <w:b/>
              </w:rPr>
              <w:t>2020</w:t>
            </w:r>
          </w:p>
        </w:tc>
        <w:tc>
          <w:tcPr>
            <w:tcW w:w="544" w:type="pct"/>
            <w:shd w:val="clear" w:color="auto" w:fill="D9D9D9" w:themeFill="background1" w:themeFillShade="D9"/>
            <w:vAlign w:val="center"/>
          </w:tcPr>
          <w:p w14:paraId="3ADEDD8A" w14:textId="77777777" w:rsidR="00810FAC" w:rsidRPr="00D33008" w:rsidRDefault="00810FAC" w:rsidP="00810FAC">
            <w:pPr>
              <w:pStyle w:val="CH5TableText"/>
              <w:keepNext/>
              <w:rPr>
                <w:b/>
              </w:rPr>
            </w:pPr>
            <w:r w:rsidRPr="00D33008">
              <w:rPr>
                <w:b/>
              </w:rPr>
              <w:t>2021</w:t>
            </w:r>
          </w:p>
        </w:tc>
        <w:tc>
          <w:tcPr>
            <w:tcW w:w="543" w:type="pct"/>
            <w:shd w:val="clear" w:color="auto" w:fill="D9D9D9" w:themeFill="background1" w:themeFillShade="D9"/>
            <w:vAlign w:val="center"/>
          </w:tcPr>
          <w:p w14:paraId="12E5BAA5" w14:textId="77777777" w:rsidR="00810FAC" w:rsidRPr="00D33008" w:rsidRDefault="00810FAC" w:rsidP="00810FAC">
            <w:pPr>
              <w:pStyle w:val="CH5TableText"/>
              <w:keepNext/>
              <w:rPr>
                <w:b/>
              </w:rPr>
            </w:pPr>
            <w:r w:rsidRPr="00D33008">
              <w:rPr>
                <w:b/>
              </w:rPr>
              <w:t>2022</w:t>
            </w:r>
          </w:p>
        </w:tc>
        <w:tc>
          <w:tcPr>
            <w:tcW w:w="544" w:type="pct"/>
            <w:shd w:val="clear" w:color="auto" w:fill="D9D9D9" w:themeFill="background1" w:themeFillShade="D9"/>
            <w:vAlign w:val="center"/>
          </w:tcPr>
          <w:p w14:paraId="123618AC" w14:textId="77777777" w:rsidR="00810FAC" w:rsidRPr="00D33008" w:rsidRDefault="00810FAC" w:rsidP="00810FAC">
            <w:pPr>
              <w:pStyle w:val="CH5TableText"/>
              <w:keepNext/>
              <w:rPr>
                <w:b/>
              </w:rPr>
            </w:pPr>
            <w:r w:rsidRPr="00D33008">
              <w:rPr>
                <w:b/>
              </w:rPr>
              <w:t>2023</w:t>
            </w:r>
          </w:p>
        </w:tc>
        <w:tc>
          <w:tcPr>
            <w:tcW w:w="543" w:type="pct"/>
            <w:shd w:val="clear" w:color="auto" w:fill="D9D9D9" w:themeFill="background1" w:themeFillShade="D9"/>
            <w:vAlign w:val="center"/>
          </w:tcPr>
          <w:p w14:paraId="405D31F6" w14:textId="77777777" w:rsidR="00810FAC" w:rsidRPr="00D33008" w:rsidRDefault="00810FAC" w:rsidP="00810FAC">
            <w:pPr>
              <w:pStyle w:val="CH5TableText"/>
              <w:keepNext/>
              <w:rPr>
                <w:b/>
              </w:rPr>
            </w:pPr>
            <w:r w:rsidRPr="00D33008">
              <w:rPr>
                <w:b/>
              </w:rPr>
              <w:t>2024</w:t>
            </w:r>
          </w:p>
        </w:tc>
        <w:tc>
          <w:tcPr>
            <w:tcW w:w="544" w:type="pct"/>
            <w:shd w:val="clear" w:color="auto" w:fill="D9D9D9" w:themeFill="background1" w:themeFillShade="D9"/>
            <w:vAlign w:val="center"/>
          </w:tcPr>
          <w:p w14:paraId="52527C0A" w14:textId="77777777" w:rsidR="00810FAC" w:rsidRPr="00D33008" w:rsidRDefault="00810FAC" w:rsidP="00810FAC">
            <w:pPr>
              <w:pStyle w:val="CH5TableText"/>
              <w:keepNext/>
              <w:rPr>
                <w:b/>
              </w:rPr>
            </w:pPr>
            <w:r w:rsidRPr="00D33008">
              <w:rPr>
                <w:b/>
              </w:rPr>
              <w:t>2025</w:t>
            </w:r>
          </w:p>
        </w:tc>
        <w:tc>
          <w:tcPr>
            <w:tcW w:w="543" w:type="pct"/>
            <w:shd w:val="clear" w:color="auto" w:fill="D9D9D9" w:themeFill="background1" w:themeFillShade="D9"/>
            <w:vAlign w:val="center"/>
          </w:tcPr>
          <w:p w14:paraId="416D6506" w14:textId="77777777" w:rsidR="00810FAC" w:rsidRPr="00D33008" w:rsidRDefault="00810FAC" w:rsidP="00810FAC">
            <w:pPr>
              <w:pStyle w:val="CH5TableText"/>
              <w:keepNext/>
              <w:rPr>
                <w:b/>
              </w:rPr>
            </w:pPr>
            <w:r>
              <w:rPr>
                <w:b/>
              </w:rPr>
              <w:t>2026</w:t>
            </w:r>
          </w:p>
        </w:tc>
        <w:tc>
          <w:tcPr>
            <w:tcW w:w="544" w:type="pct"/>
            <w:shd w:val="clear" w:color="auto" w:fill="D9D9D9" w:themeFill="background1" w:themeFillShade="D9"/>
            <w:vAlign w:val="center"/>
          </w:tcPr>
          <w:p w14:paraId="1CC96568" w14:textId="77777777" w:rsidR="00810FAC" w:rsidRPr="00D33008" w:rsidRDefault="00810FAC" w:rsidP="00810FAC">
            <w:pPr>
              <w:pStyle w:val="CH5TableText"/>
              <w:keepNext/>
              <w:rPr>
                <w:b/>
              </w:rPr>
            </w:pPr>
            <w:r>
              <w:rPr>
                <w:b/>
              </w:rPr>
              <w:t>2027</w:t>
            </w:r>
          </w:p>
        </w:tc>
      </w:tr>
      <w:tr w:rsidR="00810FAC" w:rsidRPr="00D33008" w14:paraId="0EF8077F" w14:textId="77777777" w:rsidTr="00810FAC">
        <w:trPr>
          <w:jc w:val="center"/>
        </w:trPr>
        <w:tc>
          <w:tcPr>
            <w:tcW w:w="651" w:type="pct"/>
            <w:vAlign w:val="center"/>
          </w:tcPr>
          <w:p w14:paraId="4F87DDBF" w14:textId="77777777" w:rsidR="00810FAC" w:rsidRPr="00D33008" w:rsidRDefault="00810FAC" w:rsidP="00810FAC">
            <w:pPr>
              <w:pStyle w:val="CH5TableText"/>
              <w:keepNext/>
              <w:rPr>
                <w:b/>
              </w:rPr>
            </w:pPr>
            <w:r w:rsidRPr="00D33008">
              <w:rPr>
                <w:b/>
              </w:rPr>
              <w:t>Net Cumulative EE Savings (GWh)</w:t>
            </w:r>
          </w:p>
        </w:tc>
        <w:tc>
          <w:tcPr>
            <w:tcW w:w="543" w:type="pct"/>
            <w:vAlign w:val="center"/>
          </w:tcPr>
          <w:p w14:paraId="2A52C96C" w14:textId="77777777" w:rsidR="00810FAC" w:rsidRPr="00D33008" w:rsidRDefault="00810FAC" w:rsidP="00810FAC">
            <w:pPr>
              <w:pStyle w:val="CH5TableText"/>
              <w:keepNext/>
            </w:pPr>
            <w:r>
              <w:t>385</w:t>
            </w:r>
          </w:p>
        </w:tc>
        <w:tc>
          <w:tcPr>
            <w:tcW w:w="544" w:type="pct"/>
            <w:vAlign w:val="center"/>
          </w:tcPr>
          <w:p w14:paraId="4505F054" w14:textId="77777777" w:rsidR="00810FAC" w:rsidRPr="00D33008" w:rsidRDefault="00810FAC" w:rsidP="00810FAC">
            <w:pPr>
              <w:pStyle w:val="CH5TableText"/>
              <w:keepNext/>
            </w:pPr>
            <w:r>
              <w:t>938</w:t>
            </w:r>
          </w:p>
        </w:tc>
        <w:tc>
          <w:tcPr>
            <w:tcW w:w="543" w:type="pct"/>
            <w:vAlign w:val="center"/>
          </w:tcPr>
          <w:p w14:paraId="0FE193EB" w14:textId="77777777" w:rsidR="00810FAC" w:rsidRPr="00D33008" w:rsidRDefault="00810FAC" w:rsidP="00810FAC">
            <w:pPr>
              <w:pStyle w:val="CH5TableText"/>
              <w:keepNext/>
            </w:pPr>
            <w:r>
              <w:t>1,659</w:t>
            </w:r>
          </w:p>
        </w:tc>
        <w:tc>
          <w:tcPr>
            <w:tcW w:w="544" w:type="pct"/>
            <w:vAlign w:val="center"/>
          </w:tcPr>
          <w:p w14:paraId="5BF46A32" w14:textId="77777777" w:rsidR="00810FAC" w:rsidRPr="00D33008" w:rsidRDefault="00810FAC" w:rsidP="00810FAC">
            <w:pPr>
              <w:pStyle w:val="CH5TableText"/>
              <w:keepNext/>
            </w:pPr>
            <w:r>
              <w:t>2,493</w:t>
            </w:r>
          </w:p>
        </w:tc>
        <w:tc>
          <w:tcPr>
            <w:tcW w:w="543" w:type="pct"/>
            <w:vAlign w:val="center"/>
          </w:tcPr>
          <w:p w14:paraId="4A9AF979" w14:textId="77777777" w:rsidR="00810FAC" w:rsidRPr="00D33008" w:rsidRDefault="00810FAC" w:rsidP="00810FAC">
            <w:pPr>
              <w:pStyle w:val="CH5TableText"/>
              <w:keepNext/>
            </w:pPr>
            <w:r>
              <w:t>3.327</w:t>
            </w:r>
          </w:p>
        </w:tc>
        <w:tc>
          <w:tcPr>
            <w:tcW w:w="544" w:type="pct"/>
            <w:vAlign w:val="center"/>
          </w:tcPr>
          <w:p w14:paraId="366173B8" w14:textId="77777777" w:rsidR="00810FAC" w:rsidRPr="00D33008" w:rsidRDefault="00810FAC" w:rsidP="00810FAC">
            <w:pPr>
              <w:pStyle w:val="CH5TableText"/>
              <w:keepNext/>
            </w:pPr>
            <w:r>
              <w:t>4,159</w:t>
            </w:r>
          </w:p>
        </w:tc>
        <w:tc>
          <w:tcPr>
            <w:tcW w:w="543" w:type="pct"/>
            <w:vAlign w:val="center"/>
          </w:tcPr>
          <w:p w14:paraId="53A12EBD" w14:textId="77777777" w:rsidR="00810FAC" w:rsidRDefault="00810FAC" w:rsidP="00810FAC">
            <w:pPr>
              <w:pStyle w:val="CH5TableText"/>
              <w:keepNext/>
            </w:pPr>
            <w:r>
              <w:t>4,922</w:t>
            </w:r>
          </w:p>
        </w:tc>
        <w:tc>
          <w:tcPr>
            <w:tcW w:w="544" w:type="pct"/>
            <w:vAlign w:val="center"/>
          </w:tcPr>
          <w:p w14:paraId="698ADAC8" w14:textId="77777777" w:rsidR="00810FAC" w:rsidRDefault="00810FAC" w:rsidP="00810FAC">
            <w:pPr>
              <w:pStyle w:val="CH5TableText"/>
              <w:keepNext/>
            </w:pPr>
            <w:r>
              <w:t>5,589</w:t>
            </w:r>
          </w:p>
        </w:tc>
      </w:tr>
    </w:tbl>
    <w:p w14:paraId="5C4448A2" w14:textId="77777777" w:rsidR="00810FAC" w:rsidRPr="00A54DCE" w:rsidRDefault="00810FAC" w:rsidP="00810FAC"/>
    <w:p w14:paraId="42A36337" w14:textId="77777777" w:rsidR="00810FAC" w:rsidRPr="00F81A80" w:rsidRDefault="00810FAC" w:rsidP="007300F4">
      <w:pPr>
        <w:pStyle w:val="Heading3"/>
        <w:rPr>
          <w:i/>
        </w:rPr>
      </w:pPr>
      <w:bookmarkStart w:id="116" w:name="_Toc424721588"/>
      <w:r>
        <w:t>Step 6: Determine Sales after Net EE (GWh)</w:t>
      </w:r>
      <w:bookmarkEnd w:id="116"/>
    </w:p>
    <w:p w14:paraId="11221232" w14:textId="77777777" w:rsidR="00810FAC" w:rsidRDefault="00810FAC" w:rsidP="007300F4">
      <w:pPr>
        <w:pStyle w:val="CH5BodyText"/>
      </w:pPr>
      <w:r>
        <w:t>Sales after net EE are calculated by subtracting net cumulative savings from BAU sales. The resulting values are provided in Table 22 for South Carolina.</w:t>
      </w:r>
    </w:p>
    <w:p w14:paraId="6320BA24" w14:textId="484518B1" w:rsidR="00810FAC" w:rsidRPr="00F81A80" w:rsidRDefault="00810FAC" w:rsidP="007300F4">
      <w:pPr>
        <w:pStyle w:val="CH5TableTitle"/>
      </w:pPr>
      <w:bookmarkStart w:id="117" w:name="_Toc424720272"/>
      <w:r w:rsidRPr="00D33008">
        <w:t>T</w:t>
      </w:r>
      <w:r>
        <w:t>able</w:t>
      </w:r>
      <w:r w:rsidRPr="00D33008">
        <w:t xml:space="preserve"> </w:t>
      </w:r>
      <w:r>
        <w:t xml:space="preserve">22. Sales after </w:t>
      </w:r>
      <w:r w:rsidRPr="00D33008">
        <w:t xml:space="preserve">Net </w:t>
      </w:r>
      <w:r>
        <w:t>EE Savings for South Carolina</w:t>
      </w:r>
      <w:bookmarkEnd w:id="117"/>
    </w:p>
    <w:tbl>
      <w:tblPr>
        <w:tblStyle w:val="TableGrid"/>
        <w:tblW w:w="5000" w:type="pct"/>
        <w:jc w:val="center"/>
        <w:tblLook w:val="04A0" w:firstRow="1" w:lastRow="0" w:firstColumn="1" w:lastColumn="0" w:noHBand="0" w:noVBand="1"/>
      </w:tblPr>
      <w:tblGrid>
        <w:gridCol w:w="1218"/>
        <w:gridCol w:w="1016"/>
        <w:gridCol w:w="1017"/>
        <w:gridCol w:w="1017"/>
        <w:gridCol w:w="1017"/>
        <w:gridCol w:w="1017"/>
        <w:gridCol w:w="1019"/>
        <w:gridCol w:w="1015"/>
        <w:gridCol w:w="1014"/>
      </w:tblGrid>
      <w:tr w:rsidR="00810FAC" w:rsidRPr="00D33008" w14:paraId="6E9EC1D2" w14:textId="77777777" w:rsidTr="00BF5472">
        <w:trPr>
          <w:tblHeader/>
          <w:jc w:val="center"/>
        </w:trPr>
        <w:tc>
          <w:tcPr>
            <w:tcW w:w="651" w:type="pct"/>
            <w:vMerge w:val="restart"/>
            <w:shd w:val="clear" w:color="auto" w:fill="D9D9D9" w:themeFill="background1" w:themeFillShade="D9"/>
            <w:vAlign w:val="center"/>
          </w:tcPr>
          <w:p w14:paraId="7991D6D5" w14:textId="77777777" w:rsidR="00810FAC" w:rsidRPr="00D33008" w:rsidRDefault="00810FAC" w:rsidP="00810FAC">
            <w:pPr>
              <w:pStyle w:val="CH5TableText"/>
              <w:keepNext/>
            </w:pPr>
          </w:p>
        </w:tc>
        <w:tc>
          <w:tcPr>
            <w:tcW w:w="4349" w:type="pct"/>
            <w:gridSpan w:val="8"/>
            <w:shd w:val="clear" w:color="auto" w:fill="D9D9D9" w:themeFill="background1" w:themeFillShade="D9"/>
          </w:tcPr>
          <w:p w14:paraId="6AEBAED3" w14:textId="77777777" w:rsidR="00810FAC" w:rsidRPr="00D33008" w:rsidRDefault="00810FAC" w:rsidP="00810FAC">
            <w:pPr>
              <w:pStyle w:val="CH5TableText"/>
              <w:keepNext/>
              <w:rPr>
                <w:b/>
              </w:rPr>
            </w:pPr>
            <w:r w:rsidRPr="00D33008">
              <w:rPr>
                <w:b/>
              </w:rPr>
              <w:t>Year</w:t>
            </w:r>
          </w:p>
        </w:tc>
      </w:tr>
      <w:tr w:rsidR="00810FAC" w:rsidRPr="00D33008" w14:paraId="0E891F49" w14:textId="77777777" w:rsidTr="00BF5472">
        <w:trPr>
          <w:tblHeader/>
          <w:jc w:val="center"/>
        </w:trPr>
        <w:tc>
          <w:tcPr>
            <w:tcW w:w="651" w:type="pct"/>
            <w:vMerge/>
            <w:shd w:val="clear" w:color="auto" w:fill="D9D9D9" w:themeFill="background1" w:themeFillShade="D9"/>
            <w:vAlign w:val="center"/>
          </w:tcPr>
          <w:p w14:paraId="5B7E8827" w14:textId="77777777" w:rsidR="00810FAC" w:rsidRPr="00D33008" w:rsidRDefault="00810FAC" w:rsidP="00810FAC">
            <w:pPr>
              <w:pStyle w:val="CH5TableText"/>
              <w:keepNext/>
            </w:pPr>
          </w:p>
        </w:tc>
        <w:tc>
          <w:tcPr>
            <w:tcW w:w="543" w:type="pct"/>
            <w:shd w:val="clear" w:color="auto" w:fill="D9D9D9" w:themeFill="background1" w:themeFillShade="D9"/>
            <w:vAlign w:val="center"/>
          </w:tcPr>
          <w:p w14:paraId="203A2B8B" w14:textId="77777777" w:rsidR="00810FAC" w:rsidRPr="00D33008" w:rsidRDefault="00810FAC" w:rsidP="00810FAC">
            <w:pPr>
              <w:pStyle w:val="CH5TableText"/>
              <w:keepNext/>
              <w:rPr>
                <w:b/>
              </w:rPr>
            </w:pPr>
            <w:r w:rsidRPr="00D33008">
              <w:rPr>
                <w:b/>
              </w:rPr>
              <w:t>2020</w:t>
            </w:r>
          </w:p>
        </w:tc>
        <w:tc>
          <w:tcPr>
            <w:tcW w:w="544" w:type="pct"/>
            <w:shd w:val="clear" w:color="auto" w:fill="D9D9D9" w:themeFill="background1" w:themeFillShade="D9"/>
            <w:vAlign w:val="center"/>
          </w:tcPr>
          <w:p w14:paraId="72A53222" w14:textId="77777777" w:rsidR="00810FAC" w:rsidRPr="00D33008" w:rsidRDefault="00810FAC" w:rsidP="00810FAC">
            <w:pPr>
              <w:pStyle w:val="CH5TableText"/>
              <w:keepNext/>
              <w:rPr>
                <w:b/>
              </w:rPr>
            </w:pPr>
            <w:r w:rsidRPr="00D33008">
              <w:rPr>
                <w:b/>
              </w:rPr>
              <w:t>2021</w:t>
            </w:r>
          </w:p>
        </w:tc>
        <w:tc>
          <w:tcPr>
            <w:tcW w:w="544" w:type="pct"/>
            <w:shd w:val="clear" w:color="auto" w:fill="D9D9D9" w:themeFill="background1" w:themeFillShade="D9"/>
            <w:vAlign w:val="center"/>
          </w:tcPr>
          <w:p w14:paraId="46813CDC" w14:textId="77777777" w:rsidR="00810FAC" w:rsidRPr="00D33008" w:rsidRDefault="00810FAC" w:rsidP="00810FAC">
            <w:pPr>
              <w:pStyle w:val="CH5TableText"/>
              <w:keepNext/>
              <w:rPr>
                <w:b/>
              </w:rPr>
            </w:pPr>
            <w:r w:rsidRPr="00D33008">
              <w:rPr>
                <w:b/>
              </w:rPr>
              <w:t>2022</w:t>
            </w:r>
          </w:p>
        </w:tc>
        <w:tc>
          <w:tcPr>
            <w:tcW w:w="544" w:type="pct"/>
            <w:shd w:val="clear" w:color="auto" w:fill="D9D9D9" w:themeFill="background1" w:themeFillShade="D9"/>
          </w:tcPr>
          <w:p w14:paraId="67089D29" w14:textId="77777777" w:rsidR="00810FAC" w:rsidRPr="00D33008" w:rsidRDefault="00810FAC" w:rsidP="00810FAC">
            <w:pPr>
              <w:pStyle w:val="CH5TableText"/>
              <w:keepNext/>
              <w:rPr>
                <w:b/>
              </w:rPr>
            </w:pPr>
            <w:r w:rsidRPr="00D33008">
              <w:rPr>
                <w:b/>
              </w:rPr>
              <w:t>2023</w:t>
            </w:r>
          </w:p>
        </w:tc>
        <w:tc>
          <w:tcPr>
            <w:tcW w:w="544" w:type="pct"/>
            <w:shd w:val="clear" w:color="auto" w:fill="D9D9D9" w:themeFill="background1" w:themeFillShade="D9"/>
          </w:tcPr>
          <w:p w14:paraId="5082148C" w14:textId="77777777" w:rsidR="00810FAC" w:rsidRPr="00D33008" w:rsidRDefault="00810FAC" w:rsidP="00810FAC">
            <w:pPr>
              <w:pStyle w:val="CH5TableText"/>
              <w:keepNext/>
              <w:rPr>
                <w:b/>
              </w:rPr>
            </w:pPr>
            <w:r w:rsidRPr="00D33008">
              <w:rPr>
                <w:b/>
              </w:rPr>
              <w:t>2024</w:t>
            </w:r>
          </w:p>
        </w:tc>
        <w:tc>
          <w:tcPr>
            <w:tcW w:w="545" w:type="pct"/>
            <w:shd w:val="clear" w:color="auto" w:fill="D9D9D9" w:themeFill="background1" w:themeFillShade="D9"/>
          </w:tcPr>
          <w:p w14:paraId="295B12DB" w14:textId="77777777" w:rsidR="00810FAC" w:rsidRPr="00D33008" w:rsidRDefault="00810FAC" w:rsidP="00810FAC">
            <w:pPr>
              <w:pStyle w:val="CH5TableText"/>
              <w:keepNext/>
              <w:rPr>
                <w:b/>
              </w:rPr>
            </w:pPr>
            <w:r w:rsidRPr="00D33008">
              <w:rPr>
                <w:b/>
              </w:rPr>
              <w:t>2025</w:t>
            </w:r>
          </w:p>
        </w:tc>
        <w:tc>
          <w:tcPr>
            <w:tcW w:w="543" w:type="pct"/>
            <w:shd w:val="clear" w:color="auto" w:fill="D9D9D9" w:themeFill="background1" w:themeFillShade="D9"/>
          </w:tcPr>
          <w:p w14:paraId="25EF26CA" w14:textId="77777777" w:rsidR="00810FAC" w:rsidRPr="00D33008" w:rsidRDefault="00810FAC" w:rsidP="00810FAC">
            <w:pPr>
              <w:pStyle w:val="CH5TableText"/>
              <w:keepNext/>
              <w:rPr>
                <w:b/>
              </w:rPr>
            </w:pPr>
            <w:r>
              <w:rPr>
                <w:b/>
              </w:rPr>
              <w:t>2026</w:t>
            </w:r>
          </w:p>
        </w:tc>
        <w:tc>
          <w:tcPr>
            <w:tcW w:w="543" w:type="pct"/>
            <w:shd w:val="clear" w:color="auto" w:fill="D9D9D9" w:themeFill="background1" w:themeFillShade="D9"/>
          </w:tcPr>
          <w:p w14:paraId="62AFD4F1" w14:textId="77777777" w:rsidR="00810FAC" w:rsidRPr="00D33008" w:rsidRDefault="00810FAC" w:rsidP="00810FAC">
            <w:pPr>
              <w:pStyle w:val="CH5TableText"/>
              <w:keepNext/>
              <w:rPr>
                <w:b/>
              </w:rPr>
            </w:pPr>
            <w:r>
              <w:rPr>
                <w:b/>
              </w:rPr>
              <w:t>2027</w:t>
            </w:r>
          </w:p>
        </w:tc>
      </w:tr>
      <w:tr w:rsidR="00810FAC" w:rsidRPr="00D33008" w14:paraId="519472A0" w14:textId="77777777" w:rsidTr="00810FAC">
        <w:trPr>
          <w:jc w:val="center"/>
        </w:trPr>
        <w:tc>
          <w:tcPr>
            <w:tcW w:w="651" w:type="pct"/>
            <w:vAlign w:val="center"/>
          </w:tcPr>
          <w:p w14:paraId="3D81DF0E" w14:textId="77777777" w:rsidR="00810FAC" w:rsidRPr="00D33008" w:rsidRDefault="00810FAC" w:rsidP="00810FAC">
            <w:pPr>
              <w:pStyle w:val="CH5TableText"/>
              <w:keepNext/>
              <w:rPr>
                <w:b/>
              </w:rPr>
            </w:pPr>
            <w:r>
              <w:rPr>
                <w:b/>
              </w:rPr>
              <w:t xml:space="preserve">Sales after </w:t>
            </w:r>
            <w:r w:rsidRPr="00D33008">
              <w:rPr>
                <w:b/>
              </w:rPr>
              <w:t>Net EE Savings (GWh)</w:t>
            </w:r>
          </w:p>
        </w:tc>
        <w:tc>
          <w:tcPr>
            <w:tcW w:w="543" w:type="pct"/>
            <w:vAlign w:val="center"/>
          </w:tcPr>
          <w:p w14:paraId="3A56E405" w14:textId="77777777" w:rsidR="00810FAC" w:rsidRPr="00D33008" w:rsidRDefault="00810FAC" w:rsidP="00810FAC">
            <w:pPr>
              <w:pStyle w:val="CH5TableText"/>
              <w:keepNext/>
            </w:pPr>
            <w:r>
              <w:t>83,216</w:t>
            </w:r>
          </w:p>
        </w:tc>
        <w:tc>
          <w:tcPr>
            <w:tcW w:w="544" w:type="pct"/>
            <w:vAlign w:val="center"/>
          </w:tcPr>
          <w:p w14:paraId="327655AE" w14:textId="77777777" w:rsidR="00810FAC" w:rsidRPr="00D33008" w:rsidRDefault="00810FAC" w:rsidP="00810FAC">
            <w:pPr>
              <w:pStyle w:val="CH5TableText"/>
              <w:keepNext/>
            </w:pPr>
            <w:r>
              <w:t>83,403</w:t>
            </w:r>
          </w:p>
        </w:tc>
        <w:tc>
          <w:tcPr>
            <w:tcW w:w="544" w:type="pct"/>
            <w:vAlign w:val="center"/>
          </w:tcPr>
          <w:p w14:paraId="00C1C117" w14:textId="77777777" w:rsidR="00810FAC" w:rsidRPr="00D33008" w:rsidRDefault="00810FAC" w:rsidP="00810FAC">
            <w:pPr>
              <w:pStyle w:val="CH5TableText"/>
              <w:keepNext/>
            </w:pPr>
            <w:r>
              <w:t>83,428</w:t>
            </w:r>
          </w:p>
        </w:tc>
        <w:tc>
          <w:tcPr>
            <w:tcW w:w="544" w:type="pct"/>
            <w:vAlign w:val="center"/>
          </w:tcPr>
          <w:p w14:paraId="241950C5" w14:textId="77777777" w:rsidR="00810FAC" w:rsidRPr="00D33008" w:rsidRDefault="00810FAC" w:rsidP="00810FAC">
            <w:pPr>
              <w:pStyle w:val="CH5TableText"/>
              <w:keepNext/>
            </w:pPr>
            <w:r>
              <w:t>83,346</w:t>
            </w:r>
          </w:p>
        </w:tc>
        <w:tc>
          <w:tcPr>
            <w:tcW w:w="544" w:type="pct"/>
            <w:vAlign w:val="center"/>
          </w:tcPr>
          <w:p w14:paraId="7A3C5EFE" w14:textId="77777777" w:rsidR="00810FAC" w:rsidRPr="00D33008" w:rsidRDefault="00810FAC" w:rsidP="00810FAC">
            <w:pPr>
              <w:pStyle w:val="CH5TableText"/>
              <w:keepNext/>
            </w:pPr>
            <w:r>
              <w:t>83,272</w:t>
            </w:r>
          </w:p>
        </w:tc>
        <w:tc>
          <w:tcPr>
            <w:tcW w:w="545" w:type="pct"/>
            <w:vAlign w:val="center"/>
          </w:tcPr>
          <w:p w14:paraId="79154246" w14:textId="77777777" w:rsidR="00810FAC" w:rsidRPr="00D33008" w:rsidRDefault="00810FAC" w:rsidP="00810FAC">
            <w:pPr>
              <w:pStyle w:val="CH5TableText"/>
              <w:keepNext/>
            </w:pPr>
            <w:r>
              <w:t>83,206</w:t>
            </w:r>
          </w:p>
        </w:tc>
        <w:tc>
          <w:tcPr>
            <w:tcW w:w="543" w:type="pct"/>
            <w:vAlign w:val="center"/>
          </w:tcPr>
          <w:p w14:paraId="3F9C73BC" w14:textId="77777777" w:rsidR="00810FAC" w:rsidRDefault="00810FAC" w:rsidP="00810FAC">
            <w:pPr>
              <w:pStyle w:val="CH5TableText"/>
              <w:keepNext/>
            </w:pPr>
            <w:r>
              <w:t>83,216</w:t>
            </w:r>
          </w:p>
        </w:tc>
        <w:tc>
          <w:tcPr>
            <w:tcW w:w="543" w:type="pct"/>
            <w:vAlign w:val="center"/>
          </w:tcPr>
          <w:p w14:paraId="7010DA52" w14:textId="77777777" w:rsidR="00810FAC" w:rsidRDefault="00810FAC" w:rsidP="00810FAC">
            <w:pPr>
              <w:pStyle w:val="CH5TableText"/>
              <w:keepNext/>
            </w:pPr>
            <w:r>
              <w:t>83,329</w:t>
            </w:r>
          </w:p>
        </w:tc>
      </w:tr>
    </w:tbl>
    <w:p w14:paraId="46FE4143" w14:textId="77777777" w:rsidR="00810FAC" w:rsidRPr="00311E15" w:rsidRDefault="00810FAC" w:rsidP="00311E15"/>
    <w:p w14:paraId="231A78B7" w14:textId="77777777" w:rsidR="00810FAC" w:rsidRPr="00D33008" w:rsidRDefault="00810FAC" w:rsidP="006E6A19">
      <w:pPr>
        <w:pStyle w:val="Heading3"/>
      </w:pPr>
      <w:bookmarkStart w:id="118" w:name="_Toc424721589"/>
      <w:r w:rsidRPr="00D33008">
        <w:t xml:space="preserve">Step </w:t>
      </w:r>
      <w:r>
        <w:t>7</w:t>
      </w:r>
      <w:r w:rsidRPr="00D33008">
        <w:t>: Determine Net Cumulative EE Savings as a Percentage of BAU Sales</w:t>
      </w:r>
      <w:bookmarkEnd w:id="118"/>
    </w:p>
    <w:p w14:paraId="4995C1FF" w14:textId="146A1E60" w:rsidR="00810FAC" w:rsidRPr="00D33008" w:rsidRDefault="00810FAC" w:rsidP="00810FAC">
      <w:pPr>
        <w:pStyle w:val="CH5BodyText"/>
      </w:pPr>
      <w:r w:rsidRPr="00D33008">
        <w:t xml:space="preserve">Net cumulative EE savings as a percentage of BAU sales are equal to net cumulative savings divided by BAU sales. The resulting values are summarized for South Carolina in Table </w:t>
      </w:r>
      <w:r>
        <w:t>23</w:t>
      </w:r>
      <w:r w:rsidRPr="00D33008">
        <w:t>.</w:t>
      </w:r>
    </w:p>
    <w:p w14:paraId="11403259" w14:textId="1DD12A6D" w:rsidR="00810FAC" w:rsidRPr="00D33008" w:rsidRDefault="00810FAC" w:rsidP="00311E15">
      <w:pPr>
        <w:pStyle w:val="CH5TableTitle"/>
      </w:pPr>
      <w:bookmarkStart w:id="119" w:name="_Toc424720273"/>
      <w:r w:rsidRPr="00D33008">
        <w:t>T</w:t>
      </w:r>
      <w:r>
        <w:t>able</w:t>
      </w:r>
      <w:r w:rsidRPr="00D33008">
        <w:t xml:space="preserve"> </w:t>
      </w:r>
      <w:r>
        <w:t xml:space="preserve">23. </w:t>
      </w:r>
      <w:r w:rsidRPr="00D33008">
        <w:t>Net Cumulative EE Savings as a Percentage of BAU Sales for South Carolina</w:t>
      </w:r>
      <w:bookmarkEnd w:id="119"/>
    </w:p>
    <w:tbl>
      <w:tblPr>
        <w:tblStyle w:val="TableGrid"/>
        <w:tblW w:w="5000" w:type="pct"/>
        <w:jc w:val="center"/>
        <w:tblLook w:val="04A0" w:firstRow="1" w:lastRow="0" w:firstColumn="1" w:lastColumn="0" w:noHBand="0" w:noVBand="1"/>
      </w:tblPr>
      <w:tblGrid>
        <w:gridCol w:w="1218"/>
        <w:gridCol w:w="1016"/>
        <w:gridCol w:w="1017"/>
        <w:gridCol w:w="1017"/>
        <w:gridCol w:w="1017"/>
        <w:gridCol w:w="1017"/>
        <w:gridCol w:w="1019"/>
        <w:gridCol w:w="1015"/>
        <w:gridCol w:w="1014"/>
      </w:tblGrid>
      <w:tr w:rsidR="00810FAC" w:rsidRPr="00D33008" w14:paraId="59E3CC29" w14:textId="77777777" w:rsidTr="00BF5472">
        <w:trPr>
          <w:tblHeader/>
          <w:jc w:val="center"/>
        </w:trPr>
        <w:tc>
          <w:tcPr>
            <w:tcW w:w="651" w:type="pct"/>
            <w:vMerge w:val="restart"/>
            <w:shd w:val="clear" w:color="auto" w:fill="D9D9D9" w:themeFill="background1" w:themeFillShade="D9"/>
            <w:vAlign w:val="center"/>
          </w:tcPr>
          <w:p w14:paraId="66D84A95" w14:textId="77777777" w:rsidR="00810FAC" w:rsidRPr="00D33008" w:rsidRDefault="00810FAC" w:rsidP="00810FAC">
            <w:pPr>
              <w:pStyle w:val="CH5TableText"/>
            </w:pPr>
          </w:p>
        </w:tc>
        <w:tc>
          <w:tcPr>
            <w:tcW w:w="4349" w:type="pct"/>
            <w:gridSpan w:val="8"/>
            <w:shd w:val="clear" w:color="auto" w:fill="D9D9D9" w:themeFill="background1" w:themeFillShade="D9"/>
          </w:tcPr>
          <w:p w14:paraId="12B2368F" w14:textId="77777777" w:rsidR="00810FAC" w:rsidRPr="00D33008" w:rsidRDefault="00810FAC" w:rsidP="00810FAC">
            <w:pPr>
              <w:pStyle w:val="CH5TableText"/>
              <w:rPr>
                <w:b/>
              </w:rPr>
            </w:pPr>
            <w:r w:rsidRPr="00D33008">
              <w:rPr>
                <w:b/>
              </w:rPr>
              <w:t>Year</w:t>
            </w:r>
          </w:p>
        </w:tc>
      </w:tr>
      <w:tr w:rsidR="00810FAC" w:rsidRPr="00D33008" w14:paraId="05926097" w14:textId="77777777" w:rsidTr="00BF5472">
        <w:trPr>
          <w:tblHeader/>
          <w:jc w:val="center"/>
        </w:trPr>
        <w:tc>
          <w:tcPr>
            <w:tcW w:w="651" w:type="pct"/>
            <w:vMerge/>
            <w:shd w:val="clear" w:color="auto" w:fill="D9D9D9" w:themeFill="background1" w:themeFillShade="D9"/>
            <w:vAlign w:val="center"/>
          </w:tcPr>
          <w:p w14:paraId="131C344A" w14:textId="77777777" w:rsidR="00810FAC" w:rsidRPr="00D33008" w:rsidRDefault="00810FAC" w:rsidP="00810FAC">
            <w:pPr>
              <w:pStyle w:val="CH5TableText"/>
            </w:pPr>
          </w:p>
        </w:tc>
        <w:tc>
          <w:tcPr>
            <w:tcW w:w="543" w:type="pct"/>
            <w:shd w:val="clear" w:color="auto" w:fill="D9D9D9" w:themeFill="background1" w:themeFillShade="D9"/>
            <w:vAlign w:val="center"/>
          </w:tcPr>
          <w:p w14:paraId="3C0EA3DF" w14:textId="77777777" w:rsidR="00810FAC" w:rsidRPr="00D33008" w:rsidRDefault="00810FAC" w:rsidP="00810FAC">
            <w:pPr>
              <w:pStyle w:val="CH5TableText"/>
              <w:rPr>
                <w:b/>
              </w:rPr>
            </w:pPr>
            <w:r w:rsidRPr="00D33008">
              <w:rPr>
                <w:b/>
              </w:rPr>
              <w:t>2020</w:t>
            </w:r>
          </w:p>
        </w:tc>
        <w:tc>
          <w:tcPr>
            <w:tcW w:w="544" w:type="pct"/>
            <w:shd w:val="clear" w:color="auto" w:fill="D9D9D9" w:themeFill="background1" w:themeFillShade="D9"/>
            <w:vAlign w:val="center"/>
          </w:tcPr>
          <w:p w14:paraId="18B16334" w14:textId="77777777" w:rsidR="00810FAC" w:rsidRPr="00D33008" w:rsidRDefault="00810FAC" w:rsidP="00810FAC">
            <w:pPr>
              <w:pStyle w:val="CH5TableText"/>
              <w:rPr>
                <w:b/>
              </w:rPr>
            </w:pPr>
            <w:r w:rsidRPr="00D33008">
              <w:rPr>
                <w:b/>
              </w:rPr>
              <w:t>2021</w:t>
            </w:r>
          </w:p>
        </w:tc>
        <w:tc>
          <w:tcPr>
            <w:tcW w:w="544" w:type="pct"/>
            <w:shd w:val="clear" w:color="auto" w:fill="D9D9D9" w:themeFill="background1" w:themeFillShade="D9"/>
            <w:vAlign w:val="center"/>
          </w:tcPr>
          <w:p w14:paraId="6837766A" w14:textId="77777777" w:rsidR="00810FAC" w:rsidRPr="00D33008" w:rsidRDefault="00810FAC" w:rsidP="00810FAC">
            <w:pPr>
              <w:pStyle w:val="CH5TableText"/>
              <w:rPr>
                <w:b/>
              </w:rPr>
            </w:pPr>
            <w:r w:rsidRPr="00D33008">
              <w:rPr>
                <w:b/>
              </w:rPr>
              <w:t>2022</w:t>
            </w:r>
          </w:p>
        </w:tc>
        <w:tc>
          <w:tcPr>
            <w:tcW w:w="544" w:type="pct"/>
            <w:shd w:val="clear" w:color="auto" w:fill="D9D9D9" w:themeFill="background1" w:themeFillShade="D9"/>
          </w:tcPr>
          <w:p w14:paraId="32C6A703" w14:textId="77777777" w:rsidR="00810FAC" w:rsidRPr="00D33008" w:rsidRDefault="00810FAC" w:rsidP="00810FAC">
            <w:pPr>
              <w:pStyle w:val="CH5TableText"/>
              <w:rPr>
                <w:b/>
              </w:rPr>
            </w:pPr>
            <w:r w:rsidRPr="00D33008">
              <w:rPr>
                <w:b/>
              </w:rPr>
              <w:t>2023</w:t>
            </w:r>
          </w:p>
        </w:tc>
        <w:tc>
          <w:tcPr>
            <w:tcW w:w="544" w:type="pct"/>
            <w:shd w:val="clear" w:color="auto" w:fill="D9D9D9" w:themeFill="background1" w:themeFillShade="D9"/>
          </w:tcPr>
          <w:p w14:paraId="0A01E427" w14:textId="77777777" w:rsidR="00810FAC" w:rsidRPr="00D33008" w:rsidRDefault="00810FAC" w:rsidP="00810FAC">
            <w:pPr>
              <w:pStyle w:val="CH5TableText"/>
              <w:rPr>
                <w:b/>
              </w:rPr>
            </w:pPr>
            <w:r w:rsidRPr="00D33008">
              <w:rPr>
                <w:b/>
              </w:rPr>
              <w:t>2024</w:t>
            </w:r>
          </w:p>
        </w:tc>
        <w:tc>
          <w:tcPr>
            <w:tcW w:w="545" w:type="pct"/>
            <w:shd w:val="clear" w:color="auto" w:fill="D9D9D9" w:themeFill="background1" w:themeFillShade="D9"/>
          </w:tcPr>
          <w:p w14:paraId="059A5947" w14:textId="77777777" w:rsidR="00810FAC" w:rsidRPr="00D33008" w:rsidRDefault="00810FAC" w:rsidP="00810FAC">
            <w:pPr>
              <w:pStyle w:val="CH5TableText"/>
              <w:rPr>
                <w:b/>
              </w:rPr>
            </w:pPr>
            <w:r w:rsidRPr="00D33008">
              <w:rPr>
                <w:b/>
              </w:rPr>
              <w:t>2025</w:t>
            </w:r>
          </w:p>
        </w:tc>
        <w:tc>
          <w:tcPr>
            <w:tcW w:w="543" w:type="pct"/>
            <w:shd w:val="clear" w:color="auto" w:fill="D9D9D9" w:themeFill="background1" w:themeFillShade="D9"/>
          </w:tcPr>
          <w:p w14:paraId="0D5FB99C" w14:textId="77777777" w:rsidR="00810FAC" w:rsidRPr="00D33008" w:rsidRDefault="00810FAC" w:rsidP="00810FAC">
            <w:pPr>
              <w:pStyle w:val="CH5TableText"/>
              <w:rPr>
                <w:b/>
              </w:rPr>
            </w:pPr>
            <w:r>
              <w:rPr>
                <w:b/>
              </w:rPr>
              <w:t>2026</w:t>
            </w:r>
          </w:p>
        </w:tc>
        <w:tc>
          <w:tcPr>
            <w:tcW w:w="543" w:type="pct"/>
            <w:shd w:val="clear" w:color="auto" w:fill="D9D9D9" w:themeFill="background1" w:themeFillShade="D9"/>
          </w:tcPr>
          <w:p w14:paraId="2C604DB8" w14:textId="77777777" w:rsidR="00810FAC" w:rsidRPr="00D33008" w:rsidRDefault="00810FAC" w:rsidP="00810FAC">
            <w:pPr>
              <w:pStyle w:val="CH5TableText"/>
              <w:rPr>
                <w:b/>
              </w:rPr>
            </w:pPr>
            <w:r>
              <w:rPr>
                <w:b/>
              </w:rPr>
              <w:t>2027</w:t>
            </w:r>
          </w:p>
        </w:tc>
      </w:tr>
      <w:tr w:rsidR="00810FAC" w:rsidRPr="00D33008" w14:paraId="73DEBB1A" w14:textId="77777777" w:rsidTr="00810FAC">
        <w:trPr>
          <w:jc w:val="center"/>
        </w:trPr>
        <w:tc>
          <w:tcPr>
            <w:tcW w:w="651" w:type="pct"/>
            <w:vAlign w:val="center"/>
          </w:tcPr>
          <w:p w14:paraId="5B90450A" w14:textId="77777777" w:rsidR="00810FAC" w:rsidRPr="00D33008" w:rsidRDefault="00810FAC" w:rsidP="00810FAC">
            <w:pPr>
              <w:pStyle w:val="CH5TableText"/>
              <w:rPr>
                <w:b/>
              </w:rPr>
            </w:pPr>
            <w:r w:rsidRPr="00D33008">
              <w:rPr>
                <w:b/>
              </w:rPr>
              <w:t>Net Cumulative EE Savings as % of BAU Sales</w:t>
            </w:r>
          </w:p>
        </w:tc>
        <w:tc>
          <w:tcPr>
            <w:tcW w:w="543" w:type="pct"/>
            <w:vAlign w:val="center"/>
          </w:tcPr>
          <w:p w14:paraId="48B575B6" w14:textId="77777777" w:rsidR="00810FAC" w:rsidRPr="00D33008" w:rsidRDefault="00810FAC" w:rsidP="00810FAC">
            <w:pPr>
              <w:pStyle w:val="CH5TableText"/>
            </w:pPr>
            <w:r>
              <w:t>0.46%</w:t>
            </w:r>
          </w:p>
        </w:tc>
        <w:tc>
          <w:tcPr>
            <w:tcW w:w="544" w:type="pct"/>
            <w:vAlign w:val="center"/>
          </w:tcPr>
          <w:p w14:paraId="7471A23A" w14:textId="77777777" w:rsidR="00810FAC" w:rsidRPr="00D33008" w:rsidRDefault="00810FAC" w:rsidP="00810FAC">
            <w:pPr>
              <w:pStyle w:val="CH5TableText"/>
            </w:pPr>
            <w:r>
              <w:t>1.11%</w:t>
            </w:r>
          </w:p>
        </w:tc>
        <w:tc>
          <w:tcPr>
            <w:tcW w:w="544" w:type="pct"/>
            <w:vAlign w:val="center"/>
          </w:tcPr>
          <w:p w14:paraId="4669867A" w14:textId="77777777" w:rsidR="00810FAC" w:rsidRPr="00D33008" w:rsidRDefault="00810FAC" w:rsidP="00810FAC">
            <w:pPr>
              <w:pStyle w:val="CH5TableText"/>
            </w:pPr>
            <w:r>
              <w:t>1.95%</w:t>
            </w:r>
          </w:p>
        </w:tc>
        <w:tc>
          <w:tcPr>
            <w:tcW w:w="544" w:type="pct"/>
            <w:vAlign w:val="center"/>
          </w:tcPr>
          <w:p w14:paraId="5958D674" w14:textId="77777777" w:rsidR="00810FAC" w:rsidRPr="00D33008" w:rsidRDefault="00810FAC" w:rsidP="00810FAC">
            <w:pPr>
              <w:pStyle w:val="CH5TableText"/>
            </w:pPr>
            <w:r>
              <w:t>2.90%</w:t>
            </w:r>
          </w:p>
        </w:tc>
        <w:tc>
          <w:tcPr>
            <w:tcW w:w="544" w:type="pct"/>
            <w:vAlign w:val="center"/>
          </w:tcPr>
          <w:p w14:paraId="4027FBB4" w14:textId="77777777" w:rsidR="00810FAC" w:rsidRPr="00D33008" w:rsidRDefault="00810FAC" w:rsidP="00810FAC">
            <w:pPr>
              <w:pStyle w:val="CH5TableText"/>
            </w:pPr>
            <w:r>
              <w:t>3.84%</w:t>
            </w:r>
          </w:p>
        </w:tc>
        <w:tc>
          <w:tcPr>
            <w:tcW w:w="545" w:type="pct"/>
            <w:vAlign w:val="center"/>
          </w:tcPr>
          <w:p w14:paraId="58F000E1" w14:textId="77777777" w:rsidR="00810FAC" w:rsidRPr="00D33008" w:rsidRDefault="00810FAC" w:rsidP="00810FAC">
            <w:pPr>
              <w:pStyle w:val="CH5TableText"/>
            </w:pPr>
            <w:r>
              <w:t>4.76%</w:t>
            </w:r>
          </w:p>
        </w:tc>
        <w:tc>
          <w:tcPr>
            <w:tcW w:w="543" w:type="pct"/>
            <w:vAlign w:val="center"/>
          </w:tcPr>
          <w:p w14:paraId="0A5EA570" w14:textId="77777777" w:rsidR="00810FAC" w:rsidRDefault="00810FAC" w:rsidP="00810FAC">
            <w:pPr>
              <w:pStyle w:val="CH5TableText"/>
            </w:pPr>
            <w:r>
              <w:t>5.58%</w:t>
            </w:r>
          </w:p>
        </w:tc>
        <w:tc>
          <w:tcPr>
            <w:tcW w:w="543" w:type="pct"/>
            <w:vAlign w:val="center"/>
          </w:tcPr>
          <w:p w14:paraId="6BFD6A2A" w14:textId="77777777" w:rsidR="00810FAC" w:rsidRDefault="00810FAC" w:rsidP="00810FAC">
            <w:pPr>
              <w:pStyle w:val="CH5TableText"/>
            </w:pPr>
            <w:r>
              <w:t>6.29%</w:t>
            </w:r>
          </w:p>
        </w:tc>
      </w:tr>
    </w:tbl>
    <w:p w14:paraId="42BCB960" w14:textId="77777777" w:rsidR="00810FAC" w:rsidRPr="00311E15" w:rsidRDefault="00810FAC" w:rsidP="00311E15"/>
    <w:p w14:paraId="5D206520" w14:textId="77777777" w:rsidR="00810FAC" w:rsidRPr="00D33008" w:rsidRDefault="00810FAC" w:rsidP="006E6A19">
      <w:pPr>
        <w:pStyle w:val="Heading3"/>
      </w:pPr>
      <w:bookmarkStart w:id="120" w:name="_Toc424721590"/>
      <w:r w:rsidRPr="00D33008">
        <w:t xml:space="preserve">Summary of </w:t>
      </w:r>
      <w:r>
        <w:t xml:space="preserve">Calculation </w:t>
      </w:r>
      <w:r w:rsidRPr="00D33008">
        <w:t>Formulas and Results by Step for South Carolina</w:t>
      </w:r>
      <w:bookmarkEnd w:id="120"/>
    </w:p>
    <w:p w14:paraId="3ED460E1" w14:textId="7C554F31" w:rsidR="00810FAC" w:rsidRPr="00D33008" w:rsidRDefault="00810FAC" w:rsidP="00810FAC">
      <w:pPr>
        <w:pStyle w:val="CH5BodyText"/>
      </w:pPr>
      <w:r w:rsidRPr="00D33008">
        <w:t xml:space="preserve">Table </w:t>
      </w:r>
      <w:r>
        <w:t>24</w:t>
      </w:r>
      <w:r w:rsidRPr="00D33008">
        <w:t xml:space="preserve"> provide</w:t>
      </w:r>
      <w:r w:rsidR="007B2A82">
        <w:t>s</w:t>
      </w:r>
      <w:r w:rsidRPr="00D33008">
        <w:t xml:space="preserve"> summaries of the results for South Carolina for each step</w:t>
      </w:r>
      <w:r>
        <w:t>, respectively</w:t>
      </w:r>
      <w:r w:rsidRPr="00D33008">
        <w:t>.</w:t>
      </w:r>
    </w:p>
    <w:p w14:paraId="749572EC" w14:textId="008745DB" w:rsidR="00810FAC" w:rsidRPr="00D33008" w:rsidRDefault="00810FAC" w:rsidP="00311E15">
      <w:pPr>
        <w:pStyle w:val="CH5TableTitle"/>
      </w:pPr>
      <w:bookmarkStart w:id="121" w:name="_Toc424720274"/>
      <w:r w:rsidRPr="00D33008">
        <w:t>T</w:t>
      </w:r>
      <w:r>
        <w:t>able</w:t>
      </w:r>
      <w:r w:rsidRPr="00D33008">
        <w:t xml:space="preserve"> 2</w:t>
      </w:r>
      <w:r>
        <w:t xml:space="preserve">4. </w:t>
      </w:r>
      <w:r w:rsidRPr="00D33008">
        <w:t>Summary of Results by Step for South Carolina</w:t>
      </w:r>
      <w:bookmarkEnd w:id="121"/>
    </w:p>
    <w:tbl>
      <w:tblPr>
        <w:tblStyle w:val="TableGrid"/>
        <w:tblW w:w="5000" w:type="pct"/>
        <w:jc w:val="center"/>
        <w:tblLayout w:type="fixed"/>
        <w:tblLook w:val="04A0" w:firstRow="1" w:lastRow="0" w:firstColumn="1" w:lastColumn="0" w:noHBand="0" w:noVBand="1"/>
      </w:tblPr>
      <w:tblGrid>
        <w:gridCol w:w="1346"/>
        <w:gridCol w:w="1001"/>
        <w:gridCol w:w="1001"/>
        <w:gridCol w:w="1000"/>
        <w:gridCol w:w="1000"/>
        <w:gridCol w:w="1000"/>
        <w:gridCol w:w="1000"/>
        <w:gridCol w:w="1000"/>
        <w:gridCol w:w="1002"/>
      </w:tblGrid>
      <w:tr w:rsidR="00810FAC" w:rsidRPr="00D33008" w14:paraId="262DB724" w14:textId="77777777" w:rsidTr="00BF5472">
        <w:trPr>
          <w:cantSplit/>
          <w:tblHeader/>
          <w:jc w:val="center"/>
        </w:trPr>
        <w:tc>
          <w:tcPr>
            <w:tcW w:w="719" w:type="pct"/>
            <w:vMerge w:val="restart"/>
            <w:shd w:val="clear" w:color="auto" w:fill="D9D9D9" w:themeFill="background1" w:themeFillShade="D9"/>
            <w:vAlign w:val="center"/>
          </w:tcPr>
          <w:p w14:paraId="2466CA1D" w14:textId="77777777" w:rsidR="00810FAC" w:rsidRPr="00D33008" w:rsidRDefault="00810FAC" w:rsidP="00810FAC">
            <w:pPr>
              <w:pStyle w:val="CH5TableText"/>
            </w:pPr>
          </w:p>
        </w:tc>
        <w:tc>
          <w:tcPr>
            <w:tcW w:w="4281" w:type="pct"/>
            <w:gridSpan w:val="8"/>
            <w:shd w:val="clear" w:color="auto" w:fill="D9D9D9" w:themeFill="background1" w:themeFillShade="D9"/>
          </w:tcPr>
          <w:p w14:paraId="1664701D" w14:textId="77777777" w:rsidR="00810FAC" w:rsidRPr="00D33008" w:rsidRDefault="00810FAC" w:rsidP="00810FAC">
            <w:pPr>
              <w:pStyle w:val="CH5TableText"/>
              <w:rPr>
                <w:b/>
              </w:rPr>
            </w:pPr>
            <w:r w:rsidRPr="00D33008">
              <w:rPr>
                <w:b/>
              </w:rPr>
              <w:t>Year</w:t>
            </w:r>
          </w:p>
        </w:tc>
      </w:tr>
      <w:tr w:rsidR="00810FAC" w:rsidRPr="00D33008" w14:paraId="419AA7AB" w14:textId="77777777" w:rsidTr="00BF5472">
        <w:trPr>
          <w:cantSplit/>
          <w:tblHeader/>
          <w:jc w:val="center"/>
        </w:trPr>
        <w:tc>
          <w:tcPr>
            <w:tcW w:w="719" w:type="pct"/>
            <w:vMerge/>
            <w:shd w:val="clear" w:color="auto" w:fill="D9D9D9" w:themeFill="background1" w:themeFillShade="D9"/>
            <w:vAlign w:val="center"/>
          </w:tcPr>
          <w:p w14:paraId="42D7B92B" w14:textId="77777777" w:rsidR="00810FAC" w:rsidRPr="00D33008" w:rsidRDefault="00810FAC" w:rsidP="00810FAC">
            <w:pPr>
              <w:pStyle w:val="CH5TableText"/>
            </w:pPr>
          </w:p>
        </w:tc>
        <w:tc>
          <w:tcPr>
            <w:tcW w:w="535" w:type="pct"/>
            <w:shd w:val="clear" w:color="auto" w:fill="D9D9D9" w:themeFill="background1" w:themeFillShade="D9"/>
            <w:vAlign w:val="center"/>
          </w:tcPr>
          <w:p w14:paraId="68E77F56" w14:textId="77777777" w:rsidR="00810FAC" w:rsidRPr="00D33008" w:rsidRDefault="00810FAC" w:rsidP="00810FAC">
            <w:pPr>
              <w:pStyle w:val="CH5TableText"/>
              <w:rPr>
                <w:b/>
              </w:rPr>
            </w:pPr>
            <w:r w:rsidRPr="00D33008">
              <w:rPr>
                <w:b/>
              </w:rPr>
              <w:t>2020</w:t>
            </w:r>
          </w:p>
        </w:tc>
        <w:tc>
          <w:tcPr>
            <w:tcW w:w="535" w:type="pct"/>
            <w:shd w:val="clear" w:color="auto" w:fill="D9D9D9" w:themeFill="background1" w:themeFillShade="D9"/>
            <w:vAlign w:val="center"/>
          </w:tcPr>
          <w:p w14:paraId="140CE27B" w14:textId="77777777" w:rsidR="00810FAC" w:rsidRPr="00D33008" w:rsidRDefault="00810FAC" w:rsidP="00810FAC">
            <w:pPr>
              <w:pStyle w:val="CH5TableText"/>
              <w:rPr>
                <w:b/>
              </w:rPr>
            </w:pPr>
            <w:r w:rsidRPr="00D33008">
              <w:rPr>
                <w:b/>
              </w:rPr>
              <w:t>2021</w:t>
            </w:r>
          </w:p>
        </w:tc>
        <w:tc>
          <w:tcPr>
            <w:tcW w:w="535" w:type="pct"/>
            <w:shd w:val="clear" w:color="auto" w:fill="D9D9D9" w:themeFill="background1" w:themeFillShade="D9"/>
            <w:vAlign w:val="center"/>
          </w:tcPr>
          <w:p w14:paraId="4D595329" w14:textId="77777777" w:rsidR="00810FAC" w:rsidRPr="00D33008" w:rsidRDefault="00810FAC" w:rsidP="00810FAC">
            <w:pPr>
              <w:pStyle w:val="CH5TableText"/>
              <w:rPr>
                <w:b/>
              </w:rPr>
            </w:pPr>
            <w:r w:rsidRPr="00D33008">
              <w:rPr>
                <w:b/>
              </w:rPr>
              <w:t>2022</w:t>
            </w:r>
          </w:p>
        </w:tc>
        <w:tc>
          <w:tcPr>
            <w:tcW w:w="535" w:type="pct"/>
            <w:shd w:val="clear" w:color="auto" w:fill="D9D9D9" w:themeFill="background1" w:themeFillShade="D9"/>
            <w:vAlign w:val="center"/>
          </w:tcPr>
          <w:p w14:paraId="76D83ADC" w14:textId="77777777" w:rsidR="00810FAC" w:rsidRPr="00D33008" w:rsidRDefault="00810FAC" w:rsidP="00810FAC">
            <w:pPr>
              <w:pStyle w:val="CH5TableText"/>
              <w:rPr>
                <w:b/>
              </w:rPr>
            </w:pPr>
            <w:r w:rsidRPr="00D33008">
              <w:rPr>
                <w:b/>
              </w:rPr>
              <w:t>2023</w:t>
            </w:r>
          </w:p>
        </w:tc>
        <w:tc>
          <w:tcPr>
            <w:tcW w:w="535" w:type="pct"/>
            <w:shd w:val="clear" w:color="auto" w:fill="D9D9D9" w:themeFill="background1" w:themeFillShade="D9"/>
            <w:vAlign w:val="center"/>
          </w:tcPr>
          <w:p w14:paraId="60570A7F" w14:textId="77777777" w:rsidR="00810FAC" w:rsidRPr="00D33008" w:rsidRDefault="00810FAC" w:rsidP="00810FAC">
            <w:pPr>
              <w:pStyle w:val="CH5TableText"/>
              <w:rPr>
                <w:b/>
              </w:rPr>
            </w:pPr>
            <w:r w:rsidRPr="00D33008">
              <w:rPr>
                <w:b/>
              </w:rPr>
              <w:t>2024</w:t>
            </w:r>
          </w:p>
        </w:tc>
        <w:tc>
          <w:tcPr>
            <w:tcW w:w="535" w:type="pct"/>
            <w:shd w:val="clear" w:color="auto" w:fill="D9D9D9" w:themeFill="background1" w:themeFillShade="D9"/>
            <w:vAlign w:val="center"/>
          </w:tcPr>
          <w:p w14:paraId="063A9EA7" w14:textId="77777777" w:rsidR="00810FAC" w:rsidRPr="00D33008" w:rsidRDefault="00810FAC" w:rsidP="00810FAC">
            <w:pPr>
              <w:pStyle w:val="CH5TableText"/>
              <w:rPr>
                <w:b/>
              </w:rPr>
            </w:pPr>
            <w:r w:rsidRPr="00D33008">
              <w:rPr>
                <w:b/>
              </w:rPr>
              <w:t>2025</w:t>
            </w:r>
          </w:p>
        </w:tc>
        <w:tc>
          <w:tcPr>
            <w:tcW w:w="535" w:type="pct"/>
            <w:shd w:val="clear" w:color="auto" w:fill="D9D9D9" w:themeFill="background1" w:themeFillShade="D9"/>
            <w:vAlign w:val="center"/>
          </w:tcPr>
          <w:p w14:paraId="11E53175" w14:textId="77777777" w:rsidR="00810FAC" w:rsidRPr="00D33008" w:rsidRDefault="00810FAC" w:rsidP="00810FAC">
            <w:pPr>
              <w:pStyle w:val="CH5TableText"/>
              <w:rPr>
                <w:b/>
              </w:rPr>
            </w:pPr>
            <w:r>
              <w:rPr>
                <w:b/>
              </w:rPr>
              <w:t>2026</w:t>
            </w:r>
          </w:p>
        </w:tc>
        <w:tc>
          <w:tcPr>
            <w:tcW w:w="535" w:type="pct"/>
            <w:shd w:val="clear" w:color="auto" w:fill="D9D9D9" w:themeFill="background1" w:themeFillShade="D9"/>
            <w:vAlign w:val="center"/>
          </w:tcPr>
          <w:p w14:paraId="20A6FF3E" w14:textId="77777777" w:rsidR="00810FAC" w:rsidRPr="00D33008" w:rsidRDefault="00810FAC" w:rsidP="00810FAC">
            <w:pPr>
              <w:pStyle w:val="CH5TableText"/>
              <w:rPr>
                <w:b/>
              </w:rPr>
            </w:pPr>
            <w:r>
              <w:rPr>
                <w:b/>
              </w:rPr>
              <w:t>2027</w:t>
            </w:r>
          </w:p>
        </w:tc>
      </w:tr>
      <w:tr w:rsidR="00810FAC" w:rsidRPr="00D33008" w14:paraId="50CE4A96" w14:textId="77777777" w:rsidTr="00BF5472">
        <w:tblPrEx>
          <w:jc w:val="left"/>
        </w:tblPrEx>
        <w:trPr>
          <w:cantSplit/>
        </w:trPr>
        <w:tc>
          <w:tcPr>
            <w:tcW w:w="719" w:type="pct"/>
          </w:tcPr>
          <w:p w14:paraId="651F2329" w14:textId="77777777" w:rsidR="00810FAC" w:rsidRPr="00D33008" w:rsidRDefault="00810FAC" w:rsidP="00810FAC">
            <w:pPr>
              <w:pStyle w:val="CH5TableText"/>
              <w:rPr>
                <w:b/>
              </w:rPr>
            </w:pPr>
            <w:r w:rsidRPr="00D33008">
              <w:rPr>
                <w:b/>
              </w:rPr>
              <w:t>BAU Sales</w:t>
            </w:r>
          </w:p>
          <w:p w14:paraId="7694C624" w14:textId="77777777" w:rsidR="00810FAC" w:rsidRPr="00D33008" w:rsidRDefault="00810FAC" w:rsidP="00810FAC">
            <w:pPr>
              <w:pStyle w:val="CH5TableText"/>
              <w:rPr>
                <w:b/>
              </w:rPr>
            </w:pPr>
            <w:r w:rsidRPr="00D33008">
              <w:rPr>
                <w:b/>
              </w:rPr>
              <w:t>(GWh)</w:t>
            </w:r>
          </w:p>
        </w:tc>
        <w:tc>
          <w:tcPr>
            <w:tcW w:w="535" w:type="pct"/>
            <w:vAlign w:val="center"/>
          </w:tcPr>
          <w:p w14:paraId="448242A5" w14:textId="77777777" w:rsidR="00810FAC" w:rsidRPr="00D33008" w:rsidRDefault="00810FAC" w:rsidP="00810FAC">
            <w:pPr>
              <w:pStyle w:val="CH5TableText"/>
            </w:pPr>
            <w:r>
              <w:t>83,601</w:t>
            </w:r>
          </w:p>
        </w:tc>
        <w:tc>
          <w:tcPr>
            <w:tcW w:w="535" w:type="pct"/>
            <w:vAlign w:val="center"/>
          </w:tcPr>
          <w:p w14:paraId="54439F9D" w14:textId="77777777" w:rsidR="00810FAC" w:rsidRPr="00D33008" w:rsidRDefault="00810FAC" w:rsidP="00810FAC">
            <w:pPr>
              <w:pStyle w:val="CH5TableText"/>
            </w:pPr>
            <w:r>
              <w:t>84,341</w:t>
            </w:r>
          </w:p>
        </w:tc>
        <w:tc>
          <w:tcPr>
            <w:tcW w:w="535" w:type="pct"/>
            <w:vAlign w:val="center"/>
          </w:tcPr>
          <w:p w14:paraId="414F248C" w14:textId="77777777" w:rsidR="00810FAC" w:rsidRPr="00D33008" w:rsidRDefault="00810FAC" w:rsidP="00810FAC">
            <w:pPr>
              <w:pStyle w:val="CH5TableText"/>
            </w:pPr>
            <w:r>
              <w:t>85,087</w:t>
            </w:r>
          </w:p>
        </w:tc>
        <w:tc>
          <w:tcPr>
            <w:tcW w:w="535" w:type="pct"/>
            <w:vAlign w:val="center"/>
          </w:tcPr>
          <w:p w14:paraId="1439F8E3" w14:textId="77777777" w:rsidR="00810FAC" w:rsidRPr="00D33008" w:rsidRDefault="00810FAC" w:rsidP="00810FAC">
            <w:pPr>
              <w:pStyle w:val="CH5TableText"/>
            </w:pPr>
            <w:r>
              <w:t>85,840</w:t>
            </w:r>
          </w:p>
        </w:tc>
        <w:tc>
          <w:tcPr>
            <w:tcW w:w="535" w:type="pct"/>
            <w:vAlign w:val="center"/>
          </w:tcPr>
          <w:p w14:paraId="0F0DD0C5" w14:textId="77777777" w:rsidR="00810FAC" w:rsidRPr="00D33008" w:rsidRDefault="00810FAC" w:rsidP="00810FAC">
            <w:pPr>
              <w:pStyle w:val="CH5TableText"/>
            </w:pPr>
            <w:r>
              <w:t>86,599</w:t>
            </w:r>
          </w:p>
        </w:tc>
        <w:tc>
          <w:tcPr>
            <w:tcW w:w="535" w:type="pct"/>
            <w:vAlign w:val="center"/>
          </w:tcPr>
          <w:p w14:paraId="200EC0CD" w14:textId="77777777" w:rsidR="00810FAC" w:rsidRPr="00D33008" w:rsidRDefault="00810FAC" w:rsidP="00810FAC">
            <w:pPr>
              <w:pStyle w:val="CH5TableText"/>
            </w:pPr>
            <w:r>
              <w:t>87,365</w:t>
            </w:r>
          </w:p>
        </w:tc>
        <w:tc>
          <w:tcPr>
            <w:tcW w:w="535" w:type="pct"/>
            <w:vAlign w:val="center"/>
          </w:tcPr>
          <w:p w14:paraId="71074AE4" w14:textId="77777777" w:rsidR="00810FAC" w:rsidRPr="00D33008" w:rsidRDefault="00810FAC" w:rsidP="00810FAC">
            <w:pPr>
              <w:pStyle w:val="CH5TableText"/>
            </w:pPr>
            <w:r>
              <w:t>88,138</w:t>
            </w:r>
          </w:p>
        </w:tc>
        <w:tc>
          <w:tcPr>
            <w:tcW w:w="535" w:type="pct"/>
            <w:vAlign w:val="center"/>
          </w:tcPr>
          <w:p w14:paraId="3FD1058A" w14:textId="77777777" w:rsidR="00810FAC" w:rsidRPr="00D33008" w:rsidRDefault="00810FAC" w:rsidP="00810FAC">
            <w:pPr>
              <w:pStyle w:val="CH5TableText"/>
            </w:pPr>
            <w:r>
              <w:t>88,918</w:t>
            </w:r>
          </w:p>
        </w:tc>
      </w:tr>
      <w:tr w:rsidR="00810FAC" w:rsidRPr="00D33008" w14:paraId="4C0F62C9" w14:textId="77777777" w:rsidTr="00BF5472">
        <w:tblPrEx>
          <w:jc w:val="left"/>
        </w:tblPrEx>
        <w:trPr>
          <w:cantSplit/>
        </w:trPr>
        <w:tc>
          <w:tcPr>
            <w:tcW w:w="719" w:type="pct"/>
          </w:tcPr>
          <w:p w14:paraId="151032F6" w14:textId="77777777" w:rsidR="00810FAC" w:rsidRPr="00D33008" w:rsidRDefault="00810FAC" w:rsidP="00810FAC">
            <w:pPr>
              <w:pStyle w:val="CH5TableText"/>
              <w:rPr>
                <w:b/>
              </w:rPr>
            </w:pPr>
            <w:r w:rsidRPr="00D33008">
              <w:rPr>
                <w:b/>
              </w:rPr>
              <w:t>Annual Incremental EE Savings (% sales)</w:t>
            </w:r>
          </w:p>
        </w:tc>
        <w:tc>
          <w:tcPr>
            <w:tcW w:w="535" w:type="pct"/>
            <w:vAlign w:val="center"/>
          </w:tcPr>
          <w:p w14:paraId="297FD25F" w14:textId="77777777" w:rsidR="00810FAC" w:rsidRPr="00D33008" w:rsidRDefault="00810FAC" w:rsidP="00810FAC">
            <w:pPr>
              <w:pStyle w:val="CH5TableText"/>
            </w:pPr>
            <w:r>
              <w:t>0.46%</w:t>
            </w:r>
          </w:p>
        </w:tc>
        <w:tc>
          <w:tcPr>
            <w:tcW w:w="535" w:type="pct"/>
            <w:vAlign w:val="center"/>
          </w:tcPr>
          <w:p w14:paraId="27B65989" w14:textId="77777777" w:rsidR="00810FAC" w:rsidRPr="00D33008" w:rsidRDefault="00810FAC" w:rsidP="00810FAC">
            <w:pPr>
              <w:pStyle w:val="CH5TableText"/>
            </w:pPr>
            <w:r>
              <w:t>0.66%</w:t>
            </w:r>
          </w:p>
        </w:tc>
        <w:tc>
          <w:tcPr>
            <w:tcW w:w="535" w:type="pct"/>
            <w:vAlign w:val="center"/>
          </w:tcPr>
          <w:p w14:paraId="19959A23" w14:textId="77777777" w:rsidR="00810FAC" w:rsidRPr="00D33008" w:rsidRDefault="00810FAC" w:rsidP="00810FAC">
            <w:pPr>
              <w:pStyle w:val="CH5TableText"/>
            </w:pPr>
            <w:r>
              <w:t>0.86%</w:t>
            </w:r>
          </w:p>
        </w:tc>
        <w:tc>
          <w:tcPr>
            <w:tcW w:w="535" w:type="pct"/>
            <w:vAlign w:val="center"/>
          </w:tcPr>
          <w:p w14:paraId="1B47017D" w14:textId="77777777" w:rsidR="00810FAC" w:rsidRPr="00D33008" w:rsidRDefault="00810FAC" w:rsidP="00810FAC">
            <w:pPr>
              <w:pStyle w:val="CH5TableText"/>
            </w:pPr>
            <w:r>
              <w:t>1.00%</w:t>
            </w:r>
          </w:p>
        </w:tc>
        <w:tc>
          <w:tcPr>
            <w:tcW w:w="535" w:type="pct"/>
            <w:vAlign w:val="center"/>
          </w:tcPr>
          <w:p w14:paraId="0E10EAE9" w14:textId="77777777" w:rsidR="00810FAC" w:rsidRPr="00D33008" w:rsidRDefault="00810FAC" w:rsidP="00810FAC">
            <w:pPr>
              <w:pStyle w:val="CH5TableText"/>
            </w:pPr>
            <w:r>
              <w:t>1.00%</w:t>
            </w:r>
          </w:p>
        </w:tc>
        <w:tc>
          <w:tcPr>
            <w:tcW w:w="535" w:type="pct"/>
            <w:vAlign w:val="center"/>
          </w:tcPr>
          <w:p w14:paraId="3A109F99" w14:textId="77777777" w:rsidR="00810FAC" w:rsidRPr="00D33008" w:rsidRDefault="00810FAC" w:rsidP="00810FAC">
            <w:pPr>
              <w:pStyle w:val="CH5TableText"/>
            </w:pPr>
            <w:r>
              <w:t>1.00%</w:t>
            </w:r>
          </w:p>
        </w:tc>
        <w:tc>
          <w:tcPr>
            <w:tcW w:w="535" w:type="pct"/>
            <w:vAlign w:val="center"/>
          </w:tcPr>
          <w:p w14:paraId="2AC777D7" w14:textId="77777777" w:rsidR="00810FAC" w:rsidRPr="00D33008" w:rsidRDefault="00810FAC" w:rsidP="00810FAC">
            <w:pPr>
              <w:pStyle w:val="CH5TableText"/>
            </w:pPr>
            <w:r>
              <w:t>1.00%</w:t>
            </w:r>
          </w:p>
        </w:tc>
        <w:tc>
          <w:tcPr>
            <w:tcW w:w="535" w:type="pct"/>
            <w:vAlign w:val="center"/>
          </w:tcPr>
          <w:p w14:paraId="414D42FB" w14:textId="77777777" w:rsidR="00810FAC" w:rsidRPr="00D33008" w:rsidRDefault="00810FAC" w:rsidP="00810FAC">
            <w:pPr>
              <w:pStyle w:val="CH5TableText"/>
            </w:pPr>
            <w:r>
              <w:t>1.00%</w:t>
            </w:r>
          </w:p>
        </w:tc>
      </w:tr>
      <w:tr w:rsidR="00810FAC" w:rsidRPr="00D33008" w14:paraId="04B54922" w14:textId="77777777" w:rsidTr="00BF5472">
        <w:tblPrEx>
          <w:jc w:val="left"/>
        </w:tblPrEx>
        <w:trPr>
          <w:cantSplit/>
        </w:trPr>
        <w:tc>
          <w:tcPr>
            <w:tcW w:w="719" w:type="pct"/>
          </w:tcPr>
          <w:p w14:paraId="054D9D6D" w14:textId="77777777" w:rsidR="00810FAC" w:rsidRPr="00D33008" w:rsidRDefault="00810FAC" w:rsidP="00810FAC">
            <w:pPr>
              <w:pStyle w:val="CH5TableText"/>
              <w:rPr>
                <w:b/>
              </w:rPr>
            </w:pPr>
            <w:r w:rsidRPr="00D33008">
              <w:rPr>
                <w:b/>
              </w:rPr>
              <w:t>Annual Incremental EE Savings (GWh)</w:t>
            </w:r>
          </w:p>
        </w:tc>
        <w:tc>
          <w:tcPr>
            <w:tcW w:w="535" w:type="pct"/>
            <w:vAlign w:val="center"/>
          </w:tcPr>
          <w:p w14:paraId="0D9D215D" w14:textId="77777777" w:rsidR="00810FAC" w:rsidRPr="00D33008" w:rsidRDefault="00810FAC" w:rsidP="00810FAC">
            <w:pPr>
              <w:pStyle w:val="CH5TableText"/>
            </w:pPr>
            <w:r>
              <w:t>385</w:t>
            </w:r>
          </w:p>
        </w:tc>
        <w:tc>
          <w:tcPr>
            <w:tcW w:w="535" w:type="pct"/>
            <w:vAlign w:val="center"/>
          </w:tcPr>
          <w:p w14:paraId="60159A31" w14:textId="77777777" w:rsidR="00810FAC" w:rsidRPr="00D33008" w:rsidRDefault="00810FAC" w:rsidP="00810FAC">
            <w:pPr>
              <w:pStyle w:val="CH5TableText"/>
            </w:pPr>
            <w:r>
              <w:t>553</w:t>
            </w:r>
          </w:p>
        </w:tc>
        <w:tc>
          <w:tcPr>
            <w:tcW w:w="535" w:type="pct"/>
            <w:vAlign w:val="center"/>
          </w:tcPr>
          <w:p w14:paraId="37C9267D" w14:textId="77777777" w:rsidR="00810FAC" w:rsidRPr="00D33008" w:rsidRDefault="00810FAC" w:rsidP="00810FAC">
            <w:pPr>
              <w:pStyle w:val="CH5TableText"/>
            </w:pPr>
            <w:r>
              <w:t>721</w:t>
            </w:r>
          </w:p>
        </w:tc>
        <w:tc>
          <w:tcPr>
            <w:tcW w:w="535" w:type="pct"/>
            <w:vAlign w:val="center"/>
          </w:tcPr>
          <w:p w14:paraId="3AD65756" w14:textId="77777777" w:rsidR="00810FAC" w:rsidRPr="00D33008" w:rsidRDefault="00810FAC" w:rsidP="00810FAC">
            <w:pPr>
              <w:pStyle w:val="CH5TableText"/>
            </w:pPr>
            <w:r>
              <w:t>834</w:t>
            </w:r>
          </w:p>
        </w:tc>
        <w:tc>
          <w:tcPr>
            <w:tcW w:w="535" w:type="pct"/>
            <w:vAlign w:val="center"/>
          </w:tcPr>
          <w:p w14:paraId="4BE1547C" w14:textId="77777777" w:rsidR="00810FAC" w:rsidRPr="00D33008" w:rsidRDefault="00810FAC" w:rsidP="00810FAC">
            <w:pPr>
              <w:pStyle w:val="CH5TableText"/>
            </w:pPr>
            <w:r>
              <w:t>833</w:t>
            </w:r>
          </w:p>
        </w:tc>
        <w:tc>
          <w:tcPr>
            <w:tcW w:w="535" w:type="pct"/>
            <w:vAlign w:val="center"/>
          </w:tcPr>
          <w:p w14:paraId="1E72F583" w14:textId="77777777" w:rsidR="00810FAC" w:rsidRPr="00D33008" w:rsidRDefault="00810FAC" w:rsidP="00810FAC">
            <w:pPr>
              <w:pStyle w:val="CH5TableText"/>
            </w:pPr>
            <w:r>
              <w:t>833</w:t>
            </w:r>
          </w:p>
        </w:tc>
        <w:tc>
          <w:tcPr>
            <w:tcW w:w="535" w:type="pct"/>
            <w:vAlign w:val="center"/>
          </w:tcPr>
          <w:p w14:paraId="3B415B9C" w14:textId="77777777" w:rsidR="00810FAC" w:rsidRPr="00D33008" w:rsidRDefault="00810FAC" w:rsidP="00810FAC">
            <w:pPr>
              <w:pStyle w:val="CH5TableText"/>
            </w:pPr>
            <w:r>
              <w:t>832</w:t>
            </w:r>
          </w:p>
        </w:tc>
        <w:tc>
          <w:tcPr>
            <w:tcW w:w="535" w:type="pct"/>
            <w:vAlign w:val="center"/>
          </w:tcPr>
          <w:p w14:paraId="55645247" w14:textId="77777777" w:rsidR="00810FAC" w:rsidRPr="00D33008" w:rsidRDefault="00810FAC" w:rsidP="00810FAC">
            <w:pPr>
              <w:pStyle w:val="CH5TableText"/>
            </w:pPr>
            <w:r>
              <w:t>832</w:t>
            </w:r>
          </w:p>
        </w:tc>
      </w:tr>
      <w:tr w:rsidR="00810FAC" w:rsidRPr="00D33008" w14:paraId="0C95A951" w14:textId="77777777" w:rsidTr="00BF5472">
        <w:tblPrEx>
          <w:jc w:val="left"/>
        </w:tblPrEx>
        <w:trPr>
          <w:cantSplit/>
        </w:trPr>
        <w:tc>
          <w:tcPr>
            <w:tcW w:w="719" w:type="pct"/>
          </w:tcPr>
          <w:p w14:paraId="39C360F0" w14:textId="77777777" w:rsidR="00810FAC" w:rsidRPr="00D33008" w:rsidRDefault="00810FAC" w:rsidP="00810FAC">
            <w:pPr>
              <w:pStyle w:val="CH5TableText"/>
              <w:rPr>
                <w:b/>
              </w:rPr>
            </w:pPr>
            <w:r>
              <w:rPr>
                <w:b/>
              </w:rPr>
              <w:t xml:space="preserve">Annual </w:t>
            </w:r>
            <w:r w:rsidRPr="00D33008">
              <w:rPr>
                <w:b/>
              </w:rPr>
              <w:t>Expiring EE Savings (GWh)</w:t>
            </w:r>
          </w:p>
        </w:tc>
        <w:tc>
          <w:tcPr>
            <w:tcW w:w="535" w:type="pct"/>
            <w:vAlign w:val="center"/>
          </w:tcPr>
          <w:p w14:paraId="176AAAE3" w14:textId="77777777" w:rsidR="00810FAC" w:rsidRPr="00D33008" w:rsidRDefault="00810FAC" w:rsidP="00810FAC">
            <w:pPr>
              <w:pStyle w:val="CH5TableText"/>
            </w:pPr>
            <w:r>
              <w:t>0</w:t>
            </w:r>
          </w:p>
        </w:tc>
        <w:tc>
          <w:tcPr>
            <w:tcW w:w="535" w:type="pct"/>
            <w:vAlign w:val="center"/>
          </w:tcPr>
          <w:p w14:paraId="722A75D1" w14:textId="77777777" w:rsidR="00810FAC" w:rsidRPr="00D33008" w:rsidRDefault="00810FAC" w:rsidP="00810FAC">
            <w:pPr>
              <w:pStyle w:val="CH5TableText"/>
            </w:pPr>
            <w:r>
              <w:t>0</w:t>
            </w:r>
          </w:p>
        </w:tc>
        <w:tc>
          <w:tcPr>
            <w:tcW w:w="535" w:type="pct"/>
            <w:vAlign w:val="center"/>
          </w:tcPr>
          <w:p w14:paraId="61F6CB55" w14:textId="77777777" w:rsidR="00810FAC" w:rsidRPr="00D33008" w:rsidRDefault="00810FAC" w:rsidP="00810FAC">
            <w:pPr>
              <w:pStyle w:val="CH5TableText"/>
            </w:pPr>
            <w:r>
              <w:t>0</w:t>
            </w:r>
          </w:p>
        </w:tc>
        <w:tc>
          <w:tcPr>
            <w:tcW w:w="535" w:type="pct"/>
            <w:vAlign w:val="center"/>
          </w:tcPr>
          <w:p w14:paraId="53E3782F" w14:textId="77777777" w:rsidR="00810FAC" w:rsidRPr="00D33008" w:rsidRDefault="00810FAC" w:rsidP="00810FAC">
            <w:pPr>
              <w:pStyle w:val="CH5TableText"/>
            </w:pPr>
            <w:r>
              <w:t>0</w:t>
            </w:r>
          </w:p>
        </w:tc>
        <w:tc>
          <w:tcPr>
            <w:tcW w:w="535" w:type="pct"/>
            <w:vAlign w:val="center"/>
          </w:tcPr>
          <w:p w14:paraId="58868A06" w14:textId="77777777" w:rsidR="00810FAC" w:rsidRPr="00D33008" w:rsidRDefault="00810FAC" w:rsidP="00810FAC">
            <w:pPr>
              <w:pStyle w:val="CH5TableText"/>
            </w:pPr>
            <w:r>
              <w:t>0</w:t>
            </w:r>
          </w:p>
        </w:tc>
        <w:tc>
          <w:tcPr>
            <w:tcW w:w="535" w:type="pct"/>
            <w:vAlign w:val="center"/>
          </w:tcPr>
          <w:p w14:paraId="3C69F80C" w14:textId="77777777" w:rsidR="00810FAC" w:rsidRPr="00D33008" w:rsidRDefault="00810FAC" w:rsidP="00810FAC">
            <w:pPr>
              <w:pStyle w:val="CH5TableText"/>
            </w:pPr>
            <w:r>
              <w:t>0</w:t>
            </w:r>
          </w:p>
        </w:tc>
        <w:tc>
          <w:tcPr>
            <w:tcW w:w="535" w:type="pct"/>
            <w:vAlign w:val="center"/>
          </w:tcPr>
          <w:p w14:paraId="485DC577" w14:textId="77777777" w:rsidR="00810FAC" w:rsidRPr="00D33008" w:rsidRDefault="00810FAC" w:rsidP="00810FAC">
            <w:pPr>
              <w:pStyle w:val="CH5TableText"/>
            </w:pPr>
            <w:r>
              <w:t>69</w:t>
            </w:r>
          </w:p>
        </w:tc>
        <w:tc>
          <w:tcPr>
            <w:tcW w:w="535" w:type="pct"/>
            <w:vAlign w:val="center"/>
          </w:tcPr>
          <w:p w14:paraId="506D4FA7" w14:textId="77777777" w:rsidR="00810FAC" w:rsidRPr="00D33008" w:rsidRDefault="00810FAC" w:rsidP="00810FAC">
            <w:pPr>
              <w:pStyle w:val="CH5TableText"/>
            </w:pPr>
            <w:r>
              <w:t>165</w:t>
            </w:r>
          </w:p>
        </w:tc>
      </w:tr>
      <w:tr w:rsidR="00810FAC" w:rsidRPr="00D33008" w14:paraId="1D7C8585" w14:textId="77777777" w:rsidTr="00BF5472">
        <w:tblPrEx>
          <w:jc w:val="left"/>
        </w:tblPrEx>
        <w:trPr>
          <w:cantSplit/>
        </w:trPr>
        <w:tc>
          <w:tcPr>
            <w:tcW w:w="719" w:type="pct"/>
          </w:tcPr>
          <w:p w14:paraId="648D2E43" w14:textId="77777777" w:rsidR="00810FAC" w:rsidRPr="00D33008" w:rsidRDefault="00810FAC" w:rsidP="00810FAC">
            <w:pPr>
              <w:pStyle w:val="CH5TableText"/>
              <w:rPr>
                <w:b/>
              </w:rPr>
            </w:pPr>
            <w:r w:rsidRPr="00D33008">
              <w:rPr>
                <w:b/>
              </w:rPr>
              <w:t>Net Cumulative EE Savings (GWh)</w:t>
            </w:r>
          </w:p>
        </w:tc>
        <w:tc>
          <w:tcPr>
            <w:tcW w:w="535" w:type="pct"/>
            <w:vAlign w:val="center"/>
          </w:tcPr>
          <w:p w14:paraId="1734B621" w14:textId="77777777" w:rsidR="00810FAC" w:rsidRPr="00D33008" w:rsidRDefault="00810FAC" w:rsidP="00810FAC">
            <w:pPr>
              <w:pStyle w:val="CH5TableText"/>
            </w:pPr>
            <w:r w:rsidRPr="003A4269">
              <w:t>385</w:t>
            </w:r>
          </w:p>
        </w:tc>
        <w:tc>
          <w:tcPr>
            <w:tcW w:w="535" w:type="pct"/>
            <w:vAlign w:val="center"/>
          </w:tcPr>
          <w:p w14:paraId="5C3BD825" w14:textId="77777777" w:rsidR="00810FAC" w:rsidRPr="00D33008" w:rsidRDefault="00810FAC" w:rsidP="00810FAC">
            <w:pPr>
              <w:pStyle w:val="CH5TableText"/>
            </w:pPr>
            <w:r w:rsidRPr="003A4269">
              <w:t>938</w:t>
            </w:r>
          </w:p>
        </w:tc>
        <w:tc>
          <w:tcPr>
            <w:tcW w:w="535" w:type="pct"/>
            <w:vAlign w:val="center"/>
          </w:tcPr>
          <w:p w14:paraId="7EDFDA34" w14:textId="77777777" w:rsidR="00810FAC" w:rsidRPr="00D33008" w:rsidRDefault="00810FAC" w:rsidP="00810FAC">
            <w:pPr>
              <w:pStyle w:val="CH5TableText"/>
            </w:pPr>
            <w:r w:rsidRPr="003A4269">
              <w:t>1,659</w:t>
            </w:r>
          </w:p>
        </w:tc>
        <w:tc>
          <w:tcPr>
            <w:tcW w:w="535" w:type="pct"/>
            <w:vAlign w:val="center"/>
          </w:tcPr>
          <w:p w14:paraId="6CC30A21" w14:textId="77777777" w:rsidR="00810FAC" w:rsidRPr="00D33008" w:rsidRDefault="00810FAC" w:rsidP="00810FAC">
            <w:pPr>
              <w:pStyle w:val="CH5TableText"/>
            </w:pPr>
            <w:r w:rsidRPr="003A4269">
              <w:t>2,493</w:t>
            </w:r>
          </w:p>
        </w:tc>
        <w:tc>
          <w:tcPr>
            <w:tcW w:w="535" w:type="pct"/>
            <w:vAlign w:val="center"/>
          </w:tcPr>
          <w:p w14:paraId="11687CF7" w14:textId="77777777" w:rsidR="00810FAC" w:rsidRPr="00D33008" w:rsidRDefault="00810FAC" w:rsidP="00810FAC">
            <w:pPr>
              <w:pStyle w:val="CH5TableText"/>
            </w:pPr>
            <w:r w:rsidRPr="003A4269">
              <w:t>3.327</w:t>
            </w:r>
          </w:p>
        </w:tc>
        <w:tc>
          <w:tcPr>
            <w:tcW w:w="535" w:type="pct"/>
            <w:vAlign w:val="center"/>
          </w:tcPr>
          <w:p w14:paraId="708ED5A3" w14:textId="77777777" w:rsidR="00810FAC" w:rsidRPr="00D33008" w:rsidRDefault="00810FAC" w:rsidP="00810FAC">
            <w:pPr>
              <w:pStyle w:val="CH5TableText"/>
            </w:pPr>
            <w:r w:rsidRPr="003A4269">
              <w:t>4,159</w:t>
            </w:r>
          </w:p>
        </w:tc>
        <w:tc>
          <w:tcPr>
            <w:tcW w:w="535" w:type="pct"/>
            <w:vAlign w:val="center"/>
          </w:tcPr>
          <w:p w14:paraId="32A6BA1D" w14:textId="77777777" w:rsidR="00810FAC" w:rsidRPr="00D33008" w:rsidRDefault="00810FAC" w:rsidP="00810FAC">
            <w:pPr>
              <w:pStyle w:val="CH5TableText"/>
            </w:pPr>
            <w:r w:rsidRPr="003A4269">
              <w:t>4,922</w:t>
            </w:r>
          </w:p>
        </w:tc>
        <w:tc>
          <w:tcPr>
            <w:tcW w:w="535" w:type="pct"/>
            <w:vAlign w:val="center"/>
          </w:tcPr>
          <w:p w14:paraId="413EB397" w14:textId="77777777" w:rsidR="00810FAC" w:rsidRPr="00D33008" w:rsidRDefault="00810FAC" w:rsidP="00810FAC">
            <w:pPr>
              <w:pStyle w:val="CH5TableText"/>
            </w:pPr>
            <w:r w:rsidRPr="003A4269">
              <w:t>5,589</w:t>
            </w:r>
          </w:p>
        </w:tc>
      </w:tr>
      <w:tr w:rsidR="00810FAC" w:rsidRPr="00D33008" w14:paraId="575A48A6" w14:textId="77777777" w:rsidTr="00BF5472">
        <w:tblPrEx>
          <w:jc w:val="left"/>
        </w:tblPrEx>
        <w:trPr>
          <w:cantSplit/>
        </w:trPr>
        <w:tc>
          <w:tcPr>
            <w:tcW w:w="719" w:type="pct"/>
          </w:tcPr>
          <w:p w14:paraId="4D1AF4BD" w14:textId="77777777" w:rsidR="00810FAC" w:rsidRPr="00D33008" w:rsidRDefault="00810FAC" w:rsidP="00810FAC">
            <w:pPr>
              <w:pStyle w:val="CH5TableText"/>
              <w:rPr>
                <w:b/>
              </w:rPr>
            </w:pPr>
            <w:r w:rsidRPr="00D33008">
              <w:rPr>
                <w:b/>
              </w:rPr>
              <w:t>Sales after Net EE</w:t>
            </w:r>
          </w:p>
          <w:p w14:paraId="1E2BE40F" w14:textId="77777777" w:rsidR="00810FAC" w:rsidRPr="00D33008" w:rsidRDefault="00810FAC" w:rsidP="00810FAC">
            <w:pPr>
              <w:pStyle w:val="CH5TableText"/>
              <w:rPr>
                <w:b/>
              </w:rPr>
            </w:pPr>
            <w:r w:rsidRPr="00D33008">
              <w:rPr>
                <w:b/>
              </w:rPr>
              <w:t>(GWh)</w:t>
            </w:r>
          </w:p>
        </w:tc>
        <w:tc>
          <w:tcPr>
            <w:tcW w:w="535" w:type="pct"/>
            <w:vAlign w:val="center"/>
          </w:tcPr>
          <w:p w14:paraId="14D8CE6C" w14:textId="77777777" w:rsidR="00810FAC" w:rsidRPr="00D33008" w:rsidDel="007A4765" w:rsidRDefault="00810FAC" w:rsidP="00810FAC">
            <w:pPr>
              <w:pStyle w:val="CH5TableText"/>
            </w:pPr>
            <w:r w:rsidRPr="00A9563E">
              <w:t>83,216</w:t>
            </w:r>
          </w:p>
        </w:tc>
        <w:tc>
          <w:tcPr>
            <w:tcW w:w="535" w:type="pct"/>
            <w:vAlign w:val="center"/>
          </w:tcPr>
          <w:p w14:paraId="5C73B6D6" w14:textId="77777777" w:rsidR="00810FAC" w:rsidRPr="00D33008" w:rsidDel="007A4765" w:rsidRDefault="00810FAC" w:rsidP="00810FAC">
            <w:pPr>
              <w:pStyle w:val="CH5TableText"/>
            </w:pPr>
            <w:r w:rsidRPr="00A9563E">
              <w:t>83,403</w:t>
            </w:r>
          </w:p>
        </w:tc>
        <w:tc>
          <w:tcPr>
            <w:tcW w:w="535" w:type="pct"/>
            <w:vAlign w:val="center"/>
          </w:tcPr>
          <w:p w14:paraId="5E3A1305" w14:textId="77777777" w:rsidR="00810FAC" w:rsidRPr="00D33008" w:rsidDel="007A4765" w:rsidRDefault="00810FAC" w:rsidP="00810FAC">
            <w:pPr>
              <w:pStyle w:val="CH5TableText"/>
            </w:pPr>
            <w:r w:rsidRPr="00A9563E">
              <w:t>83,428</w:t>
            </w:r>
          </w:p>
        </w:tc>
        <w:tc>
          <w:tcPr>
            <w:tcW w:w="535" w:type="pct"/>
            <w:vAlign w:val="center"/>
          </w:tcPr>
          <w:p w14:paraId="74F89A81" w14:textId="77777777" w:rsidR="00810FAC" w:rsidRPr="00D33008" w:rsidDel="007A4765" w:rsidRDefault="00810FAC" w:rsidP="00810FAC">
            <w:pPr>
              <w:pStyle w:val="CH5TableText"/>
            </w:pPr>
            <w:r w:rsidRPr="00A9563E">
              <w:t>83,346</w:t>
            </w:r>
          </w:p>
        </w:tc>
        <w:tc>
          <w:tcPr>
            <w:tcW w:w="535" w:type="pct"/>
            <w:vAlign w:val="center"/>
          </w:tcPr>
          <w:p w14:paraId="004C3217" w14:textId="77777777" w:rsidR="00810FAC" w:rsidRPr="00D33008" w:rsidDel="007A4765" w:rsidRDefault="00810FAC" w:rsidP="00810FAC">
            <w:pPr>
              <w:pStyle w:val="CH5TableText"/>
            </w:pPr>
            <w:r w:rsidRPr="00A9563E">
              <w:t>83,272</w:t>
            </w:r>
          </w:p>
        </w:tc>
        <w:tc>
          <w:tcPr>
            <w:tcW w:w="535" w:type="pct"/>
            <w:vAlign w:val="center"/>
          </w:tcPr>
          <w:p w14:paraId="062A4D23" w14:textId="77777777" w:rsidR="00810FAC" w:rsidRPr="00D33008" w:rsidDel="007A4765" w:rsidRDefault="00810FAC" w:rsidP="00810FAC">
            <w:pPr>
              <w:pStyle w:val="CH5TableText"/>
            </w:pPr>
            <w:r w:rsidRPr="00A9563E">
              <w:t>83,206</w:t>
            </w:r>
          </w:p>
        </w:tc>
        <w:tc>
          <w:tcPr>
            <w:tcW w:w="535" w:type="pct"/>
            <w:vAlign w:val="center"/>
          </w:tcPr>
          <w:p w14:paraId="1FDDF4B6" w14:textId="77777777" w:rsidR="00810FAC" w:rsidRPr="00D33008" w:rsidRDefault="00810FAC" w:rsidP="00810FAC">
            <w:pPr>
              <w:pStyle w:val="CH5TableText"/>
            </w:pPr>
            <w:r w:rsidRPr="00A9563E">
              <w:t>83,216</w:t>
            </w:r>
          </w:p>
        </w:tc>
        <w:tc>
          <w:tcPr>
            <w:tcW w:w="535" w:type="pct"/>
            <w:vAlign w:val="center"/>
          </w:tcPr>
          <w:p w14:paraId="2101A66C" w14:textId="77777777" w:rsidR="00810FAC" w:rsidRPr="00D33008" w:rsidRDefault="00810FAC" w:rsidP="00810FAC">
            <w:pPr>
              <w:pStyle w:val="CH5TableText"/>
            </w:pPr>
            <w:r w:rsidRPr="00A9563E">
              <w:t>83,329</w:t>
            </w:r>
          </w:p>
        </w:tc>
      </w:tr>
      <w:tr w:rsidR="00810FAC" w:rsidRPr="00D33008" w14:paraId="219B93F1" w14:textId="77777777" w:rsidTr="00BF5472">
        <w:tblPrEx>
          <w:jc w:val="left"/>
        </w:tblPrEx>
        <w:trPr>
          <w:cantSplit/>
        </w:trPr>
        <w:tc>
          <w:tcPr>
            <w:tcW w:w="719" w:type="pct"/>
          </w:tcPr>
          <w:p w14:paraId="3DA1EE78" w14:textId="77777777" w:rsidR="00810FAC" w:rsidRPr="00D33008" w:rsidRDefault="00810FAC" w:rsidP="00810FAC">
            <w:pPr>
              <w:pStyle w:val="CH5TableText"/>
              <w:rPr>
                <w:b/>
              </w:rPr>
            </w:pPr>
            <w:r w:rsidRPr="00D33008">
              <w:rPr>
                <w:b/>
              </w:rPr>
              <w:t>Net Cumulative EE Savings as % of BAU Sales</w:t>
            </w:r>
          </w:p>
        </w:tc>
        <w:tc>
          <w:tcPr>
            <w:tcW w:w="535" w:type="pct"/>
            <w:vAlign w:val="center"/>
          </w:tcPr>
          <w:p w14:paraId="084651CE" w14:textId="77777777" w:rsidR="00810FAC" w:rsidRPr="00D33008" w:rsidRDefault="00810FAC" w:rsidP="00810FAC">
            <w:pPr>
              <w:pStyle w:val="CH5TableText"/>
            </w:pPr>
            <w:r w:rsidRPr="00D37B14">
              <w:t>0.46%</w:t>
            </w:r>
          </w:p>
        </w:tc>
        <w:tc>
          <w:tcPr>
            <w:tcW w:w="535" w:type="pct"/>
            <w:vAlign w:val="center"/>
          </w:tcPr>
          <w:p w14:paraId="0CBD0802" w14:textId="77777777" w:rsidR="00810FAC" w:rsidRPr="00D33008" w:rsidRDefault="00810FAC" w:rsidP="00810FAC">
            <w:pPr>
              <w:pStyle w:val="CH5TableText"/>
            </w:pPr>
            <w:r w:rsidRPr="00D37B14">
              <w:t>1.11%</w:t>
            </w:r>
          </w:p>
        </w:tc>
        <w:tc>
          <w:tcPr>
            <w:tcW w:w="535" w:type="pct"/>
            <w:vAlign w:val="center"/>
          </w:tcPr>
          <w:p w14:paraId="4AE8E2BB" w14:textId="77777777" w:rsidR="00810FAC" w:rsidRPr="00D33008" w:rsidRDefault="00810FAC" w:rsidP="00810FAC">
            <w:pPr>
              <w:pStyle w:val="CH5TableText"/>
            </w:pPr>
            <w:r w:rsidRPr="00D37B14">
              <w:t>1.95%</w:t>
            </w:r>
          </w:p>
        </w:tc>
        <w:tc>
          <w:tcPr>
            <w:tcW w:w="535" w:type="pct"/>
            <w:vAlign w:val="center"/>
          </w:tcPr>
          <w:p w14:paraId="634F0E00" w14:textId="77777777" w:rsidR="00810FAC" w:rsidRPr="00D33008" w:rsidRDefault="00810FAC" w:rsidP="00810FAC">
            <w:pPr>
              <w:pStyle w:val="CH5TableText"/>
            </w:pPr>
            <w:r w:rsidRPr="00D37B14">
              <w:t>2.90%</w:t>
            </w:r>
          </w:p>
        </w:tc>
        <w:tc>
          <w:tcPr>
            <w:tcW w:w="535" w:type="pct"/>
            <w:vAlign w:val="center"/>
          </w:tcPr>
          <w:p w14:paraId="6AD90FAE" w14:textId="77777777" w:rsidR="00810FAC" w:rsidRPr="00D33008" w:rsidRDefault="00810FAC" w:rsidP="00810FAC">
            <w:pPr>
              <w:pStyle w:val="CH5TableText"/>
            </w:pPr>
            <w:r w:rsidRPr="00D37B14">
              <w:t>3.84%</w:t>
            </w:r>
          </w:p>
        </w:tc>
        <w:tc>
          <w:tcPr>
            <w:tcW w:w="535" w:type="pct"/>
            <w:vAlign w:val="center"/>
          </w:tcPr>
          <w:p w14:paraId="243B85D1" w14:textId="77777777" w:rsidR="00810FAC" w:rsidRPr="00D33008" w:rsidRDefault="00810FAC" w:rsidP="00810FAC">
            <w:pPr>
              <w:pStyle w:val="CH5TableText"/>
            </w:pPr>
            <w:r w:rsidRPr="00D37B14">
              <w:t>4.76%</w:t>
            </w:r>
          </w:p>
        </w:tc>
        <w:tc>
          <w:tcPr>
            <w:tcW w:w="535" w:type="pct"/>
            <w:vAlign w:val="center"/>
          </w:tcPr>
          <w:p w14:paraId="1A89634B" w14:textId="77777777" w:rsidR="00810FAC" w:rsidRPr="00D33008" w:rsidRDefault="00810FAC" w:rsidP="00810FAC">
            <w:pPr>
              <w:pStyle w:val="CH5TableText"/>
            </w:pPr>
            <w:r w:rsidRPr="00D37B14">
              <w:t>5.58%</w:t>
            </w:r>
          </w:p>
        </w:tc>
        <w:tc>
          <w:tcPr>
            <w:tcW w:w="535" w:type="pct"/>
            <w:vAlign w:val="center"/>
          </w:tcPr>
          <w:p w14:paraId="23B2E8D9" w14:textId="77777777" w:rsidR="00810FAC" w:rsidRPr="00D33008" w:rsidRDefault="00810FAC" w:rsidP="00810FAC">
            <w:pPr>
              <w:pStyle w:val="CH5TableText"/>
            </w:pPr>
            <w:r w:rsidRPr="00D37B14">
              <w:t>6.29%</w:t>
            </w:r>
          </w:p>
        </w:tc>
      </w:tr>
    </w:tbl>
    <w:p w14:paraId="28A7FD42" w14:textId="77777777" w:rsidR="00810FAC" w:rsidRPr="00D33008" w:rsidRDefault="00810FAC" w:rsidP="006E6A19">
      <w:pPr>
        <w:pStyle w:val="Heading2"/>
      </w:pPr>
      <w:bookmarkStart w:id="122" w:name="_Toc424675673"/>
      <w:bookmarkStart w:id="123" w:name="_Toc424678620"/>
      <w:bookmarkStart w:id="124" w:name="_Toc424707676"/>
      <w:bookmarkStart w:id="125" w:name="_Toc424720126"/>
      <w:bookmarkStart w:id="126" w:name="_Toc424720219"/>
      <w:bookmarkStart w:id="127" w:name="_Toc424721406"/>
      <w:bookmarkStart w:id="128" w:name="_Toc424721498"/>
      <w:bookmarkStart w:id="129" w:name="_Toc424721591"/>
      <w:bookmarkStart w:id="130" w:name="_Toc424675674"/>
      <w:bookmarkStart w:id="131" w:name="_Toc424721592"/>
      <w:bookmarkEnd w:id="122"/>
      <w:bookmarkEnd w:id="123"/>
      <w:bookmarkEnd w:id="124"/>
      <w:bookmarkEnd w:id="125"/>
      <w:bookmarkEnd w:id="126"/>
      <w:bookmarkEnd w:id="127"/>
      <w:bookmarkEnd w:id="128"/>
      <w:bookmarkEnd w:id="129"/>
      <w:r w:rsidRPr="00D33008">
        <w:t>Results</w:t>
      </w:r>
      <w:bookmarkEnd w:id="130"/>
      <w:bookmarkEnd w:id="131"/>
    </w:p>
    <w:p w14:paraId="4FAB8A44" w14:textId="77777777" w:rsidR="00810FAC" w:rsidRPr="00D33008" w:rsidRDefault="00810FAC" w:rsidP="006E6A19">
      <w:pPr>
        <w:pStyle w:val="Heading3"/>
      </w:pPr>
      <w:bookmarkStart w:id="132" w:name="_Toc424721593"/>
      <w:r w:rsidRPr="00D33008">
        <w:t>Summary of Results</w:t>
      </w:r>
      <w:bookmarkEnd w:id="132"/>
    </w:p>
    <w:p w14:paraId="02E442E0" w14:textId="608FA611" w:rsidR="00810FAC" w:rsidRPr="00D33008" w:rsidRDefault="00810FAC" w:rsidP="00810FAC">
      <w:pPr>
        <w:pStyle w:val="CH5BodyText"/>
      </w:pPr>
      <w:r w:rsidRPr="00D33008">
        <w:t xml:space="preserve">As discussed, the </w:t>
      </w:r>
      <w:r>
        <w:t>EE plan scenario results in reduced electricity demand in each state, in each year of the plan scenario. Table 25 provides the results for 2020, 2025, and 2030, as electricity demand reduced in gigawatt-hours and as a percentage of BAU sales for the year. F</w:t>
      </w:r>
      <w:r w:rsidRPr="000E58D2">
        <w:t xml:space="preserve">ull results are presented for all states </w:t>
      </w:r>
      <w:r>
        <w:t>for all years in the spreadsheet file included as Appendix 3</w:t>
      </w:r>
      <w:r w:rsidRPr="0052046D">
        <w:t>.</w:t>
      </w:r>
    </w:p>
    <w:p w14:paraId="09E63BA2" w14:textId="01E2CD45" w:rsidR="00810FAC" w:rsidRPr="00D33008" w:rsidRDefault="00810FAC" w:rsidP="00311E15">
      <w:pPr>
        <w:pStyle w:val="CH5TableTitle"/>
      </w:pPr>
      <w:bookmarkStart w:id="133" w:name="_Toc424720275"/>
      <w:r w:rsidRPr="00D33008">
        <w:lastRenderedPageBreak/>
        <w:t>T</w:t>
      </w:r>
      <w:r>
        <w:t>able</w:t>
      </w:r>
      <w:r w:rsidRPr="00D33008">
        <w:t xml:space="preserve"> 2</w:t>
      </w:r>
      <w:r>
        <w:t xml:space="preserve">5. Demand-Side EE Plan Scenario: Magnitude and </w:t>
      </w:r>
      <w:r w:rsidR="00311E15">
        <w:br/>
      </w:r>
      <w:r>
        <w:t>Timing of Net Cumulative Savings</w:t>
      </w:r>
      <w:bookmarkEnd w:id="133"/>
    </w:p>
    <w:tbl>
      <w:tblPr>
        <w:tblStyle w:val="TableGrid"/>
        <w:tblW w:w="5000" w:type="pct"/>
        <w:tblCellMar>
          <w:left w:w="115" w:type="dxa"/>
          <w:right w:w="115" w:type="dxa"/>
        </w:tblCellMar>
        <w:tblLook w:val="04A0" w:firstRow="1" w:lastRow="0" w:firstColumn="1" w:lastColumn="0" w:noHBand="0" w:noVBand="1"/>
      </w:tblPr>
      <w:tblGrid>
        <w:gridCol w:w="1989"/>
        <w:gridCol w:w="1224"/>
        <w:gridCol w:w="1229"/>
        <w:gridCol w:w="1229"/>
        <w:gridCol w:w="1229"/>
        <w:gridCol w:w="1227"/>
        <w:gridCol w:w="1223"/>
      </w:tblGrid>
      <w:tr w:rsidR="00810FAC" w:rsidRPr="00D33008" w14:paraId="6415696C" w14:textId="77777777" w:rsidTr="00BF5472">
        <w:trPr>
          <w:tblHeader/>
        </w:trPr>
        <w:tc>
          <w:tcPr>
            <w:tcW w:w="1064" w:type="pct"/>
            <w:vMerge w:val="restart"/>
            <w:shd w:val="clear" w:color="auto" w:fill="D9D9D9" w:themeFill="background1" w:themeFillShade="D9"/>
            <w:noWrap/>
            <w:vAlign w:val="center"/>
          </w:tcPr>
          <w:p w14:paraId="608A686E" w14:textId="77777777" w:rsidR="00810FAC" w:rsidRPr="00BF5472" w:rsidRDefault="00810FAC" w:rsidP="00BF5472">
            <w:pPr>
              <w:pStyle w:val="TableText"/>
              <w:rPr>
                <w:b/>
              </w:rPr>
            </w:pPr>
            <w:r w:rsidRPr="00BF5472">
              <w:rPr>
                <w:b/>
              </w:rPr>
              <w:t>States</w:t>
            </w:r>
          </w:p>
        </w:tc>
        <w:tc>
          <w:tcPr>
            <w:tcW w:w="3936" w:type="pct"/>
            <w:gridSpan w:val="6"/>
            <w:shd w:val="clear" w:color="auto" w:fill="D9D9D9" w:themeFill="background1" w:themeFillShade="D9"/>
          </w:tcPr>
          <w:p w14:paraId="38D525BC" w14:textId="77777777" w:rsidR="00810FAC" w:rsidRPr="00BF5472" w:rsidRDefault="00810FAC" w:rsidP="00BF5472">
            <w:pPr>
              <w:pStyle w:val="TableText"/>
              <w:rPr>
                <w:b/>
              </w:rPr>
            </w:pPr>
            <w:r w:rsidRPr="00BF5472">
              <w:rPr>
                <w:b/>
              </w:rPr>
              <w:t>Net Cumulative Savings</w:t>
            </w:r>
          </w:p>
        </w:tc>
      </w:tr>
      <w:tr w:rsidR="00810FAC" w:rsidRPr="00D33008" w14:paraId="64692C07" w14:textId="77777777" w:rsidTr="00BF5472">
        <w:trPr>
          <w:tblHeader/>
        </w:trPr>
        <w:tc>
          <w:tcPr>
            <w:tcW w:w="1064" w:type="pct"/>
            <w:vMerge/>
            <w:shd w:val="clear" w:color="auto" w:fill="D9D9D9" w:themeFill="background1" w:themeFillShade="D9"/>
            <w:noWrap/>
            <w:vAlign w:val="center"/>
          </w:tcPr>
          <w:p w14:paraId="247A430E" w14:textId="77777777" w:rsidR="00810FAC" w:rsidRPr="00BF5472" w:rsidRDefault="00810FAC" w:rsidP="00BF5472">
            <w:pPr>
              <w:pStyle w:val="TableText"/>
              <w:rPr>
                <w:b/>
              </w:rPr>
            </w:pPr>
          </w:p>
        </w:tc>
        <w:tc>
          <w:tcPr>
            <w:tcW w:w="1312" w:type="pct"/>
            <w:gridSpan w:val="2"/>
            <w:shd w:val="clear" w:color="auto" w:fill="D9D9D9" w:themeFill="background1" w:themeFillShade="D9"/>
          </w:tcPr>
          <w:p w14:paraId="016B3C5E" w14:textId="77777777" w:rsidR="00810FAC" w:rsidRPr="00BF5472" w:rsidRDefault="00810FAC" w:rsidP="00BF5472">
            <w:pPr>
              <w:pStyle w:val="TableText"/>
              <w:rPr>
                <w:b/>
              </w:rPr>
            </w:pPr>
            <w:r w:rsidRPr="00BF5472">
              <w:rPr>
                <w:b/>
              </w:rPr>
              <w:t>2020</w:t>
            </w:r>
          </w:p>
        </w:tc>
        <w:tc>
          <w:tcPr>
            <w:tcW w:w="1314" w:type="pct"/>
            <w:gridSpan w:val="2"/>
            <w:shd w:val="clear" w:color="auto" w:fill="D9D9D9" w:themeFill="background1" w:themeFillShade="D9"/>
          </w:tcPr>
          <w:p w14:paraId="09F7922E" w14:textId="77777777" w:rsidR="00810FAC" w:rsidRPr="00BF5472" w:rsidRDefault="00810FAC" w:rsidP="00BF5472">
            <w:pPr>
              <w:pStyle w:val="TableText"/>
              <w:rPr>
                <w:b/>
              </w:rPr>
            </w:pPr>
            <w:r w:rsidRPr="00BF5472">
              <w:rPr>
                <w:b/>
              </w:rPr>
              <w:t>2025</w:t>
            </w:r>
          </w:p>
        </w:tc>
        <w:tc>
          <w:tcPr>
            <w:tcW w:w="1310" w:type="pct"/>
            <w:gridSpan w:val="2"/>
            <w:shd w:val="clear" w:color="auto" w:fill="D9D9D9" w:themeFill="background1" w:themeFillShade="D9"/>
          </w:tcPr>
          <w:p w14:paraId="79AFB2BE" w14:textId="77777777" w:rsidR="00810FAC" w:rsidRPr="00BF5472" w:rsidRDefault="00810FAC" w:rsidP="00BF5472">
            <w:pPr>
              <w:pStyle w:val="TableText"/>
              <w:rPr>
                <w:b/>
              </w:rPr>
            </w:pPr>
            <w:r w:rsidRPr="00BF5472">
              <w:rPr>
                <w:b/>
              </w:rPr>
              <w:t>2030</w:t>
            </w:r>
          </w:p>
        </w:tc>
      </w:tr>
      <w:tr w:rsidR="00810FAC" w:rsidRPr="00D33008" w14:paraId="6E4D9845" w14:textId="77777777" w:rsidTr="00BF5472">
        <w:trPr>
          <w:tblHeader/>
        </w:trPr>
        <w:tc>
          <w:tcPr>
            <w:tcW w:w="1064" w:type="pct"/>
            <w:vMerge/>
            <w:shd w:val="clear" w:color="auto" w:fill="D9D9D9" w:themeFill="background1" w:themeFillShade="D9"/>
            <w:noWrap/>
            <w:vAlign w:val="center"/>
          </w:tcPr>
          <w:p w14:paraId="31CAFAA9" w14:textId="77777777" w:rsidR="00810FAC" w:rsidRPr="00BF5472" w:rsidRDefault="00810FAC" w:rsidP="00BF5472">
            <w:pPr>
              <w:pStyle w:val="TableText"/>
              <w:rPr>
                <w:b/>
              </w:rPr>
            </w:pPr>
          </w:p>
        </w:tc>
        <w:tc>
          <w:tcPr>
            <w:tcW w:w="655" w:type="pct"/>
            <w:shd w:val="clear" w:color="auto" w:fill="D9D9D9" w:themeFill="background1" w:themeFillShade="D9"/>
            <w:vAlign w:val="center"/>
          </w:tcPr>
          <w:p w14:paraId="52FEF15F" w14:textId="77777777" w:rsidR="00810FAC" w:rsidRPr="00BF5472" w:rsidRDefault="00810FAC" w:rsidP="00BF5472">
            <w:pPr>
              <w:pStyle w:val="TableText"/>
              <w:rPr>
                <w:b/>
              </w:rPr>
            </w:pPr>
            <w:r w:rsidRPr="00BF5472">
              <w:rPr>
                <w:b/>
              </w:rPr>
              <w:t>GWh</w:t>
            </w:r>
          </w:p>
        </w:tc>
        <w:tc>
          <w:tcPr>
            <w:tcW w:w="657" w:type="pct"/>
            <w:shd w:val="clear" w:color="auto" w:fill="D9D9D9" w:themeFill="background1" w:themeFillShade="D9"/>
            <w:vAlign w:val="center"/>
          </w:tcPr>
          <w:p w14:paraId="197EAA66" w14:textId="77777777" w:rsidR="00810FAC" w:rsidRPr="00BF5472" w:rsidRDefault="00810FAC" w:rsidP="00BF5472">
            <w:pPr>
              <w:pStyle w:val="TableText"/>
              <w:rPr>
                <w:b/>
              </w:rPr>
            </w:pPr>
            <w:r w:rsidRPr="00BF5472">
              <w:rPr>
                <w:b/>
              </w:rPr>
              <w:t>% of BAU Sales</w:t>
            </w:r>
          </w:p>
        </w:tc>
        <w:tc>
          <w:tcPr>
            <w:tcW w:w="657" w:type="pct"/>
            <w:shd w:val="clear" w:color="auto" w:fill="D9D9D9" w:themeFill="background1" w:themeFillShade="D9"/>
          </w:tcPr>
          <w:p w14:paraId="2B5BB936" w14:textId="77777777" w:rsidR="00810FAC" w:rsidRPr="00BF5472" w:rsidRDefault="00810FAC" w:rsidP="00BF5472">
            <w:pPr>
              <w:pStyle w:val="TableText"/>
              <w:rPr>
                <w:b/>
              </w:rPr>
            </w:pPr>
            <w:r w:rsidRPr="00BF5472">
              <w:rPr>
                <w:b/>
              </w:rPr>
              <w:t>GWh</w:t>
            </w:r>
          </w:p>
        </w:tc>
        <w:tc>
          <w:tcPr>
            <w:tcW w:w="657" w:type="pct"/>
            <w:shd w:val="clear" w:color="auto" w:fill="D9D9D9" w:themeFill="background1" w:themeFillShade="D9"/>
          </w:tcPr>
          <w:p w14:paraId="78DD2242" w14:textId="77777777" w:rsidR="00810FAC" w:rsidRPr="00BF5472" w:rsidRDefault="00810FAC" w:rsidP="00BF5472">
            <w:pPr>
              <w:pStyle w:val="TableText"/>
              <w:rPr>
                <w:b/>
              </w:rPr>
            </w:pPr>
            <w:r w:rsidRPr="00BF5472">
              <w:rPr>
                <w:b/>
              </w:rPr>
              <w:t>% of BAU Sales</w:t>
            </w:r>
          </w:p>
        </w:tc>
        <w:tc>
          <w:tcPr>
            <w:tcW w:w="656" w:type="pct"/>
            <w:shd w:val="clear" w:color="auto" w:fill="D9D9D9" w:themeFill="background1" w:themeFillShade="D9"/>
            <w:vAlign w:val="center"/>
          </w:tcPr>
          <w:p w14:paraId="56782F6B" w14:textId="77777777" w:rsidR="00810FAC" w:rsidRPr="00BF5472" w:rsidRDefault="00810FAC" w:rsidP="00BF5472">
            <w:pPr>
              <w:pStyle w:val="TableText"/>
              <w:rPr>
                <w:b/>
              </w:rPr>
            </w:pPr>
            <w:r w:rsidRPr="00BF5472">
              <w:rPr>
                <w:b/>
              </w:rPr>
              <w:t>GWh</w:t>
            </w:r>
          </w:p>
        </w:tc>
        <w:tc>
          <w:tcPr>
            <w:tcW w:w="654" w:type="pct"/>
            <w:shd w:val="clear" w:color="auto" w:fill="D9D9D9" w:themeFill="background1" w:themeFillShade="D9"/>
            <w:vAlign w:val="center"/>
          </w:tcPr>
          <w:p w14:paraId="5BBFF602" w14:textId="77777777" w:rsidR="00810FAC" w:rsidRPr="00BF5472" w:rsidRDefault="00810FAC" w:rsidP="00BF5472">
            <w:pPr>
              <w:pStyle w:val="TableText"/>
              <w:rPr>
                <w:b/>
              </w:rPr>
            </w:pPr>
            <w:r w:rsidRPr="00BF5472">
              <w:rPr>
                <w:b/>
              </w:rPr>
              <w:t>% of BAU Sales</w:t>
            </w:r>
          </w:p>
        </w:tc>
      </w:tr>
      <w:tr w:rsidR="00810FAC" w:rsidRPr="00DD3C09" w14:paraId="75D1D919" w14:textId="77777777" w:rsidTr="00BF5472">
        <w:tc>
          <w:tcPr>
            <w:tcW w:w="1064" w:type="pct"/>
            <w:noWrap/>
            <w:vAlign w:val="center"/>
            <w:hideMark/>
          </w:tcPr>
          <w:p w14:paraId="31D77E56" w14:textId="77777777" w:rsidR="00810FAC" w:rsidRPr="006A3C40" w:rsidRDefault="00810FAC" w:rsidP="00BF5472">
            <w:pPr>
              <w:pStyle w:val="TableText"/>
            </w:pPr>
            <w:r w:rsidRPr="006A3C40">
              <w:t>Alabama</w:t>
            </w:r>
          </w:p>
        </w:tc>
        <w:tc>
          <w:tcPr>
            <w:tcW w:w="655" w:type="pct"/>
            <w:shd w:val="clear" w:color="auto" w:fill="auto"/>
            <w:noWrap/>
            <w:vAlign w:val="center"/>
          </w:tcPr>
          <w:p w14:paraId="3316790B" w14:textId="77777777" w:rsidR="00810FAC" w:rsidRPr="00E3368B" w:rsidRDefault="00810FAC" w:rsidP="00BF5472">
            <w:pPr>
              <w:pStyle w:val="TableText"/>
              <w:rPr>
                <w:rFonts w:cs="Times New Roman"/>
              </w:rPr>
            </w:pPr>
            <w:r w:rsidRPr="00E3368B">
              <w:rPr>
                <w:rFonts w:cs="Times New Roman"/>
              </w:rPr>
              <w:t>91</w:t>
            </w:r>
          </w:p>
        </w:tc>
        <w:tc>
          <w:tcPr>
            <w:tcW w:w="657" w:type="pct"/>
            <w:shd w:val="clear" w:color="auto" w:fill="auto"/>
            <w:vAlign w:val="center"/>
          </w:tcPr>
          <w:p w14:paraId="002E5FA2" w14:textId="77777777" w:rsidR="00810FAC" w:rsidRPr="00E3368B" w:rsidRDefault="00810FAC" w:rsidP="00BF5472">
            <w:pPr>
              <w:pStyle w:val="TableText"/>
              <w:rPr>
                <w:rFonts w:cs="Times New Roman"/>
              </w:rPr>
            </w:pPr>
            <w:r w:rsidRPr="00E3368B">
              <w:rPr>
                <w:rFonts w:cs="Times New Roman"/>
              </w:rPr>
              <w:t>0.10%</w:t>
            </w:r>
          </w:p>
        </w:tc>
        <w:tc>
          <w:tcPr>
            <w:tcW w:w="657" w:type="pct"/>
          </w:tcPr>
          <w:p w14:paraId="0E178C04" w14:textId="77777777" w:rsidR="00810FAC" w:rsidRPr="00DD3C09" w:rsidRDefault="00810FAC" w:rsidP="00BF5472">
            <w:pPr>
              <w:pStyle w:val="TableText"/>
              <w:rPr>
                <w:rFonts w:cs="Times New Roman"/>
                <w:color w:val="000000"/>
              </w:rPr>
            </w:pPr>
            <w:r w:rsidRPr="00E3368B">
              <w:rPr>
                <w:rFonts w:cs="Times New Roman"/>
              </w:rPr>
              <w:t>3,287</w:t>
            </w:r>
          </w:p>
        </w:tc>
        <w:tc>
          <w:tcPr>
            <w:tcW w:w="657" w:type="pct"/>
          </w:tcPr>
          <w:p w14:paraId="386337D8" w14:textId="77777777" w:rsidR="00810FAC" w:rsidRPr="00DD3C09" w:rsidRDefault="00810FAC" w:rsidP="00BF5472">
            <w:pPr>
              <w:pStyle w:val="TableText"/>
              <w:rPr>
                <w:rFonts w:cs="Times New Roman"/>
                <w:color w:val="000000"/>
              </w:rPr>
            </w:pPr>
            <w:r w:rsidRPr="00E3368B">
              <w:rPr>
                <w:rFonts w:cs="Times New Roman"/>
              </w:rPr>
              <w:t>3.37%</w:t>
            </w:r>
          </w:p>
        </w:tc>
        <w:tc>
          <w:tcPr>
            <w:tcW w:w="656" w:type="pct"/>
            <w:shd w:val="clear" w:color="auto" w:fill="auto"/>
            <w:noWrap/>
          </w:tcPr>
          <w:p w14:paraId="516218C4" w14:textId="77777777" w:rsidR="00810FAC" w:rsidRPr="00E3368B" w:rsidRDefault="00810FAC" w:rsidP="00BF5472">
            <w:pPr>
              <w:pStyle w:val="TableText"/>
              <w:rPr>
                <w:rFonts w:cs="Times New Roman"/>
              </w:rPr>
            </w:pPr>
            <w:r w:rsidRPr="00E3368B">
              <w:rPr>
                <w:rFonts w:cs="Times New Roman"/>
              </w:rPr>
              <w:t>7,258</w:t>
            </w:r>
          </w:p>
        </w:tc>
        <w:tc>
          <w:tcPr>
            <w:tcW w:w="654" w:type="pct"/>
            <w:shd w:val="clear" w:color="auto" w:fill="auto"/>
          </w:tcPr>
          <w:p w14:paraId="3B5CE534" w14:textId="77777777" w:rsidR="00810FAC" w:rsidRPr="00E3368B" w:rsidRDefault="00810FAC" w:rsidP="00BF5472">
            <w:pPr>
              <w:pStyle w:val="TableText"/>
              <w:rPr>
                <w:rFonts w:cs="Times New Roman"/>
              </w:rPr>
            </w:pPr>
            <w:r w:rsidRPr="00356568">
              <w:t>7.13%</w:t>
            </w:r>
          </w:p>
        </w:tc>
      </w:tr>
      <w:tr w:rsidR="00810FAC" w:rsidRPr="00DD3C09" w14:paraId="49C41C16" w14:textId="77777777" w:rsidTr="00BF5472">
        <w:tc>
          <w:tcPr>
            <w:tcW w:w="1064" w:type="pct"/>
            <w:noWrap/>
            <w:vAlign w:val="center"/>
            <w:hideMark/>
          </w:tcPr>
          <w:p w14:paraId="0E8292CA" w14:textId="77777777" w:rsidR="00810FAC" w:rsidRPr="006A3C40" w:rsidRDefault="00810FAC" w:rsidP="00BF5472">
            <w:pPr>
              <w:pStyle w:val="TableText"/>
            </w:pPr>
            <w:r w:rsidRPr="006A3C40">
              <w:t>Arizona</w:t>
            </w:r>
          </w:p>
        </w:tc>
        <w:tc>
          <w:tcPr>
            <w:tcW w:w="655" w:type="pct"/>
            <w:shd w:val="clear" w:color="auto" w:fill="auto"/>
            <w:noWrap/>
          </w:tcPr>
          <w:p w14:paraId="424608DA" w14:textId="77777777" w:rsidR="00810FAC" w:rsidRPr="00E3368B" w:rsidRDefault="00810FAC" w:rsidP="00BF5472">
            <w:pPr>
              <w:pStyle w:val="TableText"/>
              <w:rPr>
                <w:rFonts w:cs="Times New Roman"/>
              </w:rPr>
            </w:pPr>
            <w:r w:rsidRPr="00E3368B">
              <w:rPr>
                <w:rFonts w:cs="Times New Roman"/>
              </w:rPr>
              <w:t>797</w:t>
            </w:r>
          </w:p>
        </w:tc>
        <w:tc>
          <w:tcPr>
            <w:tcW w:w="657" w:type="pct"/>
            <w:shd w:val="clear" w:color="auto" w:fill="auto"/>
          </w:tcPr>
          <w:p w14:paraId="13CE7940" w14:textId="77777777" w:rsidR="00810FAC" w:rsidRPr="00E3368B" w:rsidRDefault="00810FAC" w:rsidP="00BF5472">
            <w:pPr>
              <w:pStyle w:val="TableText"/>
              <w:rPr>
                <w:rFonts w:cs="Times New Roman"/>
              </w:rPr>
            </w:pPr>
            <w:r w:rsidRPr="00E3368B">
              <w:rPr>
                <w:rFonts w:cs="Times New Roman"/>
              </w:rPr>
              <w:t>0.99%</w:t>
            </w:r>
          </w:p>
        </w:tc>
        <w:tc>
          <w:tcPr>
            <w:tcW w:w="657" w:type="pct"/>
          </w:tcPr>
          <w:p w14:paraId="730E4EDC" w14:textId="77777777" w:rsidR="00810FAC" w:rsidRPr="00DD3C09" w:rsidRDefault="00810FAC" w:rsidP="00BF5472">
            <w:pPr>
              <w:pStyle w:val="TableText"/>
              <w:rPr>
                <w:rFonts w:cs="Times New Roman"/>
                <w:color w:val="000000"/>
              </w:rPr>
            </w:pPr>
            <w:r w:rsidRPr="00E3368B">
              <w:rPr>
                <w:rFonts w:cs="Times New Roman"/>
              </w:rPr>
              <w:t>4,786</w:t>
            </w:r>
          </w:p>
        </w:tc>
        <w:tc>
          <w:tcPr>
            <w:tcW w:w="657" w:type="pct"/>
          </w:tcPr>
          <w:p w14:paraId="06F43A1F" w14:textId="77777777" w:rsidR="00810FAC" w:rsidRPr="00DD3C09" w:rsidRDefault="00810FAC" w:rsidP="00BF5472">
            <w:pPr>
              <w:pStyle w:val="TableText"/>
              <w:rPr>
                <w:rFonts w:cs="Times New Roman"/>
                <w:color w:val="000000"/>
              </w:rPr>
            </w:pPr>
            <w:r w:rsidRPr="00E3368B">
              <w:rPr>
                <w:rFonts w:cs="Times New Roman"/>
              </w:rPr>
              <w:t>5.65%</w:t>
            </w:r>
          </w:p>
        </w:tc>
        <w:tc>
          <w:tcPr>
            <w:tcW w:w="656" w:type="pct"/>
            <w:shd w:val="clear" w:color="auto" w:fill="auto"/>
            <w:noWrap/>
          </w:tcPr>
          <w:p w14:paraId="626675D3" w14:textId="77777777" w:rsidR="00810FAC" w:rsidRPr="00E3368B" w:rsidRDefault="00810FAC" w:rsidP="00BF5472">
            <w:pPr>
              <w:pStyle w:val="TableText"/>
              <w:rPr>
                <w:rFonts w:cs="Times New Roman"/>
              </w:rPr>
            </w:pPr>
            <w:r w:rsidRPr="00E3368B">
              <w:rPr>
                <w:rFonts w:cs="Times New Roman"/>
              </w:rPr>
              <w:t>7,195</w:t>
            </w:r>
          </w:p>
        </w:tc>
        <w:tc>
          <w:tcPr>
            <w:tcW w:w="654" w:type="pct"/>
            <w:shd w:val="clear" w:color="auto" w:fill="auto"/>
          </w:tcPr>
          <w:p w14:paraId="0FC31332" w14:textId="77777777" w:rsidR="00810FAC" w:rsidRPr="00E3368B" w:rsidRDefault="00810FAC" w:rsidP="00BF5472">
            <w:pPr>
              <w:pStyle w:val="TableText"/>
              <w:rPr>
                <w:rFonts w:cs="Times New Roman"/>
              </w:rPr>
            </w:pPr>
            <w:r w:rsidRPr="00356568">
              <w:t>8.09%</w:t>
            </w:r>
          </w:p>
        </w:tc>
      </w:tr>
      <w:tr w:rsidR="00810FAC" w:rsidRPr="00E3368B" w14:paraId="221F9D01" w14:textId="77777777" w:rsidTr="00BF5472">
        <w:tc>
          <w:tcPr>
            <w:tcW w:w="1064" w:type="pct"/>
            <w:noWrap/>
            <w:vAlign w:val="center"/>
            <w:hideMark/>
          </w:tcPr>
          <w:p w14:paraId="0376574E" w14:textId="77777777" w:rsidR="00810FAC" w:rsidRPr="006A3C40" w:rsidRDefault="00810FAC" w:rsidP="00BF5472">
            <w:pPr>
              <w:pStyle w:val="TableText"/>
            </w:pPr>
            <w:r w:rsidRPr="006A3C40">
              <w:t>Arkansas</w:t>
            </w:r>
          </w:p>
        </w:tc>
        <w:tc>
          <w:tcPr>
            <w:tcW w:w="655" w:type="pct"/>
            <w:shd w:val="clear" w:color="auto" w:fill="auto"/>
            <w:noWrap/>
            <w:vAlign w:val="center"/>
          </w:tcPr>
          <w:p w14:paraId="6E00009C" w14:textId="77777777" w:rsidR="00810FAC" w:rsidRPr="00E3368B" w:rsidRDefault="00810FAC" w:rsidP="00BF5472">
            <w:pPr>
              <w:pStyle w:val="TableText"/>
              <w:rPr>
                <w:rFonts w:cs="Times New Roman"/>
              </w:rPr>
            </w:pPr>
            <w:r w:rsidRPr="00E3368B">
              <w:rPr>
                <w:rFonts w:cs="Times New Roman"/>
              </w:rPr>
              <w:t>241</w:t>
            </w:r>
          </w:p>
        </w:tc>
        <w:tc>
          <w:tcPr>
            <w:tcW w:w="657" w:type="pct"/>
            <w:shd w:val="clear" w:color="auto" w:fill="auto"/>
            <w:vAlign w:val="center"/>
          </w:tcPr>
          <w:p w14:paraId="11244022" w14:textId="77777777" w:rsidR="00810FAC" w:rsidRPr="00E3368B" w:rsidRDefault="00810FAC" w:rsidP="00BF5472">
            <w:pPr>
              <w:pStyle w:val="TableText"/>
              <w:rPr>
                <w:rFonts w:cs="Times New Roman"/>
              </w:rPr>
            </w:pPr>
            <w:r w:rsidRPr="00E3368B">
              <w:rPr>
                <w:rFonts w:cs="Times New Roman"/>
              </w:rPr>
              <w:t>0.48%</w:t>
            </w:r>
          </w:p>
        </w:tc>
        <w:tc>
          <w:tcPr>
            <w:tcW w:w="657" w:type="pct"/>
          </w:tcPr>
          <w:p w14:paraId="36BD1BB7" w14:textId="77777777" w:rsidR="00810FAC" w:rsidRPr="00DD3C09" w:rsidDel="007C780B" w:rsidRDefault="00810FAC" w:rsidP="00BF5472">
            <w:pPr>
              <w:pStyle w:val="TableText"/>
              <w:rPr>
                <w:rFonts w:cs="Times New Roman"/>
                <w:color w:val="000000"/>
              </w:rPr>
            </w:pPr>
            <w:r w:rsidRPr="00E3368B">
              <w:rPr>
                <w:rFonts w:cs="Times New Roman"/>
              </w:rPr>
              <w:t>2,519</w:t>
            </w:r>
          </w:p>
        </w:tc>
        <w:tc>
          <w:tcPr>
            <w:tcW w:w="657" w:type="pct"/>
          </w:tcPr>
          <w:p w14:paraId="0FDCFA46" w14:textId="77777777" w:rsidR="00810FAC" w:rsidRPr="00DD3C09" w:rsidDel="007C780B" w:rsidRDefault="00810FAC" w:rsidP="00BF5472">
            <w:pPr>
              <w:pStyle w:val="TableText"/>
              <w:rPr>
                <w:rFonts w:cs="Times New Roman"/>
                <w:color w:val="000000"/>
              </w:rPr>
            </w:pPr>
            <w:r w:rsidRPr="00E3368B">
              <w:rPr>
                <w:rFonts w:cs="Times New Roman"/>
              </w:rPr>
              <w:t>4.81%</w:t>
            </w:r>
          </w:p>
        </w:tc>
        <w:tc>
          <w:tcPr>
            <w:tcW w:w="656" w:type="pct"/>
            <w:shd w:val="clear" w:color="auto" w:fill="auto"/>
            <w:noWrap/>
          </w:tcPr>
          <w:p w14:paraId="2B7A0B26" w14:textId="77777777" w:rsidR="00810FAC" w:rsidRPr="00E3368B" w:rsidRDefault="00810FAC" w:rsidP="00BF5472">
            <w:pPr>
              <w:pStyle w:val="TableText"/>
              <w:rPr>
                <w:rFonts w:cs="Times New Roman"/>
              </w:rPr>
            </w:pPr>
            <w:r w:rsidRPr="00E3368B">
              <w:rPr>
                <w:rFonts w:cs="Times New Roman"/>
              </w:rPr>
              <w:t>4,279</w:t>
            </w:r>
          </w:p>
        </w:tc>
        <w:tc>
          <w:tcPr>
            <w:tcW w:w="654" w:type="pct"/>
            <w:shd w:val="clear" w:color="auto" w:fill="auto"/>
          </w:tcPr>
          <w:p w14:paraId="040A81BB" w14:textId="77777777" w:rsidR="00810FAC" w:rsidRPr="00E3368B" w:rsidRDefault="00810FAC" w:rsidP="00BF5472">
            <w:pPr>
              <w:pStyle w:val="TableText"/>
              <w:rPr>
                <w:rFonts w:cs="Times New Roman"/>
              </w:rPr>
            </w:pPr>
            <w:r w:rsidRPr="00356568">
              <w:t>7.80%</w:t>
            </w:r>
          </w:p>
        </w:tc>
      </w:tr>
      <w:tr w:rsidR="00810FAC" w:rsidRPr="00DD3C09" w14:paraId="6C43D289" w14:textId="77777777" w:rsidTr="00BF5472">
        <w:tc>
          <w:tcPr>
            <w:tcW w:w="1064" w:type="pct"/>
            <w:noWrap/>
            <w:vAlign w:val="center"/>
            <w:hideMark/>
          </w:tcPr>
          <w:p w14:paraId="31D70070" w14:textId="77777777" w:rsidR="00810FAC" w:rsidRPr="006A3C40" w:rsidRDefault="00810FAC" w:rsidP="00BF5472">
            <w:pPr>
              <w:pStyle w:val="TableText"/>
            </w:pPr>
            <w:r w:rsidRPr="006A3C40">
              <w:t>California</w:t>
            </w:r>
          </w:p>
        </w:tc>
        <w:tc>
          <w:tcPr>
            <w:tcW w:w="655" w:type="pct"/>
            <w:shd w:val="clear" w:color="auto" w:fill="auto"/>
            <w:noWrap/>
            <w:vAlign w:val="center"/>
          </w:tcPr>
          <w:p w14:paraId="203890B2" w14:textId="77777777" w:rsidR="00810FAC" w:rsidRPr="00E3368B" w:rsidRDefault="00810FAC" w:rsidP="00BF5472">
            <w:pPr>
              <w:pStyle w:val="TableText"/>
              <w:rPr>
                <w:rFonts w:cs="Times New Roman"/>
              </w:rPr>
            </w:pPr>
            <w:r w:rsidRPr="00E3368B">
              <w:rPr>
                <w:rFonts w:cs="Times New Roman"/>
              </w:rPr>
              <w:t>2,735</w:t>
            </w:r>
          </w:p>
        </w:tc>
        <w:tc>
          <w:tcPr>
            <w:tcW w:w="657" w:type="pct"/>
            <w:shd w:val="clear" w:color="auto" w:fill="auto"/>
            <w:vAlign w:val="center"/>
          </w:tcPr>
          <w:p w14:paraId="3513C57F" w14:textId="77777777" w:rsidR="00810FAC" w:rsidRPr="00E3368B" w:rsidRDefault="00810FAC" w:rsidP="00BF5472">
            <w:pPr>
              <w:pStyle w:val="TableText"/>
              <w:rPr>
                <w:rFonts w:cs="Times New Roman"/>
              </w:rPr>
            </w:pPr>
            <w:r w:rsidRPr="00E3368B">
              <w:rPr>
                <w:rFonts w:cs="Times New Roman"/>
              </w:rPr>
              <w:t>0.99%</w:t>
            </w:r>
          </w:p>
        </w:tc>
        <w:tc>
          <w:tcPr>
            <w:tcW w:w="657" w:type="pct"/>
          </w:tcPr>
          <w:p w14:paraId="528C61E4" w14:textId="77777777" w:rsidR="00810FAC" w:rsidRPr="00DD3C09" w:rsidRDefault="00810FAC" w:rsidP="00BF5472">
            <w:pPr>
              <w:pStyle w:val="TableText"/>
              <w:rPr>
                <w:rFonts w:cs="Times New Roman"/>
                <w:color w:val="000000"/>
              </w:rPr>
            </w:pPr>
            <w:r w:rsidRPr="00E3368B">
              <w:rPr>
                <w:rFonts w:cs="Times New Roman"/>
              </w:rPr>
              <w:t>16,310</w:t>
            </w:r>
          </w:p>
        </w:tc>
        <w:tc>
          <w:tcPr>
            <w:tcW w:w="657" w:type="pct"/>
          </w:tcPr>
          <w:p w14:paraId="6E944FFA" w14:textId="77777777" w:rsidR="00810FAC" w:rsidRPr="00DD3C09" w:rsidRDefault="00810FAC" w:rsidP="00BF5472">
            <w:pPr>
              <w:pStyle w:val="TableText"/>
              <w:rPr>
                <w:rFonts w:cs="Times New Roman"/>
                <w:color w:val="000000"/>
              </w:rPr>
            </w:pPr>
            <w:r w:rsidRPr="00E3368B">
              <w:rPr>
                <w:rFonts w:cs="Times New Roman"/>
              </w:rPr>
              <w:t>5.70%</w:t>
            </w:r>
          </w:p>
        </w:tc>
        <w:tc>
          <w:tcPr>
            <w:tcW w:w="656" w:type="pct"/>
            <w:shd w:val="clear" w:color="auto" w:fill="auto"/>
            <w:noWrap/>
          </w:tcPr>
          <w:p w14:paraId="4ACD1617" w14:textId="77777777" w:rsidR="00810FAC" w:rsidRPr="00E3368B" w:rsidRDefault="00810FAC" w:rsidP="00BF5472">
            <w:pPr>
              <w:pStyle w:val="TableText"/>
              <w:rPr>
                <w:rFonts w:cs="Times New Roman"/>
              </w:rPr>
            </w:pPr>
            <w:r w:rsidRPr="00E3368B">
              <w:rPr>
                <w:rFonts w:cs="Times New Roman"/>
              </w:rPr>
              <w:t>24,310</w:t>
            </w:r>
          </w:p>
        </w:tc>
        <w:tc>
          <w:tcPr>
            <w:tcW w:w="654" w:type="pct"/>
            <w:shd w:val="clear" w:color="auto" w:fill="auto"/>
          </w:tcPr>
          <w:p w14:paraId="38D55C54" w14:textId="77777777" w:rsidR="00810FAC" w:rsidRPr="00E3368B" w:rsidRDefault="00810FAC" w:rsidP="00BF5472">
            <w:pPr>
              <w:pStyle w:val="TableText"/>
              <w:rPr>
                <w:rFonts w:cs="Times New Roman"/>
              </w:rPr>
            </w:pPr>
            <w:r w:rsidRPr="00356568">
              <w:t>8.19%</w:t>
            </w:r>
          </w:p>
        </w:tc>
      </w:tr>
      <w:tr w:rsidR="00810FAC" w:rsidRPr="00DD3C09" w14:paraId="6445DD5E" w14:textId="77777777" w:rsidTr="00BF5472">
        <w:tc>
          <w:tcPr>
            <w:tcW w:w="1064" w:type="pct"/>
            <w:noWrap/>
            <w:vAlign w:val="center"/>
            <w:hideMark/>
          </w:tcPr>
          <w:p w14:paraId="00F0D1AD" w14:textId="77777777" w:rsidR="00810FAC" w:rsidRPr="006A3C40" w:rsidRDefault="00810FAC" w:rsidP="00BF5472">
            <w:pPr>
              <w:pStyle w:val="TableText"/>
            </w:pPr>
            <w:r w:rsidRPr="006A3C40">
              <w:t>Colorado</w:t>
            </w:r>
          </w:p>
        </w:tc>
        <w:tc>
          <w:tcPr>
            <w:tcW w:w="655" w:type="pct"/>
            <w:shd w:val="clear" w:color="auto" w:fill="auto"/>
            <w:noWrap/>
            <w:vAlign w:val="center"/>
          </w:tcPr>
          <w:p w14:paraId="31A88FB9" w14:textId="77777777" w:rsidR="00810FAC" w:rsidRPr="00E3368B" w:rsidRDefault="00810FAC" w:rsidP="00BF5472">
            <w:pPr>
              <w:pStyle w:val="TableText"/>
              <w:rPr>
                <w:rFonts w:cs="Times New Roman"/>
              </w:rPr>
            </w:pPr>
            <w:r w:rsidRPr="00E3368B">
              <w:rPr>
                <w:rFonts w:cs="Times New Roman"/>
              </w:rPr>
              <w:t>524</w:t>
            </w:r>
          </w:p>
        </w:tc>
        <w:tc>
          <w:tcPr>
            <w:tcW w:w="657" w:type="pct"/>
            <w:shd w:val="clear" w:color="auto" w:fill="auto"/>
            <w:vAlign w:val="bottom"/>
          </w:tcPr>
          <w:p w14:paraId="2A9E76B0" w14:textId="77777777" w:rsidR="00810FAC" w:rsidRPr="00E3368B" w:rsidRDefault="00810FAC" w:rsidP="00BF5472">
            <w:pPr>
              <w:pStyle w:val="TableText"/>
              <w:rPr>
                <w:rFonts w:cs="Times New Roman"/>
              </w:rPr>
            </w:pPr>
            <w:r w:rsidRPr="00083D0C">
              <w:rPr>
                <w:rFonts w:cs="Times New Roman"/>
                <w:color w:val="000000"/>
              </w:rPr>
              <w:t>0.91%</w:t>
            </w:r>
          </w:p>
        </w:tc>
        <w:tc>
          <w:tcPr>
            <w:tcW w:w="657" w:type="pct"/>
          </w:tcPr>
          <w:p w14:paraId="1C3C120C" w14:textId="77777777" w:rsidR="00810FAC" w:rsidRPr="00DD3C09" w:rsidRDefault="00810FAC" w:rsidP="00BF5472">
            <w:pPr>
              <w:pStyle w:val="TableText"/>
              <w:rPr>
                <w:rFonts w:cs="Times New Roman"/>
                <w:color w:val="000000"/>
              </w:rPr>
            </w:pPr>
            <w:r w:rsidRPr="00E3368B">
              <w:rPr>
                <w:rFonts w:cs="Times New Roman"/>
              </w:rPr>
              <w:t>3,367</w:t>
            </w:r>
          </w:p>
        </w:tc>
        <w:tc>
          <w:tcPr>
            <w:tcW w:w="657" w:type="pct"/>
          </w:tcPr>
          <w:p w14:paraId="478D18DC" w14:textId="77777777" w:rsidR="00810FAC" w:rsidRPr="00DD3C09" w:rsidRDefault="00810FAC" w:rsidP="00BF5472">
            <w:pPr>
              <w:pStyle w:val="TableText"/>
              <w:rPr>
                <w:rFonts w:cs="Times New Roman"/>
                <w:color w:val="000000"/>
              </w:rPr>
            </w:pPr>
            <w:r w:rsidRPr="00E3368B">
              <w:rPr>
                <w:rFonts w:cs="Times New Roman"/>
              </w:rPr>
              <w:t>5.58%</w:t>
            </w:r>
          </w:p>
        </w:tc>
        <w:tc>
          <w:tcPr>
            <w:tcW w:w="656" w:type="pct"/>
            <w:shd w:val="clear" w:color="auto" w:fill="auto"/>
            <w:noWrap/>
          </w:tcPr>
          <w:p w14:paraId="0AFF7E7D" w14:textId="77777777" w:rsidR="00810FAC" w:rsidRPr="00E3368B" w:rsidRDefault="00810FAC" w:rsidP="00BF5472">
            <w:pPr>
              <w:pStyle w:val="TableText"/>
              <w:rPr>
                <w:rFonts w:cs="Times New Roman"/>
              </w:rPr>
            </w:pPr>
            <w:r w:rsidRPr="00E3368B">
              <w:rPr>
                <w:rFonts w:cs="Times New Roman"/>
              </w:rPr>
              <w:t>5,116</w:t>
            </w:r>
          </w:p>
        </w:tc>
        <w:tc>
          <w:tcPr>
            <w:tcW w:w="654" w:type="pct"/>
            <w:shd w:val="clear" w:color="auto" w:fill="auto"/>
          </w:tcPr>
          <w:p w14:paraId="06A43304" w14:textId="77777777" w:rsidR="00810FAC" w:rsidRPr="00E3368B" w:rsidRDefault="00810FAC" w:rsidP="00BF5472">
            <w:pPr>
              <w:pStyle w:val="TableText"/>
              <w:rPr>
                <w:rFonts w:cs="Times New Roman"/>
              </w:rPr>
            </w:pPr>
            <w:r w:rsidRPr="00356568">
              <w:t>8.06%</w:t>
            </w:r>
          </w:p>
        </w:tc>
      </w:tr>
      <w:tr w:rsidR="00810FAC" w:rsidRPr="00DD3C09" w14:paraId="663CF7A1" w14:textId="77777777" w:rsidTr="00BF5472">
        <w:tc>
          <w:tcPr>
            <w:tcW w:w="1064" w:type="pct"/>
            <w:noWrap/>
            <w:vAlign w:val="center"/>
            <w:hideMark/>
          </w:tcPr>
          <w:p w14:paraId="674A52D6" w14:textId="77777777" w:rsidR="00810FAC" w:rsidRPr="006A3C40" w:rsidRDefault="00810FAC" w:rsidP="00BF5472">
            <w:pPr>
              <w:pStyle w:val="TableText"/>
            </w:pPr>
            <w:r w:rsidRPr="006A3C40">
              <w:t>Connecticut</w:t>
            </w:r>
          </w:p>
        </w:tc>
        <w:tc>
          <w:tcPr>
            <w:tcW w:w="655" w:type="pct"/>
            <w:shd w:val="clear" w:color="auto" w:fill="auto"/>
            <w:noWrap/>
            <w:vAlign w:val="center"/>
          </w:tcPr>
          <w:p w14:paraId="2958C6F7" w14:textId="77777777" w:rsidR="00810FAC" w:rsidRPr="00E3368B" w:rsidRDefault="00810FAC" w:rsidP="00BF5472">
            <w:pPr>
              <w:pStyle w:val="TableText"/>
              <w:rPr>
                <w:rFonts w:cs="Times New Roman"/>
              </w:rPr>
            </w:pPr>
            <w:r w:rsidRPr="00E3368B">
              <w:rPr>
                <w:rFonts w:cs="Times New Roman"/>
              </w:rPr>
              <w:t>305</w:t>
            </w:r>
          </w:p>
        </w:tc>
        <w:tc>
          <w:tcPr>
            <w:tcW w:w="657" w:type="pct"/>
            <w:shd w:val="clear" w:color="auto" w:fill="auto"/>
            <w:vAlign w:val="bottom"/>
          </w:tcPr>
          <w:p w14:paraId="4DD5C8CC" w14:textId="77777777" w:rsidR="00810FAC" w:rsidRPr="00E3368B" w:rsidRDefault="00810FAC" w:rsidP="00BF5472">
            <w:pPr>
              <w:pStyle w:val="TableText"/>
              <w:rPr>
                <w:rFonts w:cs="Times New Roman"/>
              </w:rPr>
            </w:pPr>
            <w:r w:rsidRPr="000D4923">
              <w:rPr>
                <w:rFonts w:cs="Times New Roman"/>
                <w:color w:val="000000"/>
              </w:rPr>
              <w:t>1.00%</w:t>
            </w:r>
          </w:p>
        </w:tc>
        <w:tc>
          <w:tcPr>
            <w:tcW w:w="657" w:type="pct"/>
          </w:tcPr>
          <w:p w14:paraId="1D851680" w14:textId="77777777" w:rsidR="00810FAC" w:rsidRPr="00DD3C09" w:rsidRDefault="00810FAC" w:rsidP="00BF5472">
            <w:pPr>
              <w:pStyle w:val="TableText"/>
              <w:rPr>
                <w:rFonts w:cs="Times New Roman"/>
                <w:color w:val="000000"/>
              </w:rPr>
            </w:pPr>
            <w:r>
              <w:rPr>
                <w:rFonts w:cs="Times New Roman"/>
                <w:color w:val="000000"/>
              </w:rPr>
              <w:t>1,805</w:t>
            </w:r>
          </w:p>
        </w:tc>
        <w:tc>
          <w:tcPr>
            <w:tcW w:w="657" w:type="pct"/>
          </w:tcPr>
          <w:p w14:paraId="15BCDE8E" w14:textId="77777777" w:rsidR="00810FAC" w:rsidRPr="00DD3C09" w:rsidRDefault="00810FAC" w:rsidP="00BF5472">
            <w:pPr>
              <w:pStyle w:val="TableText"/>
              <w:rPr>
                <w:rFonts w:cs="Times New Roman"/>
                <w:color w:val="000000"/>
              </w:rPr>
            </w:pPr>
            <w:r w:rsidRPr="00E3368B">
              <w:rPr>
                <w:rFonts w:cs="Times New Roman"/>
              </w:rPr>
              <w:t>5.77%</w:t>
            </w:r>
          </w:p>
        </w:tc>
        <w:tc>
          <w:tcPr>
            <w:tcW w:w="656" w:type="pct"/>
            <w:shd w:val="clear" w:color="auto" w:fill="auto"/>
            <w:noWrap/>
          </w:tcPr>
          <w:p w14:paraId="09B2ADF4" w14:textId="77777777" w:rsidR="00810FAC" w:rsidRPr="00E3368B" w:rsidRDefault="00810FAC" w:rsidP="00BF5472">
            <w:pPr>
              <w:pStyle w:val="TableText"/>
              <w:rPr>
                <w:rFonts w:cs="Times New Roman"/>
              </w:rPr>
            </w:pPr>
            <w:r w:rsidRPr="00E3368B">
              <w:rPr>
                <w:rFonts w:cs="Times New Roman"/>
              </w:rPr>
              <w:t>2,658</w:t>
            </w:r>
          </w:p>
        </w:tc>
        <w:tc>
          <w:tcPr>
            <w:tcW w:w="654" w:type="pct"/>
            <w:shd w:val="clear" w:color="auto" w:fill="auto"/>
          </w:tcPr>
          <w:p w14:paraId="26C81E3E" w14:textId="77777777" w:rsidR="00810FAC" w:rsidRPr="00E3368B" w:rsidRDefault="00810FAC" w:rsidP="00BF5472">
            <w:pPr>
              <w:pStyle w:val="TableText"/>
              <w:rPr>
                <w:rFonts w:cs="Times New Roman"/>
              </w:rPr>
            </w:pPr>
            <w:r w:rsidRPr="00356568">
              <w:t>8.34%</w:t>
            </w:r>
          </w:p>
        </w:tc>
      </w:tr>
      <w:tr w:rsidR="00810FAC" w:rsidRPr="00DD3C09" w14:paraId="4DC95774" w14:textId="77777777" w:rsidTr="00BF5472">
        <w:tc>
          <w:tcPr>
            <w:tcW w:w="1064" w:type="pct"/>
            <w:noWrap/>
            <w:vAlign w:val="center"/>
            <w:hideMark/>
          </w:tcPr>
          <w:p w14:paraId="4BF4C3CA" w14:textId="77777777" w:rsidR="00810FAC" w:rsidRPr="006A3C40" w:rsidRDefault="00810FAC" w:rsidP="00BF5472">
            <w:pPr>
              <w:pStyle w:val="TableText"/>
            </w:pPr>
            <w:r w:rsidRPr="006A3C40">
              <w:t>Delaware</w:t>
            </w:r>
          </w:p>
        </w:tc>
        <w:tc>
          <w:tcPr>
            <w:tcW w:w="655" w:type="pct"/>
            <w:shd w:val="clear" w:color="auto" w:fill="auto"/>
            <w:noWrap/>
          </w:tcPr>
          <w:p w14:paraId="0807F03B" w14:textId="77777777" w:rsidR="00810FAC" w:rsidRPr="00E3368B" w:rsidRDefault="00810FAC" w:rsidP="00BF5472">
            <w:pPr>
              <w:pStyle w:val="TableText"/>
              <w:rPr>
                <w:rFonts w:cs="Times New Roman"/>
              </w:rPr>
            </w:pPr>
            <w:r w:rsidRPr="00E3368B">
              <w:rPr>
                <w:rFonts w:cs="Times New Roman"/>
              </w:rPr>
              <w:t>1</w:t>
            </w:r>
          </w:p>
        </w:tc>
        <w:tc>
          <w:tcPr>
            <w:tcW w:w="657" w:type="pct"/>
            <w:shd w:val="clear" w:color="auto" w:fill="auto"/>
            <w:vAlign w:val="bottom"/>
          </w:tcPr>
          <w:p w14:paraId="3397C4BA" w14:textId="77777777" w:rsidR="00810FAC" w:rsidRPr="00E3368B" w:rsidRDefault="00810FAC" w:rsidP="00BF5472">
            <w:pPr>
              <w:pStyle w:val="TableText"/>
              <w:rPr>
                <w:rFonts w:cs="Times New Roman"/>
              </w:rPr>
            </w:pPr>
            <w:r w:rsidRPr="00DD3C09">
              <w:rPr>
                <w:rFonts w:cs="Times New Roman"/>
                <w:color w:val="000000"/>
              </w:rPr>
              <w:t>0.01%</w:t>
            </w:r>
          </w:p>
        </w:tc>
        <w:tc>
          <w:tcPr>
            <w:tcW w:w="657" w:type="pct"/>
          </w:tcPr>
          <w:p w14:paraId="6062DD5F" w14:textId="77777777" w:rsidR="00810FAC" w:rsidRPr="00DD3C09" w:rsidRDefault="00810FAC" w:rsidP="00BF5472">
            <w:pPr>
              <w:pStyle w:val="TableText"/>
              <w:rPr>
                <w:rFonts w:cs="Times New Roman"/>
                <w:color w:val="000000"/>
              </w:rPr>
            </w:pPr>
            <w:r w:rsidRPr="00E3368B">
              <w:rPr>
                <w:rFonts w:cs="Times New Roman"/>
              </w:rPr>
              <w:t>352</w:t>
            </w:r>
          </w:p>
        </w:tc>
        <w:tc>
          <w:tcPr>
            <w:tcW w:w="657" w:type="pct"/>
          </w:tcPr>
          <w:p w14:paraId="4BD3827E" w14:textId="77777777" w:rsidR="00810FAC" w:rsidRPr="00DD3C09" w:rsidRDefault="00810FAC" w:rsidP="00BF5472">
            <w:pPr>
              <w:pStyle w:val="TableText"/>
              <w:rPr>
                <w:rFonts w:cs="Times New Roman"/>
                <w:color w:val="000000"/>
              </w:rPr>
            </w:pPr>
            <w:r w:rsidRPr="00E3368B">
              <w:rPr>
                <w:rFonts w:cs="Times New Roman"/>
              </w:rPr>
              <w:t>2.98%</w:t>
            </w:r>
          </w:p>
        </w:tc>
        <w:tc>
          <w:tcPr>
            <w:tcW w:w="656" w:type="pct"/>
            <w:shd w:val="clear" w:color="auto" w:fill="auto"/>
            <w:noWrap/>
          </w:tcPr>
          <w:p w14:paraId="0C41F4B8" w14:textId="77777777" w:rsidR="00810FAC" w:rsidRPr="00E3368B" w:rsidRDefault="00810FAC" w:rsidP="00BF5472">
            <w:pPr>
              <w:pStyle w:val="TableText"/>
              <w:rPr>
                <w:rFonts w:cs="Times New Roman"/>
              </w:rPr>
            </w:pPr>
            <w:r w:rsidRPr="00E3368B">
              <w:rPr>
                <w:rFonts w:cs="Times New Roman"/>
              </w:rPr>
              <w:t>849</w:t>
            </w:r>
          </w:p>
        </w:tc>
        <w:tc>
          <w:tcPr>
            <w:tcW w:w="654" w:type="pct"/>
            <w:shd w:val="clear" w:color="auto" w:fill="auto"/>
          </w:tcPr>
          <w:p w14:paraId="5955DB42" w14:textId="77777777" w:rsidR="00810FAC" w:rsidRPr="00E3368B" w:rsidRDefault="00810FAC" w:rsidP="00BF5472">
            <w:pPr>
              <w:pStyle w:val="TableText"/>
              <w:rPr>
                <w:rFonts w:cs="Times New Roman"/>
              </w:rPr>
            </w:pPr>
            <w:r w:rsidRPr="00356568">
              <w:t>7.06%</w:t>
            </w:r>
          </w:p>
        </w:tc>
      </w:tr>
      <w:tr w:rsidR="00810FAC" w:rsidRPr="00DD3C09" w14:paraId="39A4E328" w14:textId="77777777" w:rsidTr="00BF5472">
        <w:tc>
          <w:tcPr>
            <w:tcW w:w="1064" w:type="pct"/>
            <w:noWrap/>
            <w:vAlign w:val="center"/>
            <w:hideMark/>
          </w:tcPr>
          <w:p w14:paraId="402CED3C" w14:textId="77777777" w:rsidR="00810FAC" w:rsidRPr="006A3C40" w:rsidRDefault="00810FAC" w:rsidP="00BF5472">
            <w:pPr>
              <w:pStyle w:val="TableText"/>
            </w:pPr>
            <w:r w:rsidRPr="006A3C40">
              <w:t>District of Columbia</w:t>
            </w:r>
          </w:p>
        </w:tc>
        <w:tc>
          <w:tcPr>
            <w:tcW w:w="655" w:type="pct"/>
            <w:shd w:val="clear" w:color="auto" w:fill="auto"/>
            <w:noWrap/>
            <w:vAlign w:val="center"/>
          </w:tcPr>
          <w:p w14:paraId="1695E673" w14:textId="77777777" w:rsidR="00810FAC" w:rsidRPr="00E3368B" w:rsidRDefault="00810FAC" w:rsidP="00BF5472">
            <w:pPr>
              <w:pStyle w:val="TableText"/>
              <w:rPr>
                <w:rFonts w:cs="Times New Roman"/>
              </w:rPr>
            </w:pPr>
            <w:r w:rsidRPr="00E3368B">
              <w:rPr>
                <w:rFonts w:cs="Times New Roman"/>
              </w:rPr>
              <w:t>51</w:t>
            </w:r>
          </w:p>
        </w:tc>
        <w:tc>
          <w:tcPr>
            <w:tcW w:w="657" w:type="pct"/>
            <w:shd w:val="clear" w:color="auto" w:fill="auto"/>
            <w:vAlign w:val="bottom"/>
          </w:tcPr>
          <w:p w14:paraId="0FB6807A" w14:textId="77777777" w:rsidR="00810FAC" w:rsidRPr="00E3368B" w:rsidRDefault="00810FAC" w:rsidP="00BF5472">
            <w:pPr>
              <w:pStyle w:val="TableText"/>
              <w:rPr>
                <w:rFonts w:cs="Times New Roman"/>
              </w:rPr>
            </w:pPr>
            <w:r w:rsidRPr="00083D0C">
              <w:rPr>
                <w:rFonts w:cs="Times New Roman"/>
                <w:color w:val="000000"/>
              </w:rPr>
              <w:t>0.45%</w:t>
            </w:r>
          </w:p>
        </w:tc>
        <w:tc>
          <w:tcPr>
            <w:tcW w:w="657" w:type="pct"/>
          </w:tcPr>
          <w:p w14:paraId="676B92B9" w14:textId="77777777" w:rsidR="00810FAC" w:rsidRPr="00DD3C09" w:rsidRDefault="00810FAC" w:rsidP="00BF5472">
            <w:pPr>
              <w:pStyle w:val="TableText"/>
              <w:rPr>
                <w:rFonts w:cs="Times New Roman"/>
                <w:color w:val="000000"/>
              </w:rPr>
            </w:pPr>
            <w:r w:rsidRPr="00E3368B">
              <w:rPr>
                <w:rFonts w:cs="Times New Roman"/>
              </w:rPr>
              <w:t>556</w:t>
            </w:r>
          </w:p>
        </w:tc>
        <w:tc>
          <w:tcPr>
            <w:tcW w:w="657" w:type="pct"/>
          </w:tcPr>
          <w:p w14:paraId="24E8AB36" w14:textId="77777777" w:rsidR="00810FAC" w:rsidRPr="00DD3C09" w:rsidRDefault="00810FAC" w:rsidP="00BF5472">
            <w:pPr>
              <w:pStyle w:val="TableText"/>
              <w:rPr>
                <w:rFonts w:cs="Times New Roman"/>
                <w:color w:val="000000"/>
              </w:rPr>
            </w:pPr>
            <w:r w:rsidRPr="00E3368B">
              <w:rPr>
                <w:rFonts w:cs="Times New Roman"/>
              </w:rPr>
              <w:t>4.81%</w:t>
            </w:r>
          </w:p>
        </w:tc>
        <w:tc>
          <w:tcPr>
            <w:tcW w:w="656" w:type="pct"/>
            <w:shd w:val="clear" w:color="auto" w:fill="auto"/>
            <w:noWrap/>
          </w:tcPr>
          <w:p w14:paraId="0CFCEE98" w14:textId="77777777" w:rsidR="00810FAC" w:rsidRPr="00E3368B" w:rsidRDefault="00810FAC" w:rsidP="00BF5472">
            <w:pPr>
              <w:pStyle w:val="TableText"/>
              <w:rPr>
                <w:rFonts w:cs="Times New Roman"/>
              </w:rPr>
            </w:pPr>
            <w:r w:rsidRPr="00E3368B">
              <w:rPr>
                <w:rFonts w:cs="Times New Roman"/>
              </w:rPr>
              <w:t>938</w:t>
            </w:r>
          </w:p>
        </w:tc>
        <w:tc>
          <w:tcPr>
            <w:tcW w:w="654" w:type="pct"/>
            <w:shd w:val="clear" w:color="auto" w:fill="auto"/>
          </w:tcPr>
          <w:p w14:paraId="5E59E4A1" w14:textId="77777777" w:rsidR="00810FAC" w:rsidRPr="00E3368B" w:rsidRDefault="00810FAC" w:rsidP="00BF5472">
            <w:pPr>
              <w:pStyle w:val="TableText"/>
              <w:rPr>
                <w:rFonts w:cs="Times New Roman"/>
              </w:rPr>
            </w:pPr>
            <w:r w:rsidRPr="00356568">
              <w:t>7.99%</w:t>
            </w:r>
          </w:p>
        </w:tc>
      </w:tr>
      <w:tr w:rsidR="00810FAC" w:rsidRPr="00DD3C09" w14:paraId="18DFD2FF" w14:textId="77777777" w:rsidTr="00BF5472">
        <w:tc>
          <w:tcPr>
            <w:tcW w:w="1064" w:type="pct"/>
            <w:noWrap/>
            <w:vAlign w:val="center"/>
            <w:hideMark/>
          </w:tcPr>
          <w:p w14:paraId="05AB5A3D" w14:textId="77777777" w:rsidR="00810FAC" w:rsidRPr="006A3C40" w:rsidRDefault="00810FAC" w:rsidP="00BF5472">
            <w:pPr>
              <w:pStyle w:val="TableText"/>
            </w:pPr>
            <w:r w:rsidRPr="006A3C40">
              <w:t>Florida</w:t>
            </w:r>
          </w:p>
        </w:tc>
        <w:tc>
          <w:tcPr>
            <w:tcW w:w="655" w:type="pct"/>
            <w:shd w:val="clear" w:color="auto" w:fill="auto"/>
            <w:noWrap/>
            <w:vAlign w:val="center"/>
          </w:tcPr>
          <w:p w14:paraId="19B18E6F" w14:textId="77777777" w:rsidR="00810FAC" w:rsidRPr="00E3368B" w:rsidRDefault="00810FAC" w:rsidP="00BF5472">
            <w:pPr>
              <w:pStyle w:val="TableText"/>
              <w:rPr>
                <w:rFonts w:cs="Times New Roman"/>
              </w:rPr>
            </w:pPr>
            <w:r w:rsidRPr="00E3368B">
              <w:rPr>
                <w:rFonts w:cs="Times New Roman"/>
              </w:rPr>
              <w:t>389</w:t>
            </w:r>
          </w:p>
        </w:tc>
        <w:tc>
          <w:tcPr>
            <w:tcW w:w="657" w:type="pct"/>
            <w:shd w:val="clear" w:color="auto" w:fill="auto"/>
            <w:vAlign w:val="bottom"/>
          </w:tcPr>
          <w:p w14:paraId="4BB1FB9C" w14:textId="77777777" w:rsidR="00810FAC" w:rsidRPr="00E3368B" w:rsidRDefault="00810FAC" w:rsidP="00BF5472">
            <w:pPr>
              <w:pStyle w:val="TableText"/>
              <w:rPr>
                <w:rFonts w:cs="Times New Roman"/>
              </w:rPr>
            </w:pPr>
            <w:r w:rsidRPr="00DD3C09">
              <w:rPr>
                <w:rFonts w:cs="Times New Roman"/>
                <w:color w:val="000000"/>
              </w:rPr>
              <w:t>0.17%</w:t>
            </w:r>
          </w:p>
        </w:tc>
        <w:tc>
          <w:tcPr>
            <w:tcW w:w="657" w:type="pct"/>
          </w:tcPr>
          <w:p w14:paraId="060E6DDC" w14:textId="77777777" w:rsidR="00810FAC" w:rsidRPr="00DD3C09" w:rsidRDefault="00810FAC" w:rsidP="00BF5472">
            <w:pPr>
              <w:pStyle w:val="TableText"/>
              <w:rPr>
                <w:rFonts w:cs="Times New Roman"/>
                <w:color w:val="000000"/>
              </w:rPr>
            </w:pPr>
            <w:r w:rsidRPr="00E3368B">
              <w:rPr>
                <w:rFonts w:cs="Times New Roman"/>
              </w:rPr>
              <w:t>9,054</w:t>
            </w:r>
          </w:p>
        </w:tc>
        <w:tc>
          <w:tcPr>
            <w:tcW w:w="657" w:type="pct"/>
          </w:tcPr>
          <w:p w14:paraId="729950C2" w14:textId="77777777" w:rsidR="00810FAC" w:rsidRPr="00DD3C09" w:rsidRDefault="00810FAC" w:rsidP="00BF5472">
            <w:pPr>
              <w:pStyle w:val="TableText"/>
              <w:rPr>
                <w:rFonts w:cs="Times New Roman"/>
                <w:color w:val="000000"/>
              </w:rPr>
            </w:pPr>
            <w:r w:rsidRPr="00E3368B">
              <w:rPr>
                <w:rFonts w:cs="Times New Roman"/>
              </w:rPr>
              <w:t>3.69%</w:t>
            </w:r>
          </w:p>
        </w:tc>
        <w:tc>
          <w:tcPr>
            <w:tcW w:w="656" w:type="pct"/>
            <w:shd w:val="clear" w:color="auto" w:fill="auto"/>
            <w:noWrap/>
          </w:tcPr>
          <w:p w14:paraId="7EBC1962" w14:textId="77777777" w:rsidR="00810FAC" w:rsidRPr="00E3368B" w:rsidRDefault="00810FAC" w:rsidP="00BF5472">
            <w:pPr>
              <w:pStyle w:val="TableText"/>
              <w:rPr>
                <w:rFonts w:cs="Times New Roman"/>
              </w:rPr>
            </w:pPr>
            <w:r w:rsidRPr="00E3368B">
              <w:rPr>
                <w:rFonts w:cs="Times New Roman"/>
              </w:rPr>
              <w:t>18,673</w:t>
            </w:r>
          </w:p>
        </w:tc>
        <w:tc>
          <w:tcPr>
            <w:tcW w:w="654" w:type="pct"/>
            <w:shd w:val="clear" w:color="auto" w:fill="auto"/>
          </w:tcPr>
          <w:p w14:paraId="1126CEFF" w14:textId="77777777" w:rsidR="00810FAC" w:rsidRPr="00E3368B" w:rsidRDefault="00810FAC" w:rsidP="00BF5472">
            <w:pPr>
              <w:pStyle w:val="TableText"/>
              <w:rPr>
                <w:rFonts w:cs="Times New Roman"/>
              </w:rPr>
            </w:pPr>
            <w:r w:rsidRPr="00356568">
              <w:t>7.31%</w:t>
            </w:r>
          </w:p>
        </w:tc>
      </w:tr>
      <w:tr w:rsidR="00810FAC" w:rsidRPr="00DD3C09" w14:paraId="19E6720B" w14:textId="77777777" w:rsidTr="00BF5472">
        <w:tc>
          <w:tcPr>
            <w:tcW w:w="1064" w:type="pct"/>
            <w:noWrap/>
            <w:vAlign w:val="center"/>
            <w:hideMark/>
          </w:tcPr>
          <w:p w14:paraId="5DAE499E" w14:textId="77777777" w:rsidR="00810FAC" w:rsidRPr="006A3C40" w:rsidRDefault="00810FAC" w:rsidP="00BF5472">
            <w:pPr>
              <w:pStyle w:val="TableText"/>
            </w:pPr>
            <w:r w:rsidRPr="006A3C40">
              <w:t>Georgia</w:t>
            </w:r>
          </w:p>
        </w:tc>
        <w:tc>
          <w:tcPr>
            <w:tcW w:w="655" w:type="pct"/>
            <w:shd w:val="clear" w:color="auto" w:fill="auto"/>
            <w:noWrap/>
            <w:vAlign w:val="center"/>
          </w:tcPr>
          <w:p w14:paraId="024B0918" w14:textId="77777777" w:rsidR="00810FAC" w:rsidRPr="00E3368B" w:rsidRDefault="00810FAC" w:rsidP="00BF5472">
            <w:pPr>
              <w:pStyle w:val="TableText"/>
              <w:rPr>
                <w:rFonts w:cs="Times New Roman"/>
              </w:rPr>
            </w:pPr>
            <w:r w:rsidRPr="00E3368B">
              <w:rPr>
                <w:rFonts w:cs="Times New Roman"/>
              </w:rPr>
              <w:t>357</w:t>
            </w:r>
          </w:p>
        </w:tc>
        <w:tc>
          <w:tcPr>
            <w:tcW w:w="657" w:type="pct"/>
            <w:shd w:val="clear" w:color="auto" w:fill="auto"/>
            <w:vAlign w:val="bottom"/>
          </w:tcPr>
          <w:p w14:paraId="13A89744" w14:textId="77777777" w:rsidR="00810FAC" w:rsidRPr="00E3368B" w:rsidRDefault="00810FAC" w:rsidP="00BF5472">
            <w:pPr>
              <w:pStyle w:val="TableText"/>
              <w:rPr>
                <w:rFonts w:cs="Times New Roman"/>
              </w:rPr>
            </w:pPr>
            <w:r w:rsidRPr="00DD3C09">
              <w:rPr>
                <w:rFonts w:cs="Times New Roman"/>
                <w:color w:val="000000"/>
              </w:rPr>
              <w:t>0.26%</w:t>
            </w:r>
          </w:p>
        </w:tc>
        <w:tc>
          <w:tcPr>
            <w:tcW w:w="657" w:type="pct"/>
          </w:tcPr>
          <w:p w14:paraId="45BFD25D" w14:textId="77777777" w:rsidR="00810FAC" w:rsidRPr="00DD3C09" w:rsidRDefault="00810FAC" w:rsidP="00BF5472">
            <w:pPr>
              <w:pStyle w:val="TableText"/>
              <w:rPr>
                <w:rFonts w:cs="Times New Roman"/>
                <w:color w:val="000000"/>
              </w:rPr>
            </w:pPr>
            <w:r w:rsidRPr="00E3368B">
              <w:rPr>
                <w:rFonts w:cs="Times New Roman"/>
              </w:rPr>
              <w:t>5,889</w:t>
            </w:r>
          </w:p>
        </w:tc>
        <w:tc>
          <w:tcPr>
            <w:tcW w:w="657" w:type="pct"/>
          </w:tcPr>
          <w:p w14:paraId="6AF60F47" w14:textId="77777777" w:rsidR="00810FAC" w:rsidRPr="00DD3C09" w:rsidRDefault="00810FAC" w:rsidP="00BF5472">
            <w:pPr>
              <w:pStyle w:val="TableText"/>
              <w:rPr>
                <w:rFonts w:cs="Times New Roman"/>
                <w:color w:val="000000"/>
              </w:rPr>
            </w:pPr>
            <w:r w:rsidRPr="00E3368B">
              <w:rPr>
                <w:rFonts w:cs="Times New Roman"/>
              </w:rPr>
              <w:t>4.07%</w:t>
            </w:r>
          </w:p>
        </w:tc>
        <w:tc>
          <w:tcPr>
            <w:tcW w:w="656" w:type="pct"/>
            <w:shd w:val="clear" w:color="auto" w:fill="auto"/>
            <w:noWrap/>
          </w:tcPr>
          <w:p w14:paraId="7CB4FA4B" w14:textId="77777777" w:rsidR="00810FAC" w:rsidRPr="00E3368B" w:rsidRDefault="00810FAC" w:rsidP="00BF5472">
            <w:pPr>
              <w:pStyle w:val="TableText"/>
              <w:rPr>
                <w:rFonts w:cs="Times New Roman"/>
              </w:rPr>
            </w:pPr>
            <w:r w:rsidRPr="00E3368B">
              <w:rPr>
                <w:rFonts w:cs="Times New Roman"/>
              </w:rPr>
              <w:t>11,314</w:t>
            </w:r>
          </w:p>
        </w:tc>
        <w:tc>
          <w:tcPr>
            <w:tcW w:w="654" w:type="pct"/>
            <w:shd w:val="clear" w:color="auto" w:fill="auto"/>
          </w:tcPr>
          <w:p w14:paraId="45F317D7" w14:textId="77777777" w:rsidR="00810FAC" w:rsidRPr="00E3368B" w:rsidRDefault="00810FAC" w:rsidP="00BF5472">
            <w:pPr>
              <w:pStyle w:val="TableText"/>
              <w:rPr>
                <w:rFonts w:cs="Times New Roman"/>
              </w:rPr>
            </w:pPr>
            <w:r w:rsidRPr="00356568">
              <w:t>7.48%</w:t>
            </w:r>
          </w:p>
        </w:tc>
      </w:tr>
      <w:tr w:rsidR="00810FAC" w:rsidRPr="00DD3C09" w14:paraId="4AB082DF" w14:textId="77777777" w:rsidTr="00BF5472">
        <w:tc>
          <w:tcPr>
            <w:tcW w:w="1064" w:type="pct"/>
            <w:noWrap/>
            <w:vAlign w:val="center"/>
            <w:hideMark/>
          </w:tcPr>
          <w:p w14:paraId="38B1C8CB" w14:textId="77777777" w:rsidR="00810FAC" w:rsidRPr="006A3C40" w:rsidRDefault="00810FAC" w:rsidP="00BF5472">
            <w:pPr>
              <w:pStyle w:val="TableText"/>
            </w:pPr>
            <w:r w:rsidRPr="006A3C40">
              <w:t>Idaho</w:t>
            </w:r>
          </w:p>
        </w:tc>
        <w:tc>
          <w:tcPr>
            <w:tcW w:w="655" w:type="pct"/>
            <w:shd w:val="clear" w:color="auto" w:fill="auto"/>
            <w:noWrap/>
          </w:tcPr>
          <w:p w14:paraId="1770E173" w14:textId="77777777" w:rsidR="00810FAC" w:rsidRPr="00E3368B" w:rsidRDefault="00810FAC" w:rsidP="00BF5472">
            <w:pPr>
              <w:pStyle w:val="TableText"/>
              <w:rPr>
                <w:rFonts w:cs="Times New Roman"/>
              </w:rPr>
            </w:pPr>
            <w:r w:rsidRPr="00E3368B">
              <w:rPr>
                <w:rFonts w:cs="Times New Roman"/>
              </w:rPr>
              <w:t>137</w:t>
            </w:r>
          </w:p>
        </w:tc>
        <w:tc>
          <w:tcPr>
            <w:tcW w:w="657" w:type="pct"/>
            <w:shd w:val="clear" w:color="auto" w:fill="auto"/>
            <w:vAlign w:val="bottom"/>
          </w:tcPr>
          <w:p w14:paraId="6085BA1D" w14:textId="77777777" w:rsidR="00810FAC" w:rsidRPr="00E3368B" w:rsidRDefault="00810FAC" w:rsidP="00BF5472">
            <w:pPr>
              <w:pStyle w:val="TableText"/>
              <w:rPr>
                <w:rFonts w:cs="Times New Roman"/>
              </w:rPr>
            </w:pPr>
            <w:r w:rsidRPr="00212A46">
              <w:rPr>
                <w:rFonts w:cs="Times New Roman"/>
                <w:color w:val="000000"/>
              </w:rPr>
              <w:t>0.54%</w:t>
            </w:r>
          </w:p>
        </w:tc>
        <w:tc>
          <w:tcPr>
            <w:tcW w:w="657" w:type="pct"/>
          </w:tcPr>
          <w:p w14:paraId="0541D35D" w14:textId="77777777" w:rsidR="00810FAC" w:rsidRPr="00DD3C09" w:rsidRDefault="00810FAC" w:rsidP="00BF5472">
            <w:pPr>
              <w:pStyle w:val="TableText"/>
              <w:rPr>
                <w:rFonts w:cs="Times New Roman"/>
                <w:color w:val="000000"/>
              </w:rPr>
            </w:pPr>
            <w:r w:rsidRPr="00E3368B">
              <w:rPr>
                <w:rFonts w:cs="Times New Roman"/>
              </w:rPr>
              <w:t>1,327</w:t>
            </w:r>
          </w:p>
        </w:tc>
        <w:tc>
          <w:tcPr>
            <w:tcW w:w="657" w:type="pct"/>
          </w:tcPr>
          <w:p w14:paraId="49564EAE" w14:textId="77777777" w:rsidR="00810FAC" w:rsidRPr="00DD3C09" w:rsidRDefault="00810FAC" w:rsidP="00BF5472">
            <w:pPr>
              <w:pStyle w:val="TableText"/>
              <w:rPr>
                <w:rFonts w:cs="Times New Roman"/>
                <w:color w:val="000000"/>
              </w:rPr>
            </w:pPr>
            <w:r w:rsidRPr="00E3368B">
              <w:rPr>
                <w:rFonts w:cs="Times New Roman"/>
              </w:rPr>
              <w:t>4.98%</w:t>
            </w:r>
          </w:p>
        </w:tc>
        <w:tc>
          <w:tcPr>
            <w:tcW w:w="656" w:type="pct"/>
            <w:shd w:val="clear" w:color="auto" w:fill="auto"/>
            <w:noWrap/>
          </w:tcPr>
          <w:p w14:paraId="0F155663" w14:textId="77777777" w:rsidR="00810FAC" w:rsidRPr="00E3368B" w:rsidRDefault="00810FAC" w:rsidP="00BF5472">
            <w:pPr>
              <w:pStyle w:val="TableText"/>
              <w:rPr>
                <w:rFonts w:cs="Times New Roman"/>
              </w:rPr>
            </w:pPr>
            <w:r w:rsidRPr="00E3368B">
              <w:rPr>
                <w:rFonts w:cs="Times New Roman"/>
              </w:rPr>
              <w:t>2,195</w:t>
            </w:r>
          </w:p>
        </w:tc>
        <w:tc>
          <w:tcPr>
            <w:tcW w:w="654" w:type="pct"/>
            <w:shd w:val="clear" w:color="auto" w:fill="auto"/>
          </w:tcPr>
          <w:p w14:paraId="409FBA07" w14:textId="77777777" w:rsidR="00810FAC" w:rsidRPr="00E3368B" w:rsidRDefault="00810FAC" w:rsidP="00BF5472">
            <w:pPr>
              <w:pStyle w:val="TableText"/>
              <w:rPr>
                <w:rFonts w:cs="Times New Roman"/>
              </w:rPr>
            </w:pPr>
            <w:r w:rsidRPr="00356568">
              <w:t>7.91%</w:t>
            </w:r>
          </w:p>
        </w:tc>
      </w:tr>
      <w:tr w:rsidR="00810FAC" w:rsidRPr="00DD3C09" w14:paraId="1FDF18A9" w14:textId="77777777" w:rsidTr="00BF5472">
        <w:tc>
          <w:tcPr>
            <w:tcW w:w="1064" w:type="pct"/>
            <w:noWrap/>
            <w:vAlign w:val="center"/>
          </w:tcPr>
          <w:p w14:paraId="7099872A" w14:textId="77777777" w:rsidR="00810FAC" w:rsidRPr="006A3C40" w:rsidRDefault="00810FAC" w:rsidP="00BF5472">
            <w:pPr>
              <w:pStyle w:val="TableText"/>
            </w:pPr>
            <w:r w:rsidRPr="006A3C40">
              <w:t>Illinois</w:t>
            </w:r>
          </w:p>
        </w:tc>
        <w:tc>
          <w:tcPr>
            <w:tcW w:w="655" w:type="pct"/>
            <w:shd w:val="clear" w:color="auto" w:fill="auto"/>
            <w:noWrap/>
            <w:vAlign w:val="center"/>
          </w:tcPr>
          <w:p w14:paraId="4CE35483" w14:textId="77777777" w:rsidR="00810FAC" w:rsidRPr="00DD3C09" w:rsidRDefault="00810FAC" w:rsidP="00BF5472">
            <w:pPr>
              <w:pStyle w:val="TableText"/>
              <w:rPr>
                <w:rFonts w:cs="Times New Roman"/>
                <w:color w:val="000000"/>
              </w:rPr>
            </w:pPr>
            <w:r w:rsidRPr="00DD3C09">
              <w:rPr>
                <w:rFonts w:cs="Times New Roman"/>
                <w:color w:val="000000"/>
              </w:rPr>
              <w:t>1,458</w:t>
            </w:r>
          </w:p>
        </w:tc>
        <w:tc>
          <w:tcPr>
            <w:tcW w:w="657" w:type="pct"/>
            <w:shd w:val="clear" w:color="auto" w:fill="auto"/>
            <w:vAlign w:val="bottom"/>
          </w:tcPr>
          <w:p w14:paraId="482E01FA" w14:textId="77777777" w:rsidR="00810FAC" w:rsidRPr="00DD3C09" w:rsidRDefault="00810FAC" w:rsidP="00BF5472">
            <w:pPr>
              <w:pStyle w:val="TableText"/>
              <w:rPr>
                <w:rFonts w:cs="Times New Roman"/>
                <w:color w:val="000000"/>
              </w:rPr>
            </w:pPr>
            <w:r w:rsidRPr="00083D0C">
              <w:rPr>
                <w:rFonts w:cs="Times New Roman"/>
                <w:color w:val="000000"/>
              </w:rPr>
              <w:t>1.00%</w:t>
            </w:r>
          </w:p>
        </w:tc>
        <w:tc>
          <w:tcPr>
            <w:tcW w:w="657" w:type="pct"/>
          </w:tcPr>
          <w:p w14:paraId="280EAC3D" w14:textId="77777777" w:rsidR="00810FAC" w:rsidRPr="00DD3C09" w:rsidRDefault="00810FAC" w:rsidP="00BF5472">
            <w:pPr>
              <w:pStyle w:val="TableText"/>
              <w:rPr>
                <w:rFonts w:cs="Times New Roman"/>
                <w:color w:val="000000"/>
              </w:rPr>
            </w:pPr>
            <w:r w:rsidRPr="00E3368B">
              <w:rPr>
                <w:rFonts w:cs="Times New Roman"/>
              </w:rPr>
              <w:t>8,633</w:t>
            </w:r>
          </w:p>
        </w:tc>
        <w:tc>
          <w:tcPr>
            <w:tcW w:w="657" w:type="pct"/>
          </w:tcPr>
          <w:p w14:paraId="55F26086" w14:textId="77777777" w:rsidR="00810FAC" w:rsidRPr="00DD3C09" w:rsidRDefault="00810FAC" w:rsidP="00BF5472">
            <w:pPr>
              <w:pStyle w:val="TableText"/>
              <w:rPr>
                <w:rFonts w:cs="Times New Roman"/>
                <w:color w:val="000000"/>
              </w:rPr>
            </w:pPr>
            <w:r w:rsidRPr="00E3368B">
              <w:rPr>
                <w:rFonts w:cs="Times New Roman"/>
              </w:rPr>
              <w:t>5.76%</w:t>
            </w:r>
          </w:p>
        </w:tc>
        <w:tc>
          <w:tcPr>
            <w:tcW w:w="656" w:type="pct"/>
            <w:shd w:val="clear" w:color="auto" w:fill="auto"/>
            <w:noWrap/>
          </w:tcPr>
          <w:p w14:paraId="4E6DCFA4" w14:textId="77777777" w:rsidR="00810FAC" w:rsidRPr="00DD3C09" w:rsidRDefault="00810FAC" w:rsidP="00BF5472">
            <w:pPr>
              <w:pStyle w:val="TableText"/>
              <w:rPr>
                <w:rFonts w:cs="Times New Roman"/>
                <w:color w:val="000000"/>
              </w:rPr>
            </w:pPr>
            <w:r w:rsidRPr="00E3368B">
              <w:rPr>
                <w:rFonts w:cs="Times New Roman"/>
              </w:rPr>
              <w:t>12,742</w:t>
            </w:r>
          </w:p>
        </w:tc>
        <w:tc>
          <w:tcPr>
            <w:tcW w:w="654" w:type="pct"/>
            <w:shd w:val="clear" w:color="auto" w:fill="auto"/>
          </w:tcPr>
          <w:p w14:paraId="65C3B40C" w14:textId="77777777" w:rsidR="00810FAC" w:rsidRPr="00DD3C09" w:rsidRDefault="00810FAC" w:rsidP="00BF5472">
            <w:pPr>
              <w:pStyle w:val="TableText"/>
              <w:rPr>
                <w:rFonts w:cs="Times New Roman"/>
                <w:color w:val="000000"/>
              </w:rPr>
            </w:pPr>
            <w:r w:rsidRPr="00356568">
              <w:t>8.31%</w:t>
            </w:r>
          </w:p>
        </w:tc>
      </w:tr>
      <w:tr w:rsidR="00810FAC" w:rsidRPr="00DD3C09" w14:paraId="40AF757B" w14:textId="77777777" w:rsidTr="00BF5472">
        <w:tc>
          <w:tcPr>
            <w:tcW w:w="1064" w:type="pct"/>
            <w:noWrap/>
            <w:vAlign w:val="center"/>
          </w:tcPr>
          <w:p w14:paraId="4CC1DF3D" w14:textId="77777777" w:rsidR="00810FAC" w:rsidRPr="006A3C40" w:rsidRDefault="00810FAC" w:rsidP="00BF5472">
            <w:pPr>
              <w:pStyle w:val="TableText"/>
            </w:pPr>
            <w:r w:rsidRPr="006A3C40">
              <w:t>Indiana</w:t>
            </w:r>
          </w:p>
        </w:tc>
        <w:tc>
          <w:tcPr>
            <w:tcW w:w="655" w:type="pct"/>
            <w:shd w:val="clear" w:color="auto" w:fill="auto"/>
            <w:noWrap/>
            <w:vAlign w:val="center"/>
          </w:tcPr>
          <w:p w14:paraId="449E0AD1" w14:textId="77777777" w:rsidR="00810FAC" w:rsidRPr="00083D0C" w:rsidRDefault="00810FAC" w:rsidP="00BF5472">
            <w:pPr>
              <w:pStyle w:val="TableText"/>
              <w:rPr>
                <w:rFonts w:cs="Times New Roman"/>
                <w:color w:val="000000"/>
              </w:rPr>
            </w:pPr>
            <w:r w:rsidRPr="00083D0C">
              <w:rPr>
                <w:rFonts w:cs="Times New Roman"/>
                <w:color w:val="000000"/>
              </w:rPr>
              <w:t>1,006</w:t>
            </w:r>
          </w:p>
        </w:tc>
        <w:tc>
          <w:tcPr>
            <w:tcW w:w="657" w:type="pct"/>
            <w:shd w:val="clear" w:color="auto" w:fill="auto"/>
            <w:vAlign w:val="bottom"/>
          </w:tcPr>
          <w:p w14:paraId="7E11BDBA" w14:textId="77777777" w:rsidR="00810FAC" w:rsidRPr="00DD3C09" w:rsidRDefault="00810FAC" w:rsidP="00BF5472">
            <w:pPr>
              <w:pStyle w:val="TableText"/>
              <w:rPr>
                <w:rFonts w:cs="Times New Roman"/>
                <w:color w:val="000000"/>
              </w:rPr>
            </w:pPr>
            <w:r w:rsidRPr="00DD3C09">
              <w:rPr>
                <w:rFonts w:cs="Times New Roman"/>
                <w:color w:val="000000"/>
              </w:rPr>
              <w:t>0.92%</w:t>
            </w:r>
          </w:p>
        </w:tc>
        <w:tc>
          <w:tcPr>
            <w:tcW w:w="657" w:type="pct"/>
          </w:tcPr>
          <w:p w14:paraId="09A8858E" w14:textId="77777777" w:rsidR="00810FAC" w:rsidRPr="00DD3C09" w:rsidRDefault="00810FAC" w:rsidP="00BF5472">
            <w:pPr>
              <w:pStyle w:val="TableText"/>
              <w:rPr>
                <w:rFonts w:cs="Times New Roman"/>
                <w:color w:val="000000"/>
              </w:rPr>
            </w:pPr>
            <w:r w:rsidRPr="00E3368B">
              <w:rPr>
                <w:rFonts w:cs="Times New Roman"/>
              </w:rPr>
              <w:t>6,347</w:t>
            </w:r>
          </w:p>
        </w:tc>
        <w:tc>
          <w:tcPr>
            <w:tcW w:w="657" w:type="pct"/>
          </w:tcPr>
          <w:p w14:paraId="21184B2A" w14:textId="77777777" w:rsidR="00810FAC" w:rsidRPr="00DD3C09" w:rsidRDefault="00810FAC" w:rsidP="00BF5472">
            <w:pPr>
              <w:pStyle w:val="TableText"/>
              <w:rPr>
                <w:rFonts w:cs="Times New Roman"/>
                <w:color w:val="000000"/>
              </w:rPr>
            </w:pPr>
            <w:r w:rsidRPr="00E3368B">
              <w:rPr>
                <w:rFonts w:cs="Times New Roman"/>
              </w:rPr>
              <w:t>5.69%</w:t>
            </w:r>
          </w:p>
        </w:tc>
        <w:tc>
          <w:tcPr>
            <w:tcW w:w="656" w:type="pct"/>
            <w:shd w:val="clear" w:color="auto" w:fill="auto"/>
            <w:noWrap/>
          </w:tcPr>
          <w:p w14:paraId="3C085509" w14:textId="77777777" w:rsidR="00810FAC" w:rsidRPr="00DD3C09" w:rsidRDefault="00810FAC" w:rsidP="00BF5472">
            <w:pPr>
              <w:pStyle w:val="TableText"/>
              <w:rPr>
                <w:rFonts w:cs="Times New Roman"/>
                <w:color w:val="000000"/>
              </w:rPr>
            </w:pPr>
            <w:r w:rsidRPr="00E3368B">
              <w:rPr>
                <w:rFonts w:cs="Times New Roman"/>
              </w:rPr>
              <w:t>9,459</w:t>
            </w:r>
          </w:p>
        </w:tc>
        <w:tc>
          <w:tcPr>
            <w:tcW w:w="654" w:type="pct"/>
            <w:shd w:val="clear" w:color="auto" w:fill="auto"/>
          </w:tcPr>
          <w:p w14:paraId="26B31EC0" w14:textId="77777777" w:rsidR="00810FAC" w:rsidRPr="00DD3C09" w:rsidRDefault="00810FAC" w:rsidP="00BF5472">
            <w:pPr>
              <w:pStyle w:val="TableText"/>
              <w:rPr>
                <w:rFonts w:cs="Times New Roman"/>
                <w:color w:val="000000"/>
              </w:rPr>
            </w:pPr>
            <w:r w:rsidRPr="00356568">
              <w:t>8.29%</w:t>
            </w:r>
          </w:p>
        </w:tc>
      </w:tr>
      <w:tr w:rsidR="00810FAC" w:rsidRPr="00DD3C09" w14:paraId="79A4F1AB" w14:textId="77777777" w:rsidTr="00BF5472">
        <w:tc>
          <w:tcPr>
            <w:tcW w:w="1064" w:type="pct"/>
            <w:noWrap/>
            <w:vAlign w:val="center"/>
            <w:hideMark/>
          </w:tcPr>
          <w:p w14:paraId="263ABF56" w14:textId="77777777" w:rsidR="00810FAC" w:rsidRPr="006A3C40" w:rsidRDefault="00810FAC" w:rsidP="00BF5472">
            <w:pPr>
              <w:pStyle w:val="TableText"/>
            </w:pPr>
            <w:r w:rsidRPr="006A3C40">
              <w:t>Iowa</w:t>
            </w:r>
          </w:p>
        </w:tc>
        <w:tc>
          <w:tcPr>
            <w:tcW w:w="655" w:type="pct"/>
            <w:shd w:val="clear" w:color="auto" w:fill="auto"/>
            <w:noWrap/>
            <w:vAlign w:val="center"/>
          </w:tcPr>
          <w:p w14:paraId="36CAFCF1" w14:textId="77777777" w:rsidR="00810FAC" w:rsidRPr="00E3368B" w:rsidRDefault="00810FAC" w:rsidP="00BF5472">
            <w:pPr>
              <w:pStyle w:val="TableText"/>
              <w:rPr>
                <w:rFonts w:cs="Times New Roman"/>
              </w:rPr>
            </w:pPr>
            <w:r w:rsidRPr="00E3368B">
              <w:rPr>
                <w:rFonts w:cs="Times New Roman"/>
              </w:rPr>
              <w:t>484</w:t>
            </w:r>
          </w:p>
        </w:tc>
        <w:tc>
          <w:tcPr>
            <w:tcW w:w="657" w:type="pct"/>
            <w:shd w:val="clear" w:color="auto" w:fill="auto"/>
            <w:vAlign w:val="bottom"/>
          </w:tcPr>
          <w:p w14:paraId="245673F5" w14:textId="77777777" w:rsidR="00810FAC" w:rsidRPr="00E3368B" w:rsidRDefault="00810FAC" w:rsidP="00BF5472">
            <w:pPr>
              <w:pStyle w:val="TableText"/>
              <w:rPr>
                <w:rFonts w:cs="Times New Roman"/>
              </w:rPr>
            </w:pPr>
            <w:r w:rsidRPr="00DD3C09">
              <w:rPr>
                <w:rFonts w:cs="Times New Roman"/>
                <w:color w:val="000000"/>
              </w:rPr>
              <w:t>0.99%</w:t>
            </w:r>
          </w:p>
        </w:tc>
        <w:tc>
          <w:tcPr>
            <w:tcW w:w="657" w:type="pct"/>
          </w:tcPr>
          <w:p w14:paraId="23AB3FA5" w14:textId="77777777" w:rsidR="00810FAC" w:rsidRPr="00DD3C09" w:rsidRDefault="00810FAC" w:rsidP="00BF5472">
            <w:pPr>
              <w:pStyle w:val="TableText"/>
              <w:rPr>
                <w:rFonts w:cs="Times New Roman"/>
                <w:color w:val="000000"/>
              </w:rPr>
            </w:pPr>
            <w:r w:rsidRPr="00E3368B">
              <w:rPr>
                <w:rFonts w:cs="Times New Roman"/>
              </w:rPr>
              <w:t>2,878</w:t>
            </w:r>
          </w:p>
        </w:tc>
        <w:tc>
          <w:tcPr>
            <w:tcW w:w="657" w:type="pct"/>
          </w:tcPr>
          <w:p w14:paraId="7BB554E9" w14:textId="77777777" w:rsidR="00810FAC" w:rsidRPr="00DD3C09" w:rsidRDefault="00810FAC" w:rsidP="00BF5472">
            <w:pPr>
              <w:pStyle w:val="TableText"/>
              <w:rPr>
                <w:rFonts w:cs="Times New Roman"/>
                <w:color w:val="000000"/>
              </w:rPr>
            </w:pPr>
            <w:r w:rsidRPr="00E3368B">
              <w:rPr>
                <w:rFonts w:cs="Times New Roman"/>
              </w:rPr>
              <w:t>5.73%</w:t>
            </w:r>
          </w:p>
        </w:tc>
        <w:tc>
          <w:tcPr>
            <w:tcW w:w="656" w:type="pct"/>
            <w:shd w:val="clear" w:color="auto" w:fill="auto"/>
            <w:noWrap/>
          </w:tcPr>
          <w:p w14:paraId="768762C8" w14:textId="77777777" w:rsidR="00810FAC" w:rsidRPr="00E3368B" w:rsidRDefault="00810FAC" w:rsidP="00BF5472">
            <w:pPr>
              <w:pStyle w:val="TableText"/>
              <w:rPr>
                <w:rFonts w:cs="Times New Roman"/>
              </w:rPr>
            </w:pPr>
            <w:r w:rsidRPr="00E3368B">
              <w:rPr>
                <w:rFonts w:cs="Times New Roman"/>
              </w:rPr>
              <w:t>4,270</w:t>
            </w:r>
          </w:p>
        </w:tc>
        <w:tc>
          <w:tcPr>
            <w:tcW w:w="654" w:type="pct"/>
            <w:shd w:val="clear" w:color="auto" w:fill="auto"/>
          </w:tcPr>
          <w:p w14:paraId="42E5817A" w14:textId="77777777" w:rsidR="00810FAC" w:rsidRPr="00E3368B" w:rsidRDefault="00810FAC" w:rsidP="00BF5472">
            <w:pPr>
              <w:pStyle w:val="TableText"/>
              <w:rPr>
                <w:rFonts w:cs="Times New Roman"/>
              </w:rPr>
            </w:pPr>
            <w:r w:rsidRPr="00356568">
              <w:t>8.25%</w:t>
            </w:r>
          </w:p>
        </w:tc>
      </w:tr>
      <w:tr w:rsidR="00810FAC" w:rsidRPr="00DD3C09" w14:paraId="2732C1E9" w14:textId="77777777" w:rsidTr="00BF5472">
        <w:tc>
          <w:tcPr>
            <w:tcW w:w="1064" w:type="pct"/>
            <w:noWrap/>
            <w:vAlign w:val="center"/>
            <w:hideMark/>
          </w:tcPr>
          <w:p w14:paraId="47D830D8" w14:textId="77777777" w:rsidR="00810FAC" w:rsidRPr="006A3C40" w:rsidRDefault="00810FAC" w:rsidP="00BF5472">
            <w:pPr>
              <w:pStyle w:val="TableText"/>
            </w:pPr>
            <w:r w:rsidRPr="006A3C40">
              <w:t>Kansas</w:t>
            </w:r>
          </w:p>
        </w:tc>
        <w:tc>
          <w:tcPr>
            <w:tcW w:w="655" w:type="pct"/>
            <w:shd w:val="clear" w:color="auto" w:fill="auto"/>
            <w:noWrap/>
            <w:vAlign w:val="center"/>
          </w:tcPr>
          <w:p w14:paraId="4BD6B4E5" w14:textId="77777777" w:rsidR="00810FAC" w:rsidRPr="00E3368B" w:rsidRDefault="00810FAC" w:rsidP="00BF5472">
            <w:pPr>
              <w:pStyle w:val="TableText"/>
              <w:rPr>
                <w:rFonts w:cs="Times New Roman"/>
              </w:rPr>
            </w:pPr>
            <w:r w:rsidRPr="00E3368B">
              <w:rPr>
                <w:rFonts w:cs="Times New Roman"/>
              </w:rPr>
              <w:t>2</w:t>
            </w:r>
          </w:p>
        </w:tc>
        <w:tc>
          <w:tcPr>
            <w:tcW w:w="657" w:type="pct"/>
            <w:shd w:val="clear" w:color="auto" w:fill="auto"/>
            <w:vAlign w:val="bottom"/>
          </w:tcPr>
          <w:p w14:paraId="06E69AA6" w14:textId="77777777" w:rsidR="00810FAC" w:rsidRPr="00E3368B" w:rsidRDefault="00810FAC" w:rsidP="00BF5472">
            <w:pPr>
              <w:pStyle w:val="TableText"/>
              <w:rPr>
                <w:rFonts w:cs="Times New Roman"/>
              </w:rPr>
            </w:pPr>
            <w:r w:rsidRPr="00DD3C09">
              <w:rPr>
                <w:rFonts w:cs="Times New Roman"/>
                <w:color w:val="000000"/>
              </w:rPr>
              <w:t>0.01%</w:t>
            </w:r>
          </w:p>
        </w:tc>
        <w:tc>
          <w:tcPr>
            <w:tcW w:w="657" w:type="pct"/>
          </w:tcPr>
          <w:p w14:paraId="57C78388" w14:textId="77777777" w:rsidR="00810FAC" w:rsidRPr="00DD3C09" w:rsidRDefault="00810FAC" w:rsidP="00BF5472">
            <w:pPr>
              <w:pStyle w:val="TableText"/>
              <w:rPr>
                <w:rFonts w:cs="Times New Roman"/>
                <w:color w:val="000000"/>
              </w:rPr>
            </w:pPr>
            <w:r w:rsidRPr="00E3368B">
              <w:rPr>
                <w:rFonts w:cs="Times New Roman"/>
              </w:rPr>
              <w:t>1,265</w:t>
            </w:r>
          </w:p>
        </w:tc>
        <w:tc>
          <w:tcPr>
            <w:tcW w:w="657" w:type="pct"/>
          </w:tcPr>
          <w:p w14:paraId="1C0DDF36" w14:textId="77777777" w:rsidR="00810FAC" w:rsidRPr="00DD3C09" w:rsidRDefault="00810FAC" w:rsidP="00BF5472">
            <w:pPr>
              <w:pStyle w:val="TableText"/>
              <w:rPr>
                <w:rFonts w:cs="Times New Roman"/>
                <w:color w:val="000000"/>
              </w:rPr>
            </w:pPr>
            <w:r w:rsidRPr="00E3368B">
              <w:rPr>
                <w:rFonts w:cs="Times New Roman"/>
              </w:rPr>
              <w:t>2.95%</w:t>
            </w:r>
          </w:p>
        </w:tc>
        <w:tc>
          <w:tcPr>
            <w:tcW w:w="656" w:type="pct"/>
            <w:shd w:val="clear" w:color="auto" w:fill="auto"/>
            <w:noWrap/>
          </w:tcPr>
          <w:p w14:paraId="5B38D62F" w14:textId="77777777" w:rsidR="00810FAC" w:rsidRPr="00E3368B" w:rsidRDefault="00810FAC" w:rsidP="00BF5472">
            <w:pPr>
              <w:pStyle w:val="TableText"/>
              <w:rPr>
                <w:rFonts w:cs="Times New Roman"/>
              </w:rPr>
            </w:pPr>
            <w:r w:rsidRPr="00E3368B">
              <w:rPr>
                <w:rFonts w:cs="Times New Roman"/>
              </w:rPr>
              <w:t>3,080</w:t>
            </w:r>
          </w:p>
        </w:tc>
        <w:tc>
          <w:tcPr>
            <w:tcW w:w="654" w:type="pct"/>
            <w:shd w:val="clear" w:color="auto" w:fill="auto"/>
          </w:tcPr>
          <w:p w14:paraId="2E7DB26D" w14:textId="77777777" w:rsidR="00810FAC" w:rsidRPr="00E3368B" w:rsidRDefault="00810FAC" w:rsidP="00BF5472">
            <w:pPr>
              <w:pStyle w:val="TableText"/>
              <w:rPr>
                <w:rFonts w:cs="Times New Roman"/>
              </w:rPr>
            </w:pPr>
            <w:r w:rsidRPr="00356568">
              <w:t>6.97%</w:t>
            </w:r>
          </w:p>
        </w:tc>
      </w:tr>
      <w:tr w:rsidR="00810FAC" w:rsidRPr="00DD3C09" w14:paraId="427D0737" w14:textId="77777777" w:rsidTr="00BF5472">
        <w:tc>
          <w:tcPr>
            <w:tcW w:w="1064" w:type="pct"/>
            <w:noWrap/>
            <w:vAlign w:val="center"/>
            <w:hideMark/>
          </w:tcPr>
          <w:p w14:paraId="6145D7F7" w14:textId="77777777" w:rsidR="00810FAC" w:rsidRPr="006A3C40" w:rsidRDefault="00810FAC" w:rsidP="00BF5472">
            <w:pPr>
              <w:pStyle w:val="TableText"/>
            </w:pPr>
            <w:r w:rsidRPr="006A3C40">
              <w:t>Kentucky</w:t>
            </w:r>
          </w:p>
        </w:tc>
        <w:tc>
          <w:tcPr>
            <w:tcW w:w="655" w:type="pct"/>
            <w:shd w:val="clear" w:color="auto" w:fill="auto"/>
            <w:noWrap/>
            <w:vAlign w:val="center"/>
          </w:tcPr>
          <w:p w14:paraId="4F7B1424" w14:textId="77777777" w:rsidR="00810FAC" w:rsidRPr="00E3368B" w:rsidRDefault="00810FAC" w:rsidP="00BF5472">
            <w:pPr>
              <w:pStyle w:val="TableText"/>
              <w:rPr>
                <w:rFonts w:cs="Times New Roman"/>
              </w:rPr>
            </w:pPr>
            <w:r w:rsidRPr="00E3368B">
              <w:rPr>
                <w:rFonts w:cs="Times New Roman"/>
              </w:rPr>
              <w:t>337</w:t>
            </w:r>
          </w:p>
        </w:tc>
        <w:tc>
          <w:tcPr>
            <w:tcW w:w="657" w:type="pct"/>
            <w:shd w:val="clear" w:color="auto" w:fill="auto"/>
            <w:vAlign w:val="bottom"/>
          </w:tcPr>
          <w:p w14:paraId="3FC09B1F" w14:textId="77777777" w:rsidR="00810FAC" w:rsidRPr="00E3368B" w:rsidRDefault="00810FAC" w:rsidP="00BF5472">
            <w:pPr>
              <w:pStyle w:val="TableText"/>
              <w:rPr>
                <w:rFonts w:cs="Times New Roman"/>
              </w:rPr>
            </w:pPr>
            <w:r w:rsidRPr="000D4923">
              <w:rPr>
                <w:rFonts w:cs="Times New Roman"/>
                <w:color w:val="000000"/>
              </w:rPr>
              <w:t>0.37%</w:t>
            </w:r>
          </w:p>
        </w:tc>
        <w:tc>
          <w:tcPr>
            <w:tcW w:w="657" w:type="pct"/>
          </w:tcPr>
          <w:p w14:paraId="5B0BB945" w14:textId="77777777" w:rsidR="00810FAC" w:rsidRPr="00DD3C09" w:rsidRDefault="00810FAC" w:rsidP="00BF5472">
            <w:pPr>
              <w:pStyle w:val="TableText"/>
              <w:rPr>
                <w:rFonts w:cs="Times New Roman"/>
                <w:color w:val="000000"/>
              </w:rPr>
            </w:pPr>
            <w:r w:rsidRPr="00E3368B">
              <w:rPr>
                <w:rFonts w:cs="Times New Roman"/>
              </w:rPr>
              <w:t>4,232</w:t>
            </w:r>
          </w:p>
        </w:tc>
        <w:tc>
          <w:tcPr>
            <w:tcW w:w="657" w:type="pct"/>
          </w:tcPr>
          <w:p w14:paraId="6BCF7111" w14:textId="77777777" w:rsidR="00810FAC" w:rsidRPr="00DD3C09" w:rsidRDefault="00810FAC" w:rsidP="00BF5472">
            <w:pPr>
              <w:pStyle w:val="TableText"/>
              <w:rPr>
                <w:rFonts w:cs="Times New Roman"/>
                <w:color w:val="000000"/>
              </w:rPr>
            </w:pPr>
            <w:r w:rsidRPr="00E3368B">
              <w:rPr>
                <w:rFonts w:cs="Times New Roman"/>
              </w:rPr>
              <w:t>4.50%</w:t>
            </w:r>
          </w:p>
        </w:tc>
        <w:tc>
          <w:tcPr>
            <w:tcW w:w="656" w:type="pct"/>
            <w:shd w:val="clear" w:color="auto" w:fill="auto"/>
            <w:noWrap/>
          </w:tcPr>
          <w:p w14:paraId="103193B0" w14:textId="77777777" w:rsidR="00810FAC" w:rsidRPr="00E3368B" w:rsidRDefault="00810FAC" w:rsidP="00BF5472">
            <w:pPr>
              <w:pStyle w:val="TableText"/>
              <w:rPr>
                <w:rFonts w:cs="Times New Roman"/>
              </w:rPr>
            </w:pPr>
            <w:r w:rsidRPr="00E3368B">
              <w:rPr>
                <w:rFonts w:cs="Times New Roman"/>
              </w:rPr>
              <w:t>7,544</w:t>
            </w:r>
          </w:p>
        </w:tc>
        <w:tc>
          <w:tcPr>
            <w:tcW w:w="654" w:type="pct"/>
            <w:shd w:val="clear" w:color="auto" w:fill="auto"/>
          </w:tcPr>
          <w:p w14:paraId="58FB79D0" w14:textId="77777777" w:rsidR="00810FAC" w:rsidRPr="00E3368B" w:rsidRDefault="00810FAC" w:rsidP="00BF5472">
            <w:pPr>
              <w:pStyle w:val="TableText"/>
              <w:rPr>
                <w:rFonts w:cs="Times New Roman"/>
              </w:rPr>
            </w:pPr>
            <w:r w:rsidRPr="00356568">
              <w:t>7.68%</w:t>
            </w:r>
          </w:p>
        </w:tc>
      </w:tr>
      <w:tr w:rsidR="00810FAC" w:rsidRPr="00DD3C09" w14:paraId="7EC7A6A0" w14:textId="77777777" w:rsidTr="00BF5472">
        <w:tc>
          <w:tcPr>
            <w:tcW w:w="1064" w:type="pct"/>
            <w:noWrap/>
            <w:vAlign w:val="center"/>
            <w:hideMark/>
          </w:tcPr>
          <w:p w14:paraId="518A9CF9" w14:textId="77777777" w:rsidR="00810FAC" w:rsidRPr="006A3C40" w:rsidRDefault="00810FAC" w:rsidP="00BF5472">
            <w:pPr>
              <w:pStyle w:val="TableText"/>
            </w:pPr>
            <w:r w:rsidRPr="006A3C40">
              <w:t>Louisiana</w:t>
            </w:r>
          </w:p>
        </w:tc>
        <w:tc>
          <w:tcPr>
            <w:tcW w:w="655" w:type="pct"/>
            <w:shd w:val="clear" w:color="auto" w:fill="auto"/>
            <w:noWrap/>
            <w:vAlign w:val="center"/>
          </w:tcPr>
          <w:p w14:paraId="4DB4EE0C" w14:textId="77777777" w:rsidR="00810FAC" w:rsidRPr="00E3368B" w:rsidRDefault="00810FAC" w:rsidP="00BF5472">
            <w:pPr>
              <w:pStyle w:val="TableText"/>
              <w:rPr>
                <w:rFonts w:cs="Times New Roman"/>
              </w:rPr>
            </w:pPr>
            <w:r w:rsidRPr="00E3368B">
              <w:rPr>
                <w:rFonts w:cs="Times New Roman"/>
              </w:rPr>
              <w:t>23</w:t>
            </w:r>
          </w:p>
        </w:tc>
        <w:tc>
          <w:tcPr>
            <w:tcW w:w="657" w:type="pct"/>
            <w:shd w:val="clear" w:color="auto" w:fill="auto"/>
            <w:vAlign w:val="bottom"/>
          </w:tcPr>
          <w:p w14:paraId="311D2A49" w14:textId="77777777" w:rsidR="00810FAC" w:rsidRPr="00E3368B" w:rsidRDefault="00810FAC" w:rsidP="00BF5472">
            <w:pPr>
              <w:pStyle w:val="TableText"/>
              <w:rPr>
                <w:rFonts w:cs="Times New Roman"/>
              </w:rPr>
            </w:pPr>
            <w:r w:rsidRPr="000D4923">
              <w:rPr>
                <w:rFonts w:cs="Times New Roman"/>
                <w:color w:val="000000"/>
              </w:rPr>
              <w:t>0.02%</w:t>
            </w:r>
          </w:p>
        </w:tc>
        <w:tc>
          <w:tcPr>
            <w:tcW w:w="657" w:type="pct"/>
          </w:tcPr>
          <w:p w14:paraId="46EC09E3" w14:textId="77777777" w:rsidR="00810FAC" w:rsidRPr="00DD3C09" w:rsidRDefault="00810FAC" w:rsidP="00BF5472">
            <w:pPr>
              <w:pStyle w:val="TableText"/>
              <w:rPr>
                <w:rFonts w:cs="Times New Roman"/>
                <w:color w:val="000000"/>
              </w:rPr>
            </w:pPr>
            <w:r w:rsidRPr="00E3368B">
              <w:rPr>
                <w:rFonts w:cs="Times New Roman"/>
              </w:rPr>
              <w:t>2,905</w:t>
            </w:r>
          </w:p>
        </w:tc>
        <w:tc>
          <w:tcPr>
            <w:tcW w:w="657" w:type="pct"/>
          </w:tcPr>
          <w:p w14:paraId="68441B5C" w14:textId="77777777" w:rsidR="00810FAC" w:rsidRPr="00DD3C09" w:rsidRDefault="00810FAC" w:rsidP="00BF5472">
            <w:pPr>
              <w:pStyle w:val="TableText"/>
              <w:rPr>
                <w:rFonts w:cs="Times New Roman"/>
                <w:color w:val="000000"/>
              </w:rPr>
            </w:pPr>
            <w:r w:rsidRPr="00E3368B">
              <w:rPr>
                <w:rFonts w:cs="Times New Roman"/>
              </w:rPr>
              <w:t>3.02%</w:t>
            </w:r>
          </w:p>
        </w:tc>
        <w:tc>
          <w:tcPr>
            <w:tcW w:w="656" w:type="pct"/>
            <w:shd w:val="clear" w:color="auto" w:fill="auto"/>
            <w:noWrap/>
          </w:tcPr>
          <w:p w14:paraId="17DA86B8" w14:textId="77777777" w:rsidR="00810FAC" w:rsidRPr="00E3368B" w:rsidRDefault="00810FAC" w:rsidP="00BF5472">
            <w:pPr>
              <w:pStyle w:val="TableText"/>
              <w:rPr>
                <w:rFonts w:cs="Times New Roman"/>
              </w:rPr>
            </w:pPr>
            <w:r w:rsidRPr="00E3368B">
              <w:rPr>
                <w:rFonts w:cs="Times New Roman"/>
              </w:rPr>
              <w:t>6,983</w:t>
            </w:r>
          </w:p>
        </w:tc>
        <w:tc>
          <w:tcPr>
            <w:tcW w:w="654" w:type="pct"/>
            <w:shd w:val="clear" w:color="auto" w:fill="auto"/>
          </w:tcPr>
          <w:p w14:paraId="356F02B5" w14:textId="77777777" w:rsidR="00810FAC" w:rsidRPr="00E3368B" w:rsidRDefault="00810FAC" w:rsidP="00BF5472">
            <w:pPr>
              <w:pStyle w:val="TableText"/>
              <w:rPr>
                <w:rFonts w:cs="Times New Roman"/>
              </w:rPr>
            </w:pPr>
            <w:r w:rsidRPr="00356568">
              <w:t>6.92%</w:t>
            </w:r>
          </w:p>
        </w:tc>
      </w:tr>
      <w:tr w:rsidR="00810FAC" w:rsidRPr="00DD3C09" w14:paraId="61DD3FED" w14:textId="77777777" w:rsidTr="00BF5472">
        <w:tc>
          <w:tcPr>
            <w:tcW w:w="1064" w:type="pct"/>
            <w:noWrap/>
            <w:vAlign w:val="center"/>
            <w:hideMark/>
          </w:tcPr>
          <w:p w14:paraId="4C505643" w14:textId="77777777" w:rsidR="00810FAC" w:rsidRPr="006A3C40" w:rsidRDefault="00810FAC" w:rsidP="00BF5472">
            <w:pPr>
              <w:pStyle w:val="TableText"/>
            </w:pPr>
            <w:r w:rsidRPr="006A3C40">
              <w:t>Maine</w:t>
            </w:r>
          </w:p>
        </w:tc>
        <w:tc>
          <w:tcPr>
            <w:tcW w:w="655" w:type="pct"/>
            <w:shd w:val="clear" w:color="auto" w:fill="auto"/>
            <w:noWrap/>
          </w:tcPr>
          <w:p w14:paraId="410A3835" w14:textId="77777777" w:rsidR="00810FAC" w:rsidRPr="00E3368B" w:rsidRDefault="00810FAC" w:rsidP="00BF5472">
            <w:pPr>
              <w:pStyle w:val="TableText"/>
              <w:rPr>
                <w:rFonts w:cs="Times New Roman"/>
              </w:rPr>
            </w:pPr>
            <w:r w:rsidRPr="00E3368B">
              <w:rPr>
                <w:rFonts w:cs="Times New Roman"/>
              </w:rPr>
              <w:t>121</w:t>
            </w:r>
          </w:p>
        </w:tc>
        <w:tc>
          <w:tcPr>
            <w:tcW w:w="657" w:type="pct"/>
            <w:shd w:val="clear" w:color="auto" w:fill="auto"/>
            <w:vAlign w:val="bottom"/>
          </w:tcPr>
          <w:p w14:paraId="401B2A5C" w14:textId="77777777" w:rsidR="00810FAC" w:rsidRPr="00E3368B" w:rsidRDefault="00810FAC" w:rsidP="00BF5472">
            <w:pPr>
              <w:pStyle w:val="TableText"/>
              <w:rPr>
                <w:rFonts w:cs="Times New Roman"/>
              </w:rPr>
            </w:pPr>
            <w:r w:rsidRPr="00DD3C09">
              <w:rPr>
                <w:rFonts w:cs="Times New Roman"/>
                <w:color w:val="000000"/>
              </w:rPr>
              <w:t>1.00%</w:t>
            </w:r>
          </w:p>
        </w:tc>
        <w:tc>
          <w:tcPr>
            <w:tcW w:w="657" w:type="pct"/>
          </w:tcPr>
          <w:p w14:paraId="6D34F4D8" w14:textId="77777777" w:rsidR="00810FAC" w:rsidRPr="00DD3C09" w:rsidRDefault="00810FAC" w:rsidP="00BF5472">
            <w:pPr>
              <w:pStyle w:val="TableText"/>
              <w:rPr>
                <w:rFonts w:cs="Times New Roman"/>
                <w:color w:val="000000"/>
              </w:rPr>
            </w:pPr>
            <w:r w:rsidRPr="00E3368B">
              <w:rPr>
                <w:rFonts w:cs="Times New Roman"/>
              </w:rPr>
              <w:t>717</w:t>
            </w:r>
          </w:p>
        </w:tc>
        <w:tc>
          <w:tcPr>
            <w:tcW w:w="657" w:type="pct"/>
          </w:tcPr>
          <w:p w14:paraId="23A1F21D" w14:textId="77777777" w:rsidR="00810FAC" w:rsidRPr="00DD3C09" w:rsidRDefault="00810FAC" w:rsidP="00BF5472">
            <w:pPr>
              <w:pStyle w:val="TableText"/>
              <w:rPr>
                <w:rFonts w:cs="Times New Roman"/>
                <w:color w:val="000000"/>
              </w:rPr>
            </w:pPr>
            <w:r w:rsidRPr="00E3368B">
              <w:rPr>
                <w:rFonts w:cs="Times New Roman"/>
              </w:rPr>
              <w:t>5.77%</w:t>
            </w:r>
          </w:p>
        </w:tc>
        <w:tc>
          <w:tcPr>
            <w:tcW w:w="656" w:type="pct"/>
            <w:shd w:val="clear" w:color="auto" w:fill="auto"/>
            <w:noWrap/>
          </w:tcPr>
          <w:p w14:paraId="16D20EE4" w14:textId="77777777" w:rsidR="00810FAC" w:rsidRPr="00E3368B" w:rsidRDefault="00810FAC" w:rsidP="00BF5472">
            <w:pPr>
              <w:pStyle w:val="TableText"/>
              <w:rPr>
                <w:rFonts w:cs="Times New Roman"/>
              </w:rPr>
            </w:pPr>
            <w:r w:rsidRPr="00E3368B">
              <w:rPr>
                <w:rFonts w:cs="Times New Roman"/>
              </w:rPr>
              <w:t>1,056</w:t>
            </w:r>
          </w:p>
        </w:tc>
        <w:tc>
          <w:tcPr>
            <w:tcW w:w="654" w:type="pct"/>
            <w:shd w:val="clear" w:color="auto" w:fill="auto"/>
          </w:tcPr>
          <w:p w14:paraId="1391F7D4" w14:textId="77777777" w:rsidR="00810FAC" w:rsidRPr="00E3368B" w:rsidRDefault="00810FAC" w:rsidP="00BF5472">
            <w:pPr>
              <w:pStyle w:val="TableText"/>
              <w:rPr>
                <w:rFonts w:cs="Times New Roman"/>
              </w:rPr>
            </w:pPr>
            <w:r w:rsidRPr="00356568">
              <w:t>8.34%</w:t>
            </w:r>
          </w:p>
        </w:tc>
      </w:tr>
      <w:tr w:rsidR="00810FAC" w:rsidRPr="00DD3C09" w14:paraId="5B0BBC16" w14:textId="77777777" w:rsidTr="00BF5472">
        <w:tc>
          <w:tcPr>
            <w:tcW w:w="1064" w:type="pct"/>
            <w:noWrap/>
            <w:vAlign w:val="center"/>
            <w:hideMark/>
          </w:tcPr>
          <w:p w14:paraId="7FEA64F9" w14:textId="77777777" w:rsidR="00810FAC" w:rsidRPr="006A3C40" w:rsidRDefault="00810FAC" w:rsidP="00BF5472">
            <w:pPr>
              <w:pStyle w:val="TableText"/>
            </w:pPr>
            <w:r w:rsidRPr="006A3C40">
              <w:t>Maryland</w:t>
            </w:r>
          </w:p>
        </w:tc>
        <w:tc>
          <w:tcPr>
            <w:tcW w:w="655" w:type="pct"/>
            <w:shd w:val="clear" w:color="auto" w:fill="auto"/>
            <w:noWrap/>
            <w:vAlign w:val="center"/>
          </w:tcPr>
          <w:p w14:paraId="5E30AAA7" w14:textId="77777777" w:rsidR="00810FAC" w:rsidRPr="00E3368B" w:rsidRDefault="00810FAC" w:rsidP="00BF5472">
            <w:pPr>
              <w:pStyle w:val="TableText"/>
              <w:rPr>
                <w:rFonts w:cs="Times New Roman"/>
              </w:rPr>
            </w:pPr>
            <w:r w:rsidRPr="00E3368B">
              <w:rPr>
                <w:rFonts w:cs="Times New Roman"/>
              </w:rPr>
              <w:t>632</w:t>
            </w:r>
          </w:p>
        </w:tc>
        <w:tc>
          <w:tcPr>
            <w:tcW w:w="657" w:type="pct"/>
            <w:shd w:val="clear" w:color="auto" w:fill="auto"/>
            <w:vAlign w:val="bottom"/>
          </w:tcPr>
          <w:p w14:paraId="0C0FAECC" w14:textId="77777777" w:rsidR="00810FAC" w:rsidRPr="00E3368B" w:rsidRDefault="00810FAC" w:rsidP="00BF5472">
            <w:pPr>
              <w:pStyle w:val="TableText"/>
              <w:rPr>
                <w:rFonts w:cs="Times New Roman"/>
              </w:rPr>
            </w:pPr>
            <w:r w:rsidRPr="00DD3C09">
              <w:rPr>
                <w:rFonts w:cs="Times New Roman"/>
                <w:color w:val="000000"/>
              </w:rPr>
              <w:t>1.00%</w:t>
            </w:r>
          </w:p>
        </w:tc>
        <w:tc>
          <w:tcPr>
            <w:tcW w:w="657" w:type="pct"/>
          </w:tcPr>
          <w:p w14:paraId="50B191B0" w14:textId="77777777" w:rsidR="00810FAC" w:rsidRPr="00DD3C09" w:rsidRDefault="00810FAC" w:rsidP="00BF5472">
            <w:pPr>
              <w:pStyle w:val="TableText"/>
              <w:rPr>
                <w:rFonts w:cs="Times New Roman"/>
                <w:color w:val="000000"/>
              </w:rPr>
            </w:pPr>
            <w:r w:rsidRPr="00E3368B">
              <w:rPr>
                <w:rFonts w:cs="Times New Roman"/>
              </w:rPr>
              <w:t>3,729</w:t>
            </w:r>
          </w:p>
        </w:tc>
        <w:tc>
          <w:tcPr>
            <w:tcW w:w="657" w:type="pct"/>
          </w:tcPr>
          <w:p w14:paraId="472EF503" w14:textId="77777777" w:rsidR="00810FAC" w:rsidRPr="00DD3C09" w:rsidRDefault="00810FAC" w:rsidP="00BF5472">
            <w:pPr>
              <w:pStyle w:val="TableText"/>
              <w:rPr>
                <w:rFonts w:cs="Times New Roman"/>
                <w:color w:val="000000"/>
              </w:rPr>
            </w:pPr>
            <w:r w:rsidRPr="00E3368B">
              <w:rPr>
                <w:rFonts w:cs="Times New Roman"/>
              </w:rPr>
              <w:t>5.78%</w:t>
            </w:r>
          </w:p>
        </w:tc>
        <w:tc>
          <w:tcPr>
            <w:tcW w:w="656" w:type="pct"/>
            <w:shd w:val="clear" w:color="auto" w:fill="auto"/>
            <w:noWrap/>
          </w:tcPr>
          <w:p w14:paraId="6F7A5964" w14:textId="77777777" w:rsidR="00810FAC" w:rsidRPr="00E3368B" w:rsidRDefault="00810FAC" w:rsidP="00BF5472">
            <w:pPr>
              <w:pStyle w:val="TableText"/>
              <w:rPr>
                <w:rFonts w:cs="Times New Roman"/>
              </w:rPr>
            </w:pPr>
            <w:r w:rsidRPr="00E3368B">
              <w:rPr>
                <w:rFonts w:cs="Times New Roman"/>
              </w:rPr>
              <w:t>5,482</w:t>
            </w:r>
          </w:p>
        </w:tc>
        <w:tc>
          <w:tcPr>
            <w:tcW w:w="654" w:type="pct"/>
            <w:shd w:val="clear" w:color="auto" w:fill="auto"/>
          </w:tcPr>
          <w:p w14:paraId="43C44159" w14:textId="77777777" w:rsidR="00810FAC" w:rsidRPr="00E3368B" w:rsidRDefault="00810FAC" w:rsidP="00BF5472">
            <w:pPr>
              <w:pStyle w:val="TableText"/>
              <w:rPr>
                <w:rFonts w:cs="Times New Roman"/>
              </w:rPr>
            </w:pPr>
            <w:r w:rsidRPr="00356568">
              <w:t>8.36%</w:t>
            </w:r>
          </w:p>
        </w:tc>
      </w:tr>
      <w:tr w:rsidR="00810FAC" w:rsidRPr="00DD3C09" w14:paraId="63898619" w14:textId="77777777" w:rsidTr="00BF5472">
        <w:tc>
          <w:tcPr>
            <w:tcW w:w="1064" w:type="pct"/>
            <w:noWrap/>
            <w:vAlign w:val="center"/>
            <w:hideMark/>
          </w:tcPr>
          <w:p w14:paraId="6C3B8024" w14:textId="77777777" w:rsidR="00810FAC" w:rsidRPr="006A3C40" w:rsidRDefault="00810FAC" w:rsidP="00BF5472">
            <w:pPr>
              <w:pStyle w:val="TableText"/>
            </w:pPr>
            <w:r w:rsidRPr="006A3C40">
              <w:t>Massachusetts</w:t>
            </w:r>
          </w:p>
        </w:tc>
        <w:tc>
          <w:tcPr>
            <w:tcW w:w="655" w:type="pct"/>
            <w:shd w:val="clear" w:color="auto" w:fill="auto"/>
            <w:noWrap/>
          </w:tcPr>
          <w:p w14:paraId="41AFD15A" w14:textId="77777777" w:rsidR="00810FAC" w:rsidRPr="00E3368B" w:rsidRDefault="00810FAC" w:rsidP="00BF5472">
            <w:pPr>
              <w:pStyle w:val="TableText"/>
              <w:rPr>
                <w:rFonts w:cs="Times New Roman"/>
              </w:rPr>
            </w:pPr>
            <w:r w:rsidRPr="00E3368B">
              <w:rPr>
                <w:rFonts w:cs="Times New Roman"/>
              </w:rPr>
              <w:t>566</w:t>
            </w:r>
          </w:p>
        </w:tc>
        <w:tc>
          <w:tcPr>
            <w:tcW w:w="657" w:type="pct"/>
            <w:shd w:val="clear" w:color="auto" w:fill="auto"/>
            <w:vAlign w:val="bottom"/>
          </w:tcPr>
          <w:p w14:paraId="10FF2F4F" w14:textId="77777777" w:rsidR="00810FAC" w:rsidRPr="00E3368B" w:rsidRDefault="00810FAC" w:rsidP="00BF5472">
            <w:pPr>
              <w:pStyle w:val="TableText"/>
              <w:rPr>
                <w:rFonts w:cs="Times New Roman"/>
              </w:rPr>
            </w:pPr>
            <w:r w:rsidRPr="00DD3C09">
              <w:rPr>
                <w:rFonts w:cs="Times New Roman"/>
                <w:color w:val="000000"/>
              </w:rPr>
              <w:t>1.00%</w:t>
            </w:r>
          </w:p>
        </w:tc>
        <w:tc>
          <w:tcPr>
            <w:tcW w:w="657" w:type="pct"/>
          </w:tcPr>
          <w:p w14:paraId="28C6935C" w14:textId="77777777" w:rsidR="00810FAC" w:rsidRPr="00DD3C09" w:rsidDel="007C780B" w:rsidRDefault="00810FAC" w:rsidP="00BF5472">
            <w:pPr>
              <w:pStyle w:val="TableText"/>
              <w:rPr>
                <w:rFonts w:cs="Times New Roman"/>
                <w:color w:val="000000"/>
              </w:rPr>
            </w:pPr>
            <w:r w:rsidRPr="00E3368B">
              <w:rPr>
                <w:rFonts w:cs="Times New Roman"/>
              </w:rPr>
              <w:t>3,344</w:t>
            </w:r>
          </w:p>
        </w:tc>
        <w:tc>
          <w:tcPr>
            <w:tcW w:w="657" w:type="pct"/>
          </w:tcPr>
          <w:p w14:paraId="651009F6" w14:textId="77777777" w:rsidR="00810FAC" w:rsidRPr="00DD3C09" w:rsidDel="007C780B" w:rsidRDefault="00810FAC" w:rsidP="00BF5472">
            <w:pPr>
              <w:pStyle w:val="TableText"/>
              <w:rPr>
                <w:rFonts w:cs="Times New Roman"/>
                <w:color w:val="000000"/>
              </w:rPr>
            </w:pPr>
            <w:r w:rsidRPr="00E3368B">
              <w:rPr>
                <w:rFonts w:cs="Times New Roman"/>
              </w:rPr>
              <w:t>5.77%</w:t>
            </w:r>
          </w:p>
        </w:tc>
        <w:tc>
          <w:tcPr>
            <w:tcW w:w="656" w:type="pct"/>
            <w:shd w:val="clear" w:color="auto" w:fill="auto"/>
            <w:noWrap/>
          </w:tcPr>
          <w:p w14:paraId="335AFE88" w14:textId="77777777" w:rsidR="00810FAC" w:rsidRPr="00E3368B" w:rsidRDefault="00810FAC" w:rsidP="00BF5472">
            <w:pPr>
              <w:pStyle w:val="TableText"/>
              <w:rPr>
                <w:rFonts w:cs="Times New Roman"/>
              </w:rPr>
            </w:pPr>
            <w:r w:rsidRPr="00E3368B">
              <w:rPr>
                <w:rFonts w:cs="Times New Roman"/>
              </w:rPr>
              <w:t>4,925</w:t>
            </w:r>
          </w:p>
        </w:tc>
        <w:tc>
          <w:tcPr>
            <w:tcW w:w="654" w:type="pct"/>
            <w:shd w:val="clear" w:color="auto" w:fill="auto"/>
          </w:tcPr>
          <w:p w14:paraId="44E36AEB" w14:textId="77777777" w:rsidR="00810FAC" w:rsidRPr="00E3368B" w:rsidRDefault="00810FAC" w:rsidP="00BF5472">
            <w:pPr>
              <w:pStyle w:val="TableText"/>
              <w:rPr>
                <w:rFonts w:cs="Times New Roman"/>
              </w:rPr>
            </w:pPr>
            <w:r w:rsidRPr="00356568">
              <w:t>8.34%</w:t>
            </w:r>
          </w:p>
        </w:tc>
      </w:tr>
      <w:tr w:rsidR="00810FAC" w:rsidRPr="00F56EEB" w14:paraId="2C0AD2C4" w14:textId="77777777" w:rsidTr="00BF5472">
        <w:tc>
          <w:tcPr>
            <w:tcW w:w="1064" w:type="pct"/>
            <w:noWrap/>
            <w:vAlign w:val="center"/>
            <w:hideMark/>
          </w:tcPr>
          <w:p w14:paraId="2DEA46EC" w14:textId="77777777" w:rsidR="00810FAC" w:rsidRPr="006A3C40" w:rsidRDefault="00810FAC" w:rsidP="00BF5472">
            <w:pPr>
              <w:pStyle w:val="TableText"/>
            </w:pPr>
            <w:r w:rsidRPr="006A3C40">
              <w:t>Michigan</w:t>
            </w:r>
          </w:p>
        </w:tc>
        <w:tc>
          <w:tcPr>
            <w:tcW w:w="655" w:type="pct"/>
            <w:shd w:val="clear" w:color="auto" w:fill="auto"/>
            <w:noWrap/>
            <w:vAlign w:val="center"/>
          </w:tcPr>
          <w:p w14:paraId="0FAF9D69" w14:textId="77777777" w:rsidR="00810FAC" w:rsidRPr="00E3368B" w:rsidRDefault="00810FAC" w:rsidP="00BF5472">
            <w:pPr>
              <w:pStyle w:val="TableText"/>
              <w:rPr>
                <w:rFonts w:cs="Times New Roman"/>
              </w:rPr>
            </w:pPr>
            <w:r w:rsidRPr="00E3368B">
              <w:rPr>
                <w:rFonts w:cs="Times New Roman"/>
              </w:rPr>
              <w:t>1,055</w:t>
            </w:r>
          </w:p>
        </w:tc>
        <w:tc>
          <w:tcPr>
            <w:tcW w:w="657" w:type="pct"/>
            <w:shd w:val="clear" w:color="auto" w:fill="auto"/>
            <w:vAlign w:val="bottom"/>
          </w:tcPr>
          <w:p w14:paraId="5F36782B" w14:textId="77777777" w:rsidR="00810FAC" w:rsidRPr="00E3368B" w:rsidRDefault="00810FAC" w:rsidP="00BF5472">
            <w:pPr>
              <w:pStyle w:val="TableText"/>
              <w:rPr>
                <w:rFonts w:cs="Times New Roman"/>
              </w:rPr>
            </w:pPr>
            <w:r w:rsidRPr="00DD3C09">
              <w:rPr>
                <w:rFonts w:cs="Times New Roman"/>
                <w:color w:val="000000"/>
              </w:rPr>
              <w:t>1.00%</w:t>
            </w:r>
          </w:p>
        </w:tc>
        <w:tc>
          <w:tcPr>
            <w:tcW w:w="657" w:type="pct"/>
          </w:tcPr>
          <w:p w14:paraId="47ACFE36" w14:textId="77777777" w:rsidR="00810FAC" w:rsidRPr="00DD3C09" w:rsidRDefault="00810FAC" w:rsidP="00BF5472">
            <w:pPr>
              <w:pStyle w:val="TableText"/>
              <w:rPr>
                <w:rFonts w:cs="Times New Roman"/>
                <w:color w:val="000000"/>
              </w:rPr>
            </w:pPr>
            <w:r w:rsidRPr="00E3368B">
              <w:rPr>
                <w:rFonts w:cs="Times New Roman"/>
              </w:rPr>
              <w:t>6,232</w:t>
            </w:r>
          </w:p>
        </w:tc>
        <w:tc>
          <w:tcPr>
            <w:tcW w:w="657" w:type="pct"/>
          </w:tcPr>
          <w:p w14:paraId="52A1295E" w14:textId="77777777" w:rsidR="00810FAC" w:rsidRPr="00F56EEB" w:rsidRDefault="00810FAC" w:rsidP="00BF5472">
            <w:pPr>
              <w:pStyle w:val="TableText"/>
              <w:rPr>
                <w:rFonts w:cs="Times New Roman"/>
                <w:color w:val="000000"/>
              </w:rPr>
            </w:pPr>
            <w:r w:rsidRPr="00E3368B">
              <w:rPr>
                <w:rFonts w:cs="Times New Roman"/>
              </w:rPr>
              <w:t>5.77%</w:t>
            </w:r>
          </w:p>
        </w:tc>
        <w:tc>
          <w:tcPr>
            <w:tcW w:w="656" w:type="pct"/>
            <w:shd w:val="clear" w:color="auto" w:fill="auto"/>
            <w:noWrap/>
          </w:tcPr>
          <w:p w14:paraId="0BBCED7E" w14:textId="77777777" w:rsidR="00810FAC" w:rsidRPr="00E3368B" w:rsidRDefault="00810FAC" w:rsidP="00BF5472">
            <w:pPr>
              <w:pStyle w:val="TableText"/>
              <w:rPr>
                <w:rFonts w:cs="Times New Roman"/>
              </w:rPr>
            </w:pPr>
            <w:r w:rsidRPr="00E3368B">
              <w:rPr>
                <w:rFonts w:cs="Times New Roman"/>
              </w:rPr>
              <w:t>9,176</w:t>
            </w:r>
          </w:p>
        </w:tc>
        <w:tc>
          <w:tcPr>
            <w:tcW w:w="654" w:type="pct"/>
            <w:shd w:val="clear" w:color="auto" w:fill="auto"/>
          </w:tcPr>
          <w:p w14:paraId="69EFB54A" w14:textId="77777777" w:rsidR="00810FAC" w:rsidRPr="00E3368B" w:rsidRDefault="00810FAC" w:rsidP="00BF5472">
            <w:pPr>
              <w:pStyle w:val="TableText"/>
              <w:rPr>
                <w:rFonts w:cs="Times New Roman"/>
              </w:rPr>
            </w:pPr>
            <w:r w:rsidRPr="00356568">
              <w:t>8.34%</w:t>
            </w:r>
          </w:p>
        </w:tc>
      </w:tr>
      <w:tr w:rsidR="00810FAC" w:rsidRPr="00F56EEB" w14:paraId="55B535DA" w14:textId="77777777" w:rsidTr="00BF5472">
        <w:tc>
          <w:tcPr>
            <w:tcW w:w="1064" w:type="pct"/>
            <w:noWrap/>
            <w:vAlign w:val="center"/>
            <w:hideMark/>
          </w:tcPr>
          <w:p w14:paraId="36447ED9" w14:textId="77777777" w:rsidR="00810FAC" w:rsidRPr="006A3C40" w:rsidRDefault="00810FAC" w:rsidP="00BF5472">
            <w:pPr>
              <w:pStyle w:val="TableText"/>
            </w:pPr>
            <w:r w:rsidRPr="006A3C40">
              <w:t>Minnesota</w:t>
            </w:r>
          </w:p>
        </w:tc>
        <w:tc>
          <w:tcPr>
            <w:tcW w:w="655" w:type="pct"/>
            <w:shd w:val="clear" w:color="auto" w:fill="auto"/>
            <w:noWrap/>
            <w:vAlign w:val="center"/>
          </w:tcPr>
          <w:p w14:paraId="7CC315E8" w14:textId="77777777" w:rsidR="00810FAC" w:rsidRPr="00E3368B" w:rsidRDefault="00810FAC" w:rsidP="00BF5472">
            <w:pPr>
              <w:pStyle w:val="TableText"/>
              <w:rPr>
                <w:rFonts w:cs="Times New Roman"/>
              </w:rPr>
            </w:pPr>
            <w:r w:rsidRPr="00E3368B">
              <w:rPr>
                <w:rFonts w:cs="Times New Roman"/>
              </w:rPr>
              <w:t>712</w:t>
            </w:r>
          </w:p>
        </w:tc>
        <w:tc>
          <w:tcPr>
            <w:tcW w:w="657" w:type="pct"/>
            <w:shd w:val="clear" w:color="auto" w:fill="auto"/>
            <w:vAlign w:val="bottom"/>
          </w:tcPr>
          <w:p w14:paraId="632C65A2" w14:textId="77777777" w:rsidR="00810FAC" w:rsidRPr="00E3368B" w:rsidRDefault="00810FAC" w:rsidP="00BF5472">
            <w:pPr>
              <w:pStyle w:val="TableText"/>
              <w:rPr>
                <w:rFonts w:cs="Times New Roman"/>
              </w:rPr>
            </w:pPr>
            <w:r w:rsidRPr="00FB650A">
              <w:rPr>
                <w:rFonts w:cs="Times New Roman"/>
                <w:color w:val="000000"/>
              </w:rPr>
              <w:t>0.99%</w:t>
            </w:r>
          </w:p>
        </w:tc>
        <w:tc>
          <w:tcPr>
            <w:tcW w:w="657" w:type="pct"/>
          </w:tcPr>
          <w:p w14:paraId="3943D789" w14:textId="77777777" w:rsidR="00810FAC" w:rsidRPr="00FB650A" w:rsidRDefault="00810FAC" w:rsidP="00BF5472">
            <w:pPr>
              <w:pStyle w:val="TableText"/>
              <w:rPr>
                <w:rFonts w:cs="Times New Roman"/>
                <w:color w:val="000000"/>
              </w:rPr>
            </w:pPr>
            <w:r w:rsidRPr="00E3368B">
              <w:rPr>
                <w:rFonts w:cs="Times New Roman"/>
              </w:rPr>
              <w:t>4,230</w:t>
            </w:r>
          </w:p>
        </w:tc>
        <w:tc>
          <w:tcPr>
            <w:tcW w:w="657" w:type="pct"/>
          </w:tcPr>
          <w:p w14:paraId="7AB07AE2" w14:textId="77777777" w:rsidR="00810FAC" w:rsidRPr="00FB650A" w:rsidRDefault="00810FAC" w:rsidP="00BF5472">
            <w:pPr>
              <w:pStyle w:val="TableText"/>
              <w:rPr>
                <w:rFonts w:cs="Times New Roman"/>
                <w:color w:val="000000"/>
              </w:rPr>
            </w:pPr>
            <w:r w:rsidRPr="00E3368B">
              <w:rPr>
                <w:rFonts w:cs="Times New Roman"/>
              </w:rPr>
              <w:t>5.73%</w:t>
            </w:r>
          </w:p>
        </w:tc>
        <w:tc>
          <w:tcPr>
            <w:tcW w:w="656" w:type="pct"/>
            <w:shd w:val="clear" w:color="auto" w:fill="auto"/>
            <w:noWrap/>
          </w:tcPr>
          <w:p w14:paraId="5F672151" w14:textId="77777777" w:rsidR="00810FAC" w:rsidRPr="00E3368B" w:rsidRDefault="00810FAC" w:rsidP="00BF5472">
            <w:pPr>
              <w:pStyle w:val="TableText"/>
              <w:rPr>
                <w:rFonts w:cs="Times New Roman"/>
              </w:rPr>
            </w:pPr>
            <w:r w:rsidRPr="00E3368B">
              <w:rPr>
                <w:rFonts w:cs="Times New Roman"/>
              </w:rPr>
              <w:t>6,275</w:t>
            </w:r>
          </w:p>
        </w:tc>
        <w:tc>
          <w:tcPr>
            <w:tcW w:w="654" w:type="pct"/>
            <w:shd w:val="clear" w:color="auto" w:fill="auto"/>
          </w:tcPr>
          <w:p w14:paraId="12760BF3" w14:textId="77777777" w:rsidR="00810FAC" w:rsidRPr="00E3368B" w:rsidRDefault="00810FAC" w:rsidP="00BF5472">
            <w:pPr>
              <w:pStyle w:val="TableText"/>
              <w:rPr>
                <w:rFonts w:cs="Times New Roman"/>
              </w:rPr>
            </w:pPr>
            <w:r w:rsidRPr="00356568">
              <w:t>8.25%</w:t>
            </w:r>
          </w:p>
        </w:tc>
      </w:tr>
      <w:tr w:rsidR="00810FAC" w:rsidRPr="00FB650A" w14:paraId="64DE73B0" w14:textId="77777777" w:rsidTr="00BF5472">
        <w:tc>
          <w:tcPr>
            <w:tcW w:w="1064" w:type="pct"/>
            <w:noWrap/>
            <w:vAlign w:val="center"/>
            <w:hideMark/>
          </w:tcPr>
          <w:p w14:paraId="23DFDE77" w14:textId="77777777" w:rsidR="00810FAC" w:rsidRPr="006A3C40" w:rsidRDefault="00810FAC" w:rsidP="00BF5472">
            <w:pPr>
              <w:pStyle w:val="TableText"/>
            </w:pPr>
            <w:r w:rsidRPr="006A3C40">
              <w:t>Mississippi</w:t>
            </w:r>
          </w:p>
        </w:tc>
        <w:tc>
          <w:tcPr>
            <w:tcW w:w="655" w:type="pct"/>
            <w:shd w:val="clear" w:color="auto" w:fill="auto"/>
            <w:noWrap/>
          </w:tcPr>
          <w:p w14:paraId="5E662EC8" w14:textId="77777777" w:rsidR="00810FAC" w:rsidRPr="00E3368B" w:rsidRDefault="00810FAC" w:rsidP="00BF5472">
            <w:pPr>
              <w:pStyle w:val="TableText"/>
              <w:rPr>
                <w:rFonts w:cs="Times New Roman"/>
              </w:rPr>
            </w:pPr>
            <w:r w:rsidRPr="00E3368B">
              <w:rPr>
                <w:rFonts w:cs="Times New Roman"/>
              </w:rPr>
              <w:t>119</w:t>
            </w:r>
          </w:p>
        </w:tc>
        <w:tc>
          <w:tcPr>
            <w:tcW w:w="657" w:type="pct"/>
            <w:shd w:val="clear" w:color="auto" w:fill="auto"/>
            <w:vAlign w:val="bottom"/>
          </w:tcPr>
          <w:p w14:paraId="111D874D" w14:textId="77777777" w:rsidR="00810FAC" w:rsidRPr="00E3368B" w:rsidRDefault="00810FAC" w:rsidP="00BF5472">
            <w:pPr>
              <w:pStyle w:val="TableText"/>
              <w:rPr>
                <w:rFonts w:cs="Times New Roman"/>
              </w:rPr>
            </w:pPr>
            <w:r w:rsidRPr="00E3368B">
              <w:rPr>
                <w:rFonts w:cs="Times New Roman"/>
                <w:color w:val="000000"/>
              </w:rPr>
              <w:t>0.23%</w:t>
            </w:r>
          </w:p>
        </w:tc>
        <w:tc>
          <w:tcPr>
            <w:tcW w:w="657" w:type="pct"/>
          </w:tcPr>
          <w:p w14:paraId="34DC43E1" w14:textId="77777777" w:rsidR="00810FAC" w:rsidRPr="00E3368B" w:rsidRDefault="00810FAC" w:rsidP="00BF5472">
            <w:pPr>
              <w:pStyle w:val="TableText"/>
              <w:rPr>
                <w:rFonts w:cs="Times New Roman"/>
                <w:color w:val="000000"/>
              </w:rPr>
            </w:pPr>
            <w:r w:rsidRPr="00E3368B">
              <w:rPr>
                <w:rFonts w:cs="Times New Roman"/>
              </w:rPr>
              <w:t>2,159</w:t>
            </w:r>
          </w:p>
        </w:tc>
        <w:tc>
          <w:tcPr>
            <w:tcW w:w="657" w:type="pct"/>
          </w:tcPr>
          <w:p w14:paraId="0124DD58" w14:textId="77777777" w:rsidR="00810FAC" w:rsidRPr="00E3368B" w:rsidRDefault="00810FAC" w:rsidP="00BF5472">
            <w:pPr>
              <w:pStyle w:val="TableText"/>
              <w:rPr>
                <w:rFonts w:cs="Times New Roman"/>
                <w:color w:val="000000"/>
              </w:rPr>
            </w:pPr>
            <w:r w:rsidRPr="00E3368B">
              <w:rPr>
                <w:rFonts w:cs="Times New Roman"/>
              </w:rPr>
              <w:t>3.95%</w:t>
            </w:r>
          </w:p>
        </w:tc>
        <w:tc>
          <w:tcPr>
            <w:tcW w:w="656" w:type="pct"/>
            <w:shd w:val="clear" w:color="auto" w:fill="auto"/>
            <w:noWrap/>
          </w:tcPr>
          <w:p w14:paraId="7E4C1AD5" w14:textId="77777777" w:rsidR="00810FAC" w:rsidRPr="00E3368B" w:rsidRDefault="00810FAC" w:rsidP="00BF5472">
            <w:pPr>
              <w:pStyle w:val="TableText"/>
              <w:rPr>
                <w:rFonts w:cs="Times New Roman"/>
              </w:rPr>
            </w:pPr>
            <w:r w:rsidRPr="00E3368B">
              <w:rPr>
                <w:rFonts w:cs="Times New Roman"/>
              </w:rPr>
              <w:t>4,244</w:t>
            </w:r>
          </w:p>
        </w:tc>
        <w:tc>
          <w:tcPr>
            <w:tcW w:w="654" w:type="pct"/>
            <w:shd w:val="clear" w:color="auto" w:fill="auto"/>
          </w:tcPr>
          <w:p w14:paraId="48AE617A" w14:textId="77777777" w:rsidR="00810FAC" w:rsidRPr="00E3368B" w:rsidRDefault="00810FAC" w:rsidP="00BF5472">
            <w:pPr>
              <w:pStyle w:val="TableText"/>
              <w:rPr>
                <w:rFonts w:cs="Times New Roman"/>
              </w:rPr>
            </w:pPr>
            <w:r w:rsidRPr="00356568">
              <w:t>7.40%</w:t>
            </w:r>
          </w:p>
        </w:tc>
      </w:tr>
      <w:tr w:rsidR="00810FAC" w:rsidRPr="00D33008" w14:paraId="212A7A05" w14:textId="77777777" w:rsidTr="00BF5472">
        <w:tc>
          <w:tcPr>
            <w:tcW w:w="1064" w:type="pct"/>
            <w:noWrap/>
            <w:vAlign w:val="center"/>
            <w:hideMark/>
          </w:tcPr>
          <w:p w14:paraId="45091622" w14:textId="77777777" w:rsidR="00810FAC" w:rsidRPr="006A3C40" w:rsidRDefault="00810FAC" w:rsidP="00BF5472">
            <w:pPr>
              <w:pStyle w:val="TableText"/>
            </w:pPr>
            <w:r w:rsidRPr="006A3C40">
              <w:t>Missouri</w:t>
            </w:r>
          </w:p>
        </w:tc>
        <w:tc>
          <w:tcPr>
            <w:tcW w:w="655" w:type="pct"/>
            <w:shd w:val="clear" w:color="auto" w:fill="auto"/>
            <w:noWrap/>
            <w:vAlign w:val="center"/>
          </w:tcPr>
          <w:p w14:paraId="08A2DF1C" w14:textId="77777777" w:rsidR="00810FAC" w:rsidRPr="00E3368B" w:rsidRDefault="00810FAC" w:rsidP="00BF5472">
            <w:pPr>
              <w:pStyle w:val="TableText"/>
              <w:rPr>
                <w:rFonts w:cs="Times New Roman"/>
              </w:rPr>
            </w:pPr>
            <w:r w:rsidRPr="00E3368B">
              <w:rPr>
                <w:rFonts w:cs="Times New Roman"/>
              </w:rPr>
              <w:t>420</w:t>
            </w:r>
          </w:p>
        </w:tc>
        <w:tc>
          <w:tcPr>
            <w:tcW w:w="657" w:type="pct"/>
            <w:shd w:val="clear" w:color="auto" w:fill="auto"/>
            <w:vAlign w:val="bottom"/>
          </w:tcPr>
          <w:p w14:paraId="6B55F6F5" w14:textId="77777777" w:rsidR="00810FAC" w:rsidRPr="00E3368B" w:rsidRDefault="00810FAC" w:rsidP="00BF5472">
            <w:pPr>
              <w:pStyle w:val="TableText"/>
              <w:rPr>
                <w:rFonts w:cs="Times New Roman"/>
              </w:rPr>
            </w:pPr>
            <w:r w:rsidRPr="00E3368B">
              <w:rPr>
                <w:rFonts w:cs="Times New Roman"/>
                <w:color w:val="000000"/>
              </w:rPr>
              <w:t>0.49%</w:t>
            </w:r>
          </w:p>
        </w:tc>
        <w:tc>
          <w:tcPr>
            <w:tcW w:w="657" w:type="pct"/>
          </w:tcPr>
          <w:p w14:paraId="5BF00146" w14:textId="77777777" w:rsidR="00810FAC" w:rsidRPr="00E3368B" w:rsidRDefault="00810FAC" w:rsidP="00BF5472">
            <w:pPr>
              <w:pStyle w:val="TableText"/>
              <w:rPr>
                <w:rFonts w:cs="Times New Roman"/>
                <w:color w:val="000000"/>
              </w:rPr>
            </w:pPr>
            <w:r w:rsidRPr="00E3368B">
              <w:rPr>
                <w:rFonts w:cs="Times New Roman"/>
              </w:rPr>
              <w:t>4,324</w:t>
            </w:r>
          </w:p>
        </w:tc>
        <w:tc>
          <w:tcPr>
            <w:tcW w:w="657" w:type="pct"/>
          </w:tcPr>
          <w:p w14:paraId="216DC667" w14:textId="77777777" w:rsidR="00810FAC" w:rsidRPr="00E3368B" w:rsidRDefault="00810FAC" w:rsidP="00BF5472">
            <w:pPr>
              <w:pStyle w:val="TableText"/>
              <w:rPr>
                <w:rFonts w:cs="Times New Roman"/>
                <w:color w:val="000000"/>
              </w:rPr>
            </w:pPr>
            <w:r w:rsidRPr="00E3368B">
              <w:rPr>
                <w:rFonts w:cs="Times New Roman"/>
              </w:rPr>
              <w:t>4.89%</w:t>
            </w:r>
          </w:p>
        </w:tc>
        <w:tc>
          <w:tcPr>
            <w:tcW w:w="656" w:type="pct"/>
            <w:shd w:val="clear" w:color="auto" w:fill="auto"/>
            <w:noWrap/>
          </w:tcPr>
          <w:p w14:paraId="0B612D72" w14:textId="77777777" w:rsidR="00810FAC" w:rsidRPr="00E3368B" w:rsidRDefault="00810FAC" w:rsidP="00BF5472">
            <w:pPr>
              <w:pStyle w:val="TableText"/>
              <w:rPr>
                <w:rFonts w:cs="Times New Roman"/>
              </w:rPr>
            </w:pPr>
            <w:r w:rsidRPr="00E3368B">
              <w:rPr>
                <w:rFonts w:cs="Times New Roman"/>
              </w:rPr>
              <w:t>7,230</w:t>
            </w:r>
          </w:p>
        </w:tc>
        <w:tc>
          <w:tcPr>
            <w:tcW w:w="654" w:type="pct"/>
            <w:shd w:val="clear" w:color="auto" w:fill="auto"/>
          </w:tcPr>
          <w:p w14:paraId="2A192197" w14:textId="77777777" w:rsidR="00810FAC" w:rsidRPr="00E3368B" w:rsidRDefault="00810FAC" w:rsidP="00BF5472">
            <w:pPr>
              <w:pStyle w:val="TableText"/>
              <w:rPr>
                <w:rFonts w:cs="Times New Roman"/>
              </w:rPr>
            </w:pPr>
            <w:r w:rsidRPr="00356568">
              <w:t>7.97%</w:t>
            </w:r>
          </w:p>
        </w:tc>
      </w:tr>
      <w:tr w:rsidR="00810FAC" w:rsidRPr="00D33008" w14:paraId="3CE00F1A" w14:textId="77777777" w:rsidTr="00BF5472">
        <w:tc>
          <w:tcPr>
            <w:tcW w:w="1064" w:type="pct"/>
            <w:noWrap/>
            <w:vAlign w:val="center"/>
            <w:hideMark/>
          </w:tcPr>
          <w:p w14:paraId="7597D553" w14:textId="77777777" w:rsidR="00810FAC" w:rsidRPr="006A3C40" w:rsidRDefault="00810FAC" w:rsidP="00BF5472">
            <w:pPr>
              <w:pStyle w:val="TableText"/>
            </w:pPr>
            <w:r w:rsidRPr="006A3C40">
              <w:t>Montana</w:t>
            </w:r>
          </w:p>
        </w:tc>
        <w:tc>
          <w:tcPr>
            <w:tcW w:w="655" w:type="pct"/>
            <w:shd w:val="clear" w:color="auto" w:fill="auto"/>
            <w:noWrap/>
            <w:vAlign w:val="center"/>
          </w:tcPr>
          <w:p w14:paraId="5CDFC43E" w14:textId="77777777" w:rsidR="00810FAC" w:rsidRPr="00E3368B" w:rsidRDefault="00810FAC" w:rsidP="00BF5472">
            <w:pPr>
              <w:pStyle w:val="TableText"/>
              <w:rPr>
                <w:rFonts w:cs="Times New Roman"/>
              </w:rPr>
            </w:pPr>
            <w:r w:rsidRPr="00E3368B">
              <w:rPr>
                <w:rFonts w:cs="Times New Roman"/>
              </w:rPr>
              <w:t>79</w:t>
            </w:r>
          </w:p>
        </w:tc>
        <w:tc>
          <w:tcPr>
            <w:tcW w:w="657" w:type="pct"/>
            <w:shd w:val="clear" w:color="auto" w:fill="auto"/>
            <w:vAlign w:val="bottom"/>
          </w:tcPr>
          <w:p w14:paraId="0F78585E" w14:textId="77777777" w:rsidR="00810FAC" w:rsidRPr="00E3368B" w:rsidRDefault="00810FAC" w:rsidP="00BF5472">
            <w:pPr>
              <w:pStyle w:val="TableText"/>
              <w:rPr>
                <w:rFonts w:cs="Times New Roman"/>
              </w:rPr>
            </w:pPr>
            <w:r w:rsidRPr="00E3368B">
              <w:rPr>
                <w:rFonts w:cs="Times New Roman"/>
                <w:color w:val="000000"/>
              </w:rPr>
              <w:t>0.53%</w:t>
            </w:r>
          </w:p>
        </w:tc>
        <w:tc>
          <w:tcPr>
            <w:tcW w:w="657" w:type="pct"/>
          </w:tcPr>
          <w:p w14:paraId="16E2B976" w14:textId="77777777" w:rsidR="00810FAC" w:rsidRPr="00E3368B" w:rsidRDefault="00810FAC" w:rsidP="00BF5472">
            <w:pPr>
              <w:pStyle w:val="TableText"/>
              <w:rPr>
                <w:rFonts w:cs="Times New Roman"/>
                <w:color w:val="000000"/>
              </w:rPr>
            </w:pPr>
            <w:r w:rsidRPr="00E3368B">
              <w:rPr>
                <w:rFonts w:cs="Times New Roman"/>
              </w:rPr>
              <w:t>770</w:t>
            </w:r>
          </w:p>
        </w:tc>
        <w:tc>
          <w:tcPr>
            <w:tcW w:w="657" w:type="pct"/>
          </w:tcPr>
          <w:p w14:paraId="12F196E5" w14:textId="77777777" w:rsidR="00810FAC" w:rsidRPr="00E3368B" w:rsidRDefault="00810FAC" w:rsidP="00BF5472">
            <w:pPr>
              <w:pStyle w:val="TableText"/>
              <w:rPr>
                <w:rFonts w:cs="Times New Roman"/>
                <w:color w:val="000000"/>
              </w:rPr>
            </w:pPr>
            <w:r w:rsidRPr="00E3368B">
              <w:rPr>
                <w:rFonts w:cs="Times New Roman"/>
              </w:rPr>
              <w:t>4.98%</w:t>
            </w:r>
          </w:p>
        </w:tc>
        <w:tc>
          <w:tcPr>
            <w:tcW w:w="656" w:type="pct"/>
            <w:shd w:val="clear" w:color="auto" w:fill="auto"/>
            <w:noWrap/>
          </w:tcPr>
          <w:p w14:paraId="59369D6A" w14:textId="77777777" w:rsidR="00810FAC" w:rsidRPr="00E3368B" w:rsidRDefault="00810FAC" w:rsidP="00BF5472">
            <w:pPr>
              <w:pStyle w:val="TableText"/>
              <w:rPr>
                <w:rFonts w:cs="Times New Roman"/>
              </w:rPr>
            </w:pPr>
            <w:r w:rsidRPr="00E3368B">
              <w:rPr>
                <w:rFonts w:cs="Times New Roman"/>
              </w:rPr>
              <w:t>1,274</w:t>
            </w:r>
          </w:p>
        </w:tc>
        <w:tc>
          <w:tcPr>
            <w:tcW w:w="654" w:type="pct"/>
            <w:shd w:val="clear" w:color="auto" w:fill="auto"/>
          </w:tcPr>
          <w:p w14:paraId="1F41DDA0" w14:textId="77777777" w:rsidR="00810FAC" w:rsidRPr="00E3368B" w:rsidRDefault="00810FAC" w:rsidP="00BF5472">
            <w:pPr>
              <w:pStyle w:val="TableText"/>
              <w:rPr>
                <w:rFonts w:cs="Times New Roman"/>
              </w:rPr>
            </w:pPr>
            <w:r w:rsidRPr="00356568">
              <w:t>7.91%</w:t>
            </w:r>
          </w:p>
        </w:tc>
      </w:tr>
      <w:tr w:rsidR="00810FAC" w:rsidRPr="00D33008" w14:paraId="1D70BD0F" w14:textId="77777777" w:rsidTr="00BF5472">
        <w:tc>
          <w:tcPr>
            <w:tcW w:w="1064" w:type="pct"/>
            <w:noWrap/>
            <w:vAlign w:val="center"/>
            <w:hideMark/>
          </w:tcPr>
          <w:p w14:paraId="7AB03953" w14:textId="77777777" w:rsidR="00810FAC" w:rsidRPr="006A3C40" w:rsidRDefault="00810FAC" w:rsidP="00BF5472">
            <w:pPr>
              <w:pStyle w:val="TableText"/>
            </w:pPr>
            <w:r w:rsidRPr="006A3C40">
              <w:t>Nebraska</w:t>
            </w:r>
          </w:p>
        </w:tc>
        <w:tc>
          <w:tcPr>
            <w:tcW w:w="655" w:type="pct"/>
            <w:shd w:val="clear" w:color="auto" w:fill="auto"/>
            <w:noWrap/>
          </w:tcPr>
          <w:p w14:paraId="55942009" w14:textId="77777777" w:rsidR="00810FAC" w:rsidRPr="00E3368B" w:rsidRDefault="00810FAC" w:rsidP="00BF5472">
            <w:pPr>
              <w:pStyle w:val="TableText"/>
              <w:rPr>
                <w:rFonts w:cs="Times New Roman"/>
              </w:rPr>
            </w:pPr>
            <w:r w:rsidRPr="00E3368B">
              <w:rPr>
                <w:rFonts w:cs="Times New Roman"/>
              </w:rPr>
              <w:t>49</w:t>
            </w:r>
          </w:p>
        </w:tc>
        <w:tc>
          <w:tcPr>
            <w:tcW w:w="657" w:type="pct"/>
            <w:shd w:val="clear" w:color="auto" w:fill="auto"/>
            <w:vAlign w:val="bottom"/>
          </w:tcPr>
          <w:p w14:paraId="2E9DCEEA" w14:textId="77777777" w:rsidR="00810FAC" w:rsidRPr="00E3368B" w:rsidRDefault="00810FAC" w:rsidP="00BF5472">
            <w:pPr>
              <w:pStyle w:val="TableText"/>
              <w:rPr>
                <w:rFonts w:cs="Times New Roman"/>
              </w:rPr>
            </w:pPr>
            <w:r w:rsidRPr="00E3368B">
              <w:rPr>
                <w:rFonts w:cs="Times New Roman"/>
                <w:color w:val="000000"/>
              </w:rPr>
              <w:t>0.15%</w:t>
            </w:r>
          </w:p>
        </w:tc>
        <w:tc>
          <w:tcPr>
            <w:tcW w:w="657" w:type="pct"/>
          </w:tcPr>
          <w:p w14:paraId="7717B215" w14:textId="77777777" w:rsidR="00810FAC" w:rsidRPr="00E3368B" w:rsidRDefault="00810FAC" w:rsidP="00BF5472">
            <w:pPr>
              <w:pStyle w:val="TableText"/>
              <w:rPr>
                <w:rFonts w:cs="Times New Roman"/>
                <w:color w:val="000000"/>
              </w:rPr>
            </w:pPr>
            <w:r w:rsidRPr="00E3368B">
              <w:rPr>
                <w:rFonts w:cs="Times New Roman"/>
              </w:rPr>
              <w:t>1,205</w:t>
            </w:r>
          </w:p>
        </w:tc>
        <w:tc>
          <w:tcPr>
            <w:tcW w:w="657" w:type="pct"/>
          </w:tcPr>
          <w:p w14:paraId="6317CFFB" w14:textId="77777777" w:rsidR="00810FAC" w:rsidRPr="00E3368B" w:rsidRDefault="00810FAC" w:rsidP="00BF5472">
            <w:pPr>
              <w:pStyle w:val="TableText"/>
              <w:rPr>
                <w:rFonts w:cs="Times New Roman"/>
                <w:color w:val="000000"/>
              </w:rPr>
            </w:pPr>
            <w:r w:rsidRPr="00E3368B">
              <w:rPr>
                <w:rFonts w:cs="Times New Roman"/>
              </w:rPr>
              <w:t>3.65%</w:t>
            </w:r>
          </w:p>
        </w:tc>
        <w:tc>
          <w:tcPr>
            <w:tcW w:w="656" w:type="pct"/>
            <w:shd w:val="clear" w:color="auto" w:fill="auto"/>
            <w:noWrap/>
          </w:tcPr>
          <w:p w14:paraId="2392AFDE" w14:textId="77777777" w:rsidR="00810FAC" w:rsidRPr="00E3368B" w:rsidRDefault="00810FAC" w:rsidP="00BF5472">
            <w:pPr>
              <w:pStyle w:val="TableText"/>
              <w:rPr>
                <w:rFonts w:cs="Times New Roman"/>
              </w:rPr>
            </w:pPr>
            <w:r w:rsidRPr="00E3368B">
              <w:rPr>
                <w:rFonts w:cs="Times New Roman"/>
              </w:rPr>
              <w:t>2,500</w:t>
            </w:r>
          </w:p>
        </w:tc>
        <w:tc>
          <w:tcPr>
            <w:tcW w:w="654" w:type="pct"/>
            <w:shd w:val="clear" w:color="auto" w:fill="auto"/>
          </w:tcPr>
          <w:p w14:paraId="4D71AFC3" w14:textId="77777777" w:rsidR="00810FAC" w:rsidRPr="00E3368B" w:rsidRDefault="00810FAC" w:rsidP="00BF5472">
            <w:pPr>
              <w:pStyle w:val="TableText"/>
              <w:rPr>
                <w:rFonts w:cs="Times New Roman"/>
              </w:rPr>
            </w:pPr>
            <w:r w:rsidRPr="00356568">
              <w:t>7.35%</w:t>
            </w:r>
          </w:p>
        </w:tc>
      </w:tr>
      <w:tr w:rsidR="00810FAC" w:rsidRPr="00D33008" w14:paraId="36F0AB8F" w14:textId="77777777" w:rsidTr="00BF5472">
        <w:tc>
          <w:tcPr>
            <w:tcW w:w="1064" w:type="pct"/>
            <w:noWrap/>
            <w:vAlign w:val="center"/>
            <w:hideMark/>
          </w:tcPr>
          <w:p w14:paraId="0911AD89" w14:textId="77777777" w:rsidR="00810FAC" w:rsidRPr="006A3C40" w:rsidRDefault="00810FAC" w:rsidP="00BF5472">
            <w:pPr>
              <w:pStyle w:val="TableText"/>
            </w:pPr>
            <w:r w:rsidRPr="006A3C40">
              <w:t>Nevada</w:t>
            </w:r>
          </w:p>
        </w:tc>
        <w:tc>
          <w:tcPr>
            <w:tcW w:w="655" w:type="pct"/>
            <w:shd w:val="clear" w:color="auto" w:fill="auto"/>
            <w:noWrap/>
          </w:tcPr>
          <w:p w14:paraId="063B2662" w14:textId="77777777" w:rsidR="00810FAC" w:rsidRPr="00E3368B" w:rsidRDefault="00810FAC" w:rsidP="00BF5472">
            <w:pPr>
              <w:pStyle w:val="TableText"/>
              <w:rPr>
                <w:rFonts w:cs="Times New Roman"/>
              </w:rPr>
            </w:pPr>
            <w:r w:rsidRPr="00E3368B">
              <w:rPr>
                <w:rFonts w:cs="Times New Roman"/>
              </w:rPr>
              <w:t>176</w:t>
            </w:r>
          </w:p>
        </w:tc>
        <w:tc>
          <w:tcPr>
            <w:tcW w:w="657" w:type="pct"/>
            <w:shd w:val="clear" w:color="auto" w:fill="auto"/>
            <w:vAlign w:val="bottom"/>
          </w:tcPr>
          <w:p w14:paraId="263C2743" w14:textId="77777777" w:rsidR="00810FAC" w:rsidRPr="00E3368B" w:rsidRDefault="00810FAC" w:rsidP="00BF5472">
            <w:pPr>
              <w:pStyle w:val="TableText"/>
              <w:rPr>
                <w:rFonts w:cs="Times New Roman"/>
              </w:rPr>
            </w:pPr>
            <w:r w:rsidRPr="00FB650A">
              <w:rPr>
                <w:rFonts w:cs="Times New Roman"/>
                <w:color w:val="000000"/>
              </w:rPr>
              <w:t>0.47%</w:t>
            </w:r>
          </w:p>
        </w:tc>
        <w:tc>
          <w:tcPr>
            <w:tcW w:w="657" w:type="pct"/>
          </w:tcPr>
          <w:p w14:paraId="6CBB0EE0" w14:textId="77777777" w:rsidR="00810FAC" w:rsidRPr="00FB650A" w:rsidRDefault="00810FAC" w:rsidP="00BF5472">
            <w:pPr>
              <w:pStyle w:val="TableText"/>
              <w:rPr>
                <w:rFonts w:cs="Times New Roman"/>
                <w:color w:val="000000"/>
              </w:rPr>
            </w:pPr>
            <w:r w:rsidRPr="00E3368B">
              <w:rPr>
                <w:rFonts w:cs="Times New Roman"/>
              </w:rPr>
              <w:t>1,862</w:t>
            </w:r>
          </w:p>
        </w:tc>
        <w:tc>
          <w:tcPr>
            <w:tcW w:w="657" w:type="pct"/>
          </w:tcPr>
          <w:p w14:paraId="5F36A9E6" w14:textId="77777777" w:rsidR="00810FAC" w:rsidRPr="00FB650A" w:rsidRDefault="00810FAC" w:rsidP="00BF5472">
            <w:pPr>
              <w:pStyle w:val="TableText"/>
              <w:rPr>
                <w:rFonts w:cs="Times New Roman"/>
                <w:color w:val="000000"/>
              </w:rPr>
            </w:pPr>
            <w:r w:rsidRPr="00E3368B">
              <w:rPr>
                <w:rFonts w:cs="Times New Roman"/>
              </w:rPr>
              <w:t>4.81%</w:t>
            </w:r>
          </w:p>
        </w:tc>
        <w:tc>
          <w:tcPr>
            <w:tcW w:w="656" w:type="pct"/>
            <w:shd w:val="clear" w:color="auto" w:fill="auto"/>
            <w:noWrap/>
          </w:tcPr>
          <w:p w14:paraId="4F20C694" w14:textId="77777777" w:rsidR="00810FAC" w:rsidRPr="00E3368B" w:rsidRDefault="00810FAC" w:rsidP="00BF5472">
            <w:pPr>
              <w:pStyle w:val="TableText"/>
              <w:rPr>
                <w:rFonts w:cs="Times New Roman"/>
              </w:rPr>
            </w:pPr>
            <w:r w:rsidRPr="00E3368B">
              <w:rPr>
                <w:rFonts w:cs="Times New Roman"/>
              </w:rPr>
              <w:t>3,162</w:t>
            </w:r>
          </w:p>
        </w:tc>
        <w:tc>
          <w:tcPr>
            <w:tcW w:w="654" w:type="pct"/>
            <w:shd w:val="clear" w:color="auto" w:fill="auto"/>
          </w:tcPr>
          <w:p w14:paraId="376EF66E" w14:textId="77777777" w:rsidR="00810FAC" w:rsidRPr="00E3368B" w:rsidRDefault="00810FAC" w:rsidP="00BF5472">
            <w:pPr>
              <w:pStyle w:val="TableText"/>
              <w:rPr>
                <w:rFonts w:cs="Times New Roman"/>
              </w:rPr>
            </w:pPr>
            <w:r w:rsidRPr="00356568">
              <w:t>7.84%</w:t>
            </w:r>
          </w:p>
        </w:tc>
      </w:tr>
      <w:tr w:rsidR="00810FAC" w:rsidRPr="00D33008" w14:paraId="7DBCC153" w14:textId="77777777" w:rsidTr="00BF5472">
        <w:tc>
          <w:tcPr>
            <w:tcW w:w="1064" w:type="pct"/>
            <w:noWrap/>
            <w:vAlign w:val="center"/>
            <w:hideMark/>
          </w:tcPr>
          <w:p w14:paraId="49F25F5F" w14:textId="77777777" w:rsidR="00810FAC" w:rsidRPr="006A3C40" w:rsidRDefault="00810FAC" w:rsidP="00BF5472">
            <w:pPr>
              <w:pStyle w:val="TableText"/>
            </w:pPr>
            <w:r w:rsidRPr="006A3C40">
              <w:t>New Hampshire</w:t>
            </w:r>
          </w:p>
        </w:tc>
        <w:tc>
          <w:tcPr>
            <w:tcW w:w="655" w:type="pct"/>
            <w:shd w:val="clear" w:color="auto" w:fill="auto"/>
            <w:noWrap/>
          </w:tcPr>
          <w:p w14:paraId="724191DB" w14:textId="77777777" w:rsidR="00810FAC" w:rsidRPr="00E3368B" w:rsidRDefault="00810FAC" w:rsidP="00BF5472">
            <w:pPr>
              <w:pStyle w:val="TableText"/>
              <w:rPr>
                <w:rFonts w:cs="Times New Roman"/>
              </w:rPr>
            </w:pPr>
            <w:r w:rsidRPr="00E3368B">
              <w:rPr>
                <w:rFonts w:cs="Times New Roman"/>
              </w:rPr>
              <w:t>17</w:t>
            </w:r>
          </w:p>
        </w:tc>
        <w:tc>
          <w:tcPr>
            <w:tcW w:w="657" w:type="pct"/>
            <w:shd w:val="clear" w:color="auto" w:fill="auto"/>
            <w:vAlign w:val="bottom"/>
          </w:tcPr>
          <w:p w14:paraId="5885704C" w14:textId="77777777" w:rsidR="00810FAC" w:rsidRPr="00E3368B" w:rsidRDefault="00810FAC" w:rsidP="00BF5472">
            <w:pPr>
              <w:pStyle w:val="TableText"/>
              <w:rPr>
                <w:rFonts w:cs="Times New Roman"/>
              </w:rPr>
            </w:pPr>
            <w:r w:rsidRPr="00FB650A">
              <w:rPr>
                <w:rFonts w:cs="Times New Roman"/>
                <w:color w:val="000000"/>
              </w:rPr>
              <w:t>0.15%</w:t>
            </w:r>
          </w:p>
        </w:tc>
        <w:tc>
          <w:tcPr>
            <w:tcW w:w="657" w:type="pct"/>
          </w:tcPr>
          <w:p w14:paraId="123209A0" w14:textId="77777777" w:rsidR="00810FAC" w:rsidRPr="00FB650A" w:rsidRDefault="00810FAC" w:rsidP="00BF5472">
            <w:pPr>
              <w:pStyle w:val="TableText"/>
              <w:rPr>
                <w:rFonts w:cs="Times New Roman"/>
                <w:color w:val="000000"/>
              </w:rPr>
            </w:pPr>
            <w:r w:rsidRPr="00E3368B">
              <w:rPr>
                <w:rFonts w:cs="Times New Roman"/>
              </w:rPr>
              <w:t>425</w:t>
            </w:r>
          </w:p>
        </w:tc>
        <w:tc>
          <w:tcPr>
            <w:tcW w:w="657" w:type="pct"/>
          </w:tcPr>
          <w:p w14:paraId="24A7F5D3" w14:textId="77777777" w:rsidR="00810FAC" w:rsidRPr="00FB650A" w:rsidRDefault="00810FAC" w:rsidP="00BF5472">
            <w:pPr>
              <w:pStyle w:val="TableText"/>
              <w:rPr>
                <w:rFonts w:cs="Times New Roman"/>
                <w:color w:val="000000"/>
              </w:rPr>
            </w:pPr>
            <w:r w:rsidRPr="00E3368B">
              <w:rPr>
                <w:rFonts w:cs="Times New Roman"/>
              </w:rPr>
              <w:t>3.67%</w:t>
            </w:r>
          </w:p>
        </w:tc>
        <w:tc>
          <w:tcPr>
            <w:tcW w:w="656" w:type="pct"/>
            <w:shd w:val="clear" w:color="auto" w:fill="auto"/>
            <w:noWrap/>
          </w:tcPr>
          <w:p w14:paraId="5A8E6A0E" w14:textId="77777777" w:rsidR="00810FAC" w:rsidRPr="00E3368B" w:rsidRDefault="00810FAC" w:rsidP="00BF5472">
            <w:pPr>
              <w:pStyle w:val="TableText"/>
              <w:rPr>
                <w:rFonts w:cs="Times New Roman"/>
              </w:rPr>
            </w:pPr>
            <w:r w:rsidRPr="00E3368B">
              <w:rPr>
                <w:rFonts w:cs="Times New Roman"/>
              </w:rPr>
              <w:t>875</w:t>
            </w:r>
          </w:p>
        </w:tc>
        <w:tc>
          <w:tcPr>
            <w:tcW w:w="654" w:type="pct"/>
            <w:shd w:val="clear" w:color="auto" w:fill="auto"/>
          </w:tcPr>
          <w:p w14:paraId="24878317" w14:textId="77777777" w:rsidR="00810FAC" w:rsidRPr="00E3368B" w:rsidRDefault="00810FAC" w:rsidP="00BF5472">
            <w:pPr>
              <w:pStyle w:val="TableText"/>
              <w:rPr>
                <w:rFonts w:cs="Times New Roman"/>
              </w:rPr>
            </w:pPr>
            <w:r w:rsidRPr="00356568">
              <w:t>7.42%</w:t>
            </w:r>
          </w:p>
        </w:tc>
      </w:tr>
      <w:tr w:rsidR="00810FAC" w:rsidRPr="00D33008" w14:paraId="5E0D9A8F" w14:textId="77777777" w:rsidTr="00BF5472">
        <w:tc>
          <w:tcPr>
            <w:tcW w:w="1064" w:type="pct"/>
            <w:noWrap/>
            <w:vAlign w:val="center"/>
            <w:hideMark/>
          </w:tcPr>
          <w:p w14:paraId="4D51814A" w14:textId="77777777" w:rsidR="00810FAC" w:rsidRPr="006A3C40" w:rsidRDefault="00810FAC" w:rsidP="00BF5472">
            <w:pPr>
              <w:pStyle w:val="TableText"/>
            </w:pPr>
            <w:r w:rsidRPr="006A3C40">
              <w:t>New Jersey</w:t>
            </w:r>
          </w:p>
        </w:tc>
        <w:tc>
          <w:tcPr>
            <w:tcW w:w="655" w:type="pct"/>
            <w:shd w:val="clear" w:color="auto" w:fill="auto"/>
            <w:noWrap/>
          </w:tcPr>
          <w:p w14:paraId="4AD9E2B4" w14:textId="77777777" w:rsidR="00810FAC" w:rsidRPr="00E3368B" w:rsidRDefault="00810FAC" w:rsidP="00BF5472">
            <w:pPr>
              <w:pStyle w:val="TableText"/>
              <w:rPr>
                <w:rFonts w:cs="Times New Roman"/>
              </w:rPr>
            </w:pPr>
            <w:r w:rsidRPr="00E3368B">
              <w:rPr>
                <w:rFonts w:cs="Times New Roman"/>
              </w:rPr>
              <w:t>531</w:t>
            </w:r>
          </w:p>
        </w:tc>
        <w:tc>
          <w:tcPr>
            <w:tcW w:w="657" w:type="pct"/>
            <w:shd w:val="clear" w:color="auto" w:fill="auto"/>
            <w:vAlign w:val="bottom"/>
          </w:tcPr>
          <w:p w14:paraId="23DADFAB" w14:textId="77777777" w:rsidR="00810FAC" w:rsidRPr="00E3368B" w:rsidRDefault="00810FAC" w:rsidP="00BF5472">
            <w:pPr>
              <w:pStyle w:val="TableText"/>
              <w:rPr>
                <w:rFonts w:cs="Times New Roman"/>
              </w:rPr>
            </w:pPr>
            <w:r w:rsidRPr="00B170FE">
              <w:rPr>
                <w:rFonts w:cs="Times New Roman"/>
                <w:color w:val="000000"/>
              </w:rPr>
              <w:t>0.69%</w:t>
            </w:r>
          </w:p>
        </w:tc>
        <w:tc>
          <w:tcPr>
            <w:tcW w:w="657" w:type="pct"/>
          </w:tcPr>
          <w:p w14:paraId="1EC37984" w14:textId="77777777" w:rsidR="00810FAC" w:rsidRPr="00B170FE" w:rsidRDefault="00810FAC" w:rsidP="00BF5472">
            <w:pPr>
              <w:pStyle w:val="TableText"/>
              <w:rPr>
                <w:rFonts w:cs="Times New Roman"/>
                <w:color w:val="000000"/>
              </w:rPr>
            </w:pPr>
            <w:r w:rsidRPr="00E3368B">
              <w:rPr>
                <w:rFonts w:cs="Times New Roman"/>
              </w:rPr>
              <w:t>4,202</w:t>
            </w:r>
          </w:p>
        </w:tc>
        <w:tc>
          <w:tcPr>
            <w:tcW w:w="657" w:type="pct"/>
          </w:tcPr>
          <w:p w14:paraId="4C1980FD" w14:textId="77777777" w:rsidR="00810FAC" w:rsidRPr="00B170FE" w:rsidRDefault="00810FAC" w:rsidP="00BF5472">
            <w:pPr>
              <w:pStyle w:val="TableText"/>
              <w:rPr>
                <w:rFonts w:cs="Times New Roman"/>
                <w:color w:val="000000"/>
              </w:rPr>
            </w:pPr>
            <w:r w:rsidRPr="00E3368B">
              <w:rPr>
                <w:rFonts w:cs="Times New Roman"/>
              </w:rPr>
              <w:t>5.40%</w:t>
            </w:r>
          </w:p>
        </w:tc>
        <w:tc>
          <w:tcPr>
            <w:tcW w:w="656" w:type="pct"/>
            <w:shd w:val="clear" w:color="auto" w:fill="auto"/>
            <w:noWrap/>
          </w:tcPr>
          <w:p w14:paraId="0976410E" w14:textId="77777777" w:rsidR="00810FAC" w:rsidRPr="00E3368B" w:rsidRDefault="00810FAC" w:rsidP="00BF5472">
            <w:pPr>
              <w:pStyle w:val="TableText"/>
              <w:rPr>
                <w:rFonts w:cs="Times New Roman"/>
              </w:rPr>
            </w:pPr>
            <w:r w:rsidRPr="00E3368B">
              <w:rPr>
                <w:rFonts w:cs="Times New Roman"/>
              </w:rPr>
              <w:t>6,514</w:t>
            </w:r>
          </w:p>
        </w:tc>
        <w:tc>
          <w:tcPr>
            <w:tcW w:w="654" w:type="pct"/>
            <w:shd w:val="clear" w:color="auto" w:fill="auto"/>
          </w:tcPr>
          <w:p w14:paraId="18AA7315" w14:textId="77777777" w:rsidR="00810FAC" w:rsidRPr="00E3368B" w:rsidRDefault="00810FAC" w:rsidP="00BF5472">
            <w:pPr>
              <w:pStyle w:val="TableText"/>
              <w:rPr>
                <w:rFonts w:cs="Times New Roman"/>
              </w:rPr>
            </w:pPr>
            <w:r w:rsidRPr="00356568">
              <w:t>8.24%</w:t>
            </w:r>
          </w:p>
        </w:tc>
      </w:tr>
      <w:tr w:rsidR="00810FAC" w:rsidRPr="00D33008" w14:paraId="773BD05D" w14:textId="77777777" w:rsidTr="00BF5472">
        <w:tc>
          <w:tcPr>
            <w:tcW w:w="1064" w:type="pct"/>
            <w:noWrap/>
            <w:vAlign w:val="center"/>
            <w:hideMark/>
          </w:tcPr>
          <w:p w14:paraId="4AEF470D" w14:textId="77777777" w:rsidR="00810FAC" w:rsidRPr="006A3C40" w:rsidRDefault="00810FAC" w:rsidP="00BF5472">
            <w:pPr>
              <w:pStyle w:val="TableText"/>
            </w:pPr>
            <w:r w:rsidRPr="006A3C40">
              <w:t>New Mexico</w:t>
            </w:r>
          </w:p>
        </w:tc>
        <w:tc>
          <w:tcPr>
            <w:tcW w:w="655" w:type="pct"/>
            <w:shd w:val="clear" w:color="auto" w:fill="auto"/>
            <w:noWrap/>
          </w:tcPr>
          <w:p w14:paraId="5885952A" w14:textId="77777777" w:rsidR="00810FAC" w:rsidRPr="00E3368B" w:rsidRDefault="00810FAC" w:rsidP="00BF5472">
            <w:pPr>
              <w:pStyle w:val="TableText"/>
              <w:rPr>
                <w:rFonts w:cs="Times New Roman"/>
              </w:rPr>
            </w:pPr>
            <w:r w:rsidRPr="00E3368B">
              <w:rPr>
                <w:rFonts w:cs="Times New Roman"/>
              </w:rPr>
              <w:t>138</w:t>
            </w:r>
          </w:p>
        </w:tc>
        <w:tc>
          <w:tcPr>
            <w:tcW w:w="657" w:type="pct"/>
            <w:shd w:val="clear" w:color="auto" w:fill="auto"/>
            <w:vAlign w:val="bottom"/>
          </w:tcPr>
          <w:p w14:paraId="17B84520" w14:textId="77777777" w:rsidR="00810FAC" w:rsidRPr="00E3368B" w:rsidRDefault="00810FAC" w:rsidP="00BF5472">
            <w:pPr>
              <w:pStyle w:val="TableText"/>
              <w:rPr>
                <w:rFonts w:cs="Times New Roman"/>
              </w:rPr>
            </w:pPr>
            <w:r w:rsidRPr="00B170FE">
              <w:rPr>
                <w:rFonts w:cs="Times New Roman"/>
                <w:color w:val="000000"/>
              </w:rPr>
              <w:t>0.56%</w:t>
            </w:r>
          </w:p>
        </w:tc>
        <w:tc>
          <w:tcPr>
            <w:tcW w:w="657" w:type="pct"/>
          </w:tcPr>
          <w:p w14:paraId="1340A070" w14:textId="77777777" w:rsidR="00810FAC" w:rsidRPr="00B170FE" w:rsidRDefault="00810FAC" w:rsidP="00BF5472">
            <w:pPr>
              <w:pStyle w:val="TableText"/>
              <w:rPr>
                <w:rFonts w:cs="Times New Roman"/>
                <w:color w:val="000000"/>
              </w:rPr>
            </w:pPr>
            <w:r w:rsidRPr="00E3368B">
              <w:rPr>
                <w:rFonts w:cs="Times New Roman"/>
              </w:rPr>
              <w:t>1,300</w:t>
            </w:r>
          </w:p>
        </w:tc>
        <w:tc>
          <w:tcPr>
            <w:tcW w:w="657" w:type="pct"/>
          </w:tcPr>
          <w:p w14:paraId="3157AAED" w14:textId="77777777" w:rsidR="00810FAC" w:rsidRPr="00B170FE" w:rsidRDefault="00810FAC" w:rsidP="00BF5472">
            <w:pPr>
              <w:pStyle w:val="TableText"/>
              <w:rPr>
                <w:rFonts w:cs="Times New Roman"/>
                <w:color w:val="000000"/>
              </w:rPr>
            </w:pPr>
            <w:r w:rsidRPr="00E3368B">
              <w:rPr>
                <w:rFonts w:cs="Times New Roman"/>
              </w:rPr>
              <w:t>5.02%</w:t>
            </w:r>
          </w:p>
        </w:tc>
        <w:tc>
          <w:tcPr>
            <w:tcW w:w="656" w:type="pct"/>
            <w:shd w:val="clear" w:color="auto" w:fill="auto"/>
            <w:noWrap/>
          </w:tcPr>
          <w:p w14:paraId="0B450F75" w14:textId="77777777" w:rsidR="00810FAC" w:rsidRPr="00E3368B" w:rsidRDefault="00810FAC" w:rsidP="00BF5472">
            <w:pPr>
              <w:pStyle w:val="TableText"/>
              <w:rPr>
                <w:rFonts w:cs="Times New Roman"/>
              </w:rPr>
            </w:pPr>
            <w:r w:rsidRPr="00E3368B">
              <w:rPr>
                <w:rFonts w:cs="Times New Roman"/>
              </w:rPr>
              <w:t>2,140</w:t>
            </w:r>
          </w:p>
        </w:tc>
        <w:tc>
          <w:tcPr>
            <w:tcW w:w="654" w:type="pct"/>
            <w:shd w:val="clear" w:color="auto" w:fill="auto"/>
          </w:tcPr>
          <w:p w14:paraId="736EA84F" w14:textId="77777777" w:rsidR="00810FAC" w:rsidRPr="00E3368B" w:rsidRDefault="00810FAC" w:rsidP="00BF5472">
            <w:pPr>
              <w:pStyle w:val="TableText"/>
              <w:rPr>
                <w:rFonts w:cs="Times New Roman"/>
              </w:rPr>
            </w:pPr>
            <w:r w:rsidRPr="00356568">
              <w:t>7.87%</w:t>
            </w:r>
          </w:p>
        </w:tc>
      </w:tr>
      <w:tr w:rsidR="00810FAC" w:rsidRPr="00D33008" w14:paraId="2764DE18" w14:textId="77777777" w:rsidTr="00BF5472">
        <w:tc>
          <w:tcPr>
            <w:tcW w:w="1064" w:type="pct"/>
            <w:noWrap/>
            <w:vAlign w:val="center"/>
            <w:hideMark/>
          </w:tcPr>
          <w:p w14:paraId="4CB56EC1" w14:textId="77777777" w:rsidR="00810FAC" w:rsidRPr="006A3C40" w:rsidRDefault="00810FAC" w:rsidP="00BF5472">
            <w:pPr>
              <w:pStyle w:val="TableText"/>
            </w:pPr>
            <w:r w:rsidRPr="006A3C40">
              <w:t>New York</w:t>
            </w:r>
          </w:p>
        </w:tc>
        <w:tc>
          <w:tcPr>
            <w:tcW w:w="655" w:type="pct"/>
            <w:shd w:val="clear" w:color="auto" w:fill="auto"/>
            <w:noWrap/>
          </w:tcPr>
          <w:p w14:paraId="6766BC66" w14:textId="77777777" w:rsidR="00810FAC" w:rsidRPr="00E3368B" w:rsidRDefault="00810FAC" w:rsidP="00BF5472">
            <w:pPr>
              <w:pStyle w:val="TableText"/>
              <w:rPr>
                <w:rFonts w:cs="Times New Roman"/>
              </w:rPr>
            </w:pPr>
            <w:r w:rsidRPr="00E3368B">
              <w:rPr>
                <w:rFonts w:cs="Times New Roman"/>
              </w:rPr>
              <w:t>1,477</w:t>
            </w:r>
          </w:p>
        </w:tc>
        <w:tc>
          <w:tcPr>
            <w:tcW w:w="657" w:type="pct"/>
            <w:shd w:val="clear" w:color="auto" w:fill="auto"/>
            <w:vAlign w:val="bottom"/>
          </w:tcPr>
          <w:p w14:paraId="6B569089" w14:textId="77777777" w:rsidR="00810FAC" w:rsidRPr="00E3368B" w:rsidRDefault="00810FAC" w:rsidP="00BF5472">
            <w:pPr>
              <w:pStyle w:val="TableText"/>
              <w:rPr>
                <w:rFonts w:cs="Times New Roman"/>
              </w:rPr>
            </w:pPr>
            <w:r w:rsidRPr="00B170FE">
              <w:rPr>
                <w:rFonts w:cs="Times New Roman"/>
                <w:color w:val="000000"/>
              </w:rPr>
              <w:t>1.00%</w:t>
            </w:r>
          </w:p>
        </w:tc>
        <w:tc>
          <w:tcPr>
            <w:tcW w:w="657" w:type="pct"/>
          </w:tcPr>
          <w:p w14:paraId="72F3BECB" w14:textId="77777777" w:rsidR="00810FAC" w:rsidRPr="00B170FE" w:rsidRDefault="00810FAC" w:rsidP="00BF5472">
            <w:pPr>
              <w:pStyle w:val="TableText"/>
              <w:rPr>
                <w:rFonts w:cs="Times New Roman"/>
                <w:color w:val="000000"/>
              </w:rPr>
            </w:pPr>
            <w:r w:rsidRPr="00E3368B">
              <w:rPr>
                <w:rFonts w:cs="Times New Roman"/>
              </w:rPr>
              <w:t>8,637</w:t>
            </w:r>
          </w:p>
        </w:tc>
        <w:tc>
          <w:tcPr>
            <w:tcW w:w="657" w:type="pct"/>
          </w:tcPr>
          <w:p w14:paraId="0BEB68A9" w14:textId="77777777" w:rsidR="00810FAC" w:rsidRPr="00B170FE" w:rsidRDefault="00810FAC" w:rsidP="00BF5472">
            <w:pPr>
              <w:pStyle w:val="TableText"/>
              <w:rPr>
                <w:rFonts w:cs="Times New Roman"/>
                <w:color w:val="000000"/>
              </w:rPr>
            </w:pPr>
            <w:r w:rsidRPr="00E3368B">
              <w:rPr>
                <w:rFonts w:cs="Times New Roman"/>
              </w:rPr>
              <w:t>5.86%</w:t>
            </w:r>
          </w:p>
        </w:tc>
        <w:tc>
          <w:tcPr>
            <w:tcW w:w="656" w:type="pct"/>
            <w:shd w:val="clear" w:color="auto" w:fill="auto"/>
            <w:noWrap/>
          </w:tcPr>
          <w:p w14:paraId="611AD90F" w14:textId="77777777" w:rsidR="00810FAC" w:rsidRPr="00E3368B" w:rsidRDefault="00810FAC" w:rsidP="00BF5472">
            <w:pPr>
              <w:pStyle w:val="TableText"/>
              <w:rPr>
                <w:rFonts w:cs="Times New Roman"/>
              </w:rPr>
            </w:pPr>
            <w:r w:rsidRPr="00E3368B">
              <w:rPr>
                <w:rFonts w:cs="Times New Roman"/>
              </w:rPr>
              <w:t>12,537</w:t>
            </w:r>
          </w:p>
        </w:tc>
        <w:tc>
          <w:tcPr>
            <w:tcW w:w="654" w:type="pct"/>
            <w:shd w:val="clear" w:color="auto" w:fill="auto"/>
          </w:tcPr>
          <w:p w14:paraId="5E060118" w14:textId="77777777" w:rsidR="00810FAC" w:rsidRPr="00E3368B" w:rsidRDefault="00810FAC" w:rsidP="00BF5472">
            <w:pPr>
              <w:pStyle w:val="TableText"/>
              <w:rPr>
                <w:rFonts w:cs="Times New Roman"/>
              </w:rPr>
            </w:pPr>
            <w:r w:rsidRPr="00356568">
              <w:t>8.51%</w:t>
            </w:r>
          </w:p>
        </w:tc>
      </w:tr>
      <w:tr w:rsidR="00810FAC" w:rsidRPr="00D33008" w14:paraId="35D70175" w14:textId="77777777" w:rsidTr="00BF5472">
        <w:tc>
          <w:tcPr>
            <w:tcW w:w="1064" w:type="pct"/>
            <w:noWrap/>
            <w:vAlign w:val="center"/>
            <w:hideMark/>
          </w:tcPr>
          <w:p w14:paraId="63A91988" w14:textId="77777777" w:rsidR="00810FAC" w:rsidRPr="006A3C40" w:rsidRDefault="00810FAC" w:rsidP="00BF5472">
            <w:pPr>
              <w:pStyle w:val="TableText"/>
            </w:pPr>
            <w:r w:rsidRPr="006A3C40">
              <w:t>North Carolina</w:t>
            </w:r>
          </w:p>
        </w:tc>
        <w:tc>
          <w:tcPr>
            <w:tcW w:w="655" w:type="pct"/>
            <w:shd w:val="clear" w:color="auto" w:fill="auto"/>
            <w:noWrap/>
            <w:vAlign w:val="center"/>
          </w:tcPr>
          <w:p w14:paraId="694555F0" w14:textId="77777777" w:rsidR="00810FAC" w:rsidRPr="00E3368B" w:rsidRDefault="00810FAC" w:rsidP="00BF5472">
            <w:pPr>
              <w:pStyle w:val="TableText"/>
              <w:rPr>
                <w:rFonts w:cs="Times New Roman"/>
              </w:rPr>
            </w:pPr>
            <w:r w:rsidRPr="00E3368B">
              <w:rPr>
                <w:rFonts w:cs="Times New Roman"/>
              </w:rPr>
              <w:t>814</w:t>
            </w:r>
          </w:p>
        </w:tc>
        <w:tc>
          <w:tcPr>
            <w:tcW w:w="657" w:type="pct"/>
            <w:shd w:val="clear" w:color="auto" w:fill="auto"/>
            <w:vAlign w:val="bottom"/>
          </w:tcPr>
          <w:p w14:paraId="23FEC8BB" w14:textId="77777777" w:rsidR="00810FAC" w:rsidRPr="00E3368B" w:rsidRDefault="00810FAC" w:rsidP="00BF5472">
            <w:pPr>
              <w:pStyle w:val="TableText"/>
              <w:rPr>
                <w:rFonts w:cs="Times New Roman"/>
              </w:rPr>
            </w:pPr>
            <w:r w:rsidRPr="00083D0C">
              <w:rPr>
                <w:rFonts w:cs="Times New Roman"/>
                <w:color w:val="000000"/>
              </w:rPr>
              <w:t>0.59%</w:t>
            </w:r>
          </w:p>
        </w:tc>
        <w:tc>
          <w:tcPr>
            <w:tcW w:w="657" w:type="pct"/>
          </w:tcPr>
          <w:p w14:paraId="00678109" w14:textId="77777777" w:rsidR="00810FAC" w:rsidRPr="00083D0C" w:rsidRDefault="00810FAC" w:rsidP="00BF5472">
            <w:pPr>
              <w:pStyle w:val="TableText"/>
              <w:rPr>
                <w:rFonts w:cs="Times New Roman"/>
                <w:color w:val="000000"/>
              </w:rPr>
            </w:pPr>
            <w:r w:rsidRPr="00E3368B">
              <w:rPr>
                <w:rFonts w:cs="Times New Roman"/>
              </w:rPr>
              <w:t>7,385</w:t>
            </w:r>
          </w:p>
        </w:tc>
        <w:tc>
          <w:tcPr>
            <w:tcW w:w="657" w:type="pct"/>
          </w:tcPr>
          <w:p w14:paraId="1DCDD43E" w14:textId="77777777" w:rsidR="00810FAC" w:rsidRPr="00083D0C" w:rsidRDefault="00810FAC" w:rsidP="00BF5472">
            <w:pPr>
              <w:pStyle w:val="TableText"/>
              <w:rPr>
                <w:rFonts w:cs="Times New Roman"/>
                <w:color w:val="000000"/>
              </w:rPr>
            </w:pPr>
            <w:r w:rsidRPr="00E3368B">
              <w:rPr>
                <w:rFonts w:cs="Times New Roman"/>
              </w:rPr>
              <w:t>5.12%</w:t>
            </w:r>
          </w:p>
        </w:tc>
        <w:tc>
          <w:tcPr>
            <w:tcW w:w="656" w:type="pct"/>
            <w:shd w:val="clear" w:color="auto" w:fill="auto"/>
            <w:noWrap/>
          </w:tcPr>
          <w:p w14:paraId="7C541B2C" w14:textId="77777777" w:rsidR="00810FAC" w:rsidRPr="00E3368B" w:rsidRDefault="00810FAC" w:rsidP="00BF5472">
            <w:pPr>
              <w:pStyle w:val="TableText"/>
              <w:rPr>
                <w:rFonts w:cs="Times New Roman"/>
              </w:rPr>
            </w:pPr>
            <w:r w:rsidRPr="00E3368B">
              <w:rPr>
                <w:rFonts w:cs="Times New Roman"/>
              </w:rPr>
              <w:t>11,984</w:t>
            </w:r>
          </w:p>
        </w:tc>
        <w:tc>
          <w:tcPr>
            <w:tcW w:w="654" w:type="pct"/>
            <w:shd w:val="clear" w:color="auto" w:fill="auto"/>
          </w:tcPr>
          <w:p w14:paraId="41A36E9B" w14:textId="77777777" w:rsidR="00810FAC" w:rsidRPr="00E3368B" w:rsidRDefault="00810FAC" w:rsidP="00BF5472">
            <w:pPr>
              <w:pStyle w:val="TableText"/>
              <w:rPr>
                <w:rFonts w:cs="Times New Roman"/>
              </w:rPr>
            </w:pPr>
            <w:r w:rsidRPr="00356568">
              <w:t>7.95%</w:t>
            </w:r>
          </w:p>
        </w:tc>
      </w:tr>
      <w:tr w:rsidR="00810FAC" w:rsidRPr="00D33008" w14:paraId="53ADE210" w14:textId="77777777" w:rsidTr="00BF5472">
        <w:tc>
          <w:tcPr>
            <w:tcW w:w="1064" w:type="pct"/>
            <w:noWrap/>
            <w:vAlign w:val="center"/>
            <w:hideMark/>
          </w:tcPr>
          <w:p w14:paraId="145FB47B" w14:textId="77777777" w:rsidR="00810FAC" w:rsidRPr="006A3C40" w:rsidRDefault="00810FAC" w:rsidP="00BF5472">
            <w:pPr>
              <w:pStyle w:val="TableText"/>
            </w:pPr>
            <w:r w:rsidRPr="006A3C40">
              <w:t>North Dakota</w:t>
            </w:r>
          </w:p>
        </w:tc>
        <w:tc>
          <w:tcPr>
            <w:tcW w:w="655" w:type="pct"/>
            <w:shd w:val="clear" w:color="auto" w:fill="auto"/>
            <w:noWrap/>
            <w:vAlign w:val="center"/>
          </w:tcPr>
          <w:p w14:paraId="369B9765" w14:textId="77777777" w:rsidR="00810FAC" w:rsidRPr="00E3368B" w:rsidRDefault="00810FAC" w:rsidP="00BF5472">
            <w:pPr>
              <w:pStyle w:val="TableText"/>
              <w:rPr>
                <w:rFonts w:cs="Times New Roman"/>
              </w:rPr>
            </w:pPr>
            <w:r w:rsidRPr="00E3368B">
              <w:rPr>
                <w:rFonts w:cs="Times New Roman"/>
              </w:rPr>
              <w:t>3</w:t>
            </w:r>
          </w:p>
        </w:tc>
        <w:tc>
          <w:tcPr>
            <w:tcW w:w="657" w:type="pct"/>
            <w:shd w:val="clear" w:color="auto" w:fill="auto"/>
            <w:vAlign w:val="bottom"/>
          </w:tcPr>
          <w:p w14:paraId="0A0BC6D3" w14:textId="77777777" w:rsidR="00810FAC" w:rsidRPr="00E3368B" w:rsidRDefault="00810FAC" w:rsidP="00BF5472">
            <w:pPr>
              <w:pStyle w:val="TableText"/>
              <w:rPr>
                <w:rFonts w:cs="Times New Roman"/>
              </w:rPr>
            </w:pPr>
            <w:r w:rsidRPr="00083D0C">
              <w:rPr>
                <w:rFonts w:cs="Times New Roman"/>
                <w:color w:val="000000"/>
              </w:rPr>
              <w:t>0.02%</w:t>
            </w:r>
          </w:p>
        </w:tc>
        <w:tc>
          <w:tcPr>
            <w:tcW w:w="657" w:type="pct"/>
          </w:tcPr>
          <w:p w14:paraId="00D74AEC" w14:textId="77777777" w:rsidR="00810FAC" w:rsidRPr="00083D0C" w:rsidRDefault="00810FAC" w:rsidP="00BF5472">
            <w:pPr>
              <w:pStyle w:val="TableText"/>
              <w:rPr>
                <w:rFonts w:cs="Times New Roman"/>
                <w:color w:val="000000"/>
              </w:rPr>
            </w:pPr>
            <w:r w:rsidRPr="00E3368B">
              <w:rPr>
                <w:rFonts w:cs="Times New Roman"/>
              </w:rPr>
              <w:t>517</w:t>
            </w:r>
          </w:p>
        </w:tc>
        <w:tc>
          <w:tcPr>
            <w:tcW w:w="657" w:type="pct"/>
          </w:tcPr>
          <w:p w14:paraId="5E61F109" w14:textId="77777777" w:rsidR="00810FAC" w:rsidRPr="00083D0C" w:rsidRDefault="00810FAC" w:rsidP="00BF5472">
            <w:pPr>
              <w:pStyle w:val="TableText"/>
              <w:rPr>
                <w:rFonts w:cs="Times New Roman"/>
                <w:color w:val="000000"/>
              </w:rPr>
            </w:pPr>
            <w:r w:rsidRPr="00E3368B">
              <w:rPr>
                <w:rFonts w:cs="Times New Roman"/>
              </w:rPr>
              <w:t>3.00%</w:t>
            </w:r>
          </w:p>
        </w:tc>
        <w:tc>
          <w:tcPr>
            <w:tcW w:w="656" w:type="pct"/>
            <w:shd w:val="clear" w:color="auto" w:fill="auto"/>
            <w:noWrap/>
          </w:tcPr>
          <w:p w14:paraId="6E68D40A" w14:textId="77777777" w:rsidR="00810FAC" w:rsidRPr="00E3368B" w:rsidRDefault="00810FAC" w:rsidP="00BF5472">
            <w:pPr>
              <w:pStyle w:val="TableText"/>
              <w:rPr>
                <w:rFonts w:cs="Times New Roman"/>
              </w:rPr>
            </w:pPr>
            <w:r w:rsidRPr="00E3368B">
              <w:rPr>
                <w:rFonts w:cs="Times New Roman"/>
              </w:rPr>
              <w:t>1,244</w:t>
            </w:r>
          </w:p>
        </w:tc>
        <w:tc>
          <w:tcPr>
            <w:tcW w:w="654" w:type="pct"/>
            <w:shd w:val="clear" w:color="auto" w:fill="auto"/>
          </w:tcPr>
          <w:p w14:paraId="469B6CE8" w14:textId="77777777" w:rsidR="00810FAC" w:rsidRPr="00E3368B" w:rsidRDefault="00810FAC" w:rsidP="00BF5472">
            <w:pPr>
              <w:pStyle w:val="TableText"/>
              <w:rPr>
                <w:rFonts w:cs="Times New Roman"/>
              </w:rPr>
            </w:pPr>
            <w:r w:rsidRPr="00356568">
              <w:t>7.00%</w:t>
            </w:r>
          </w:p>
        </w:tc>
      </w:tr>
      <w:tr w:rsidR="00810FAC" w:rsidRPr="00D33008" w14:paraId="6AA9407D" w14:textId="77777777" w:rsidTr="00BF5472">
        <w:tc>
          <w:tcPr>
            <w:tcW w:w="1064" w:type="pct"/>
            <w:noWrap/>
            <w:vAlign w:val="center"/>
            <w:hideMark/>
          </w:tcPr>
          <w:p w14:paraId="50C65B39" w14:textId="77777777" w:rsidR="00810FAC" w:rsidRPr="006A3C40" w:rsidRDefault="00810FAC" w:rsidP="00BF5472">
            <w:pPr>
              <w:pStyle w:val="TableText"/>
            </w:pPr>
            <w:r w:rsidRPr="006A3C40">
              <w:t>Ohio</w:t>
            </w:r>
          </w:p>
        </w:tc>
        <w:tc>
          <w:tcPr>
            <w:tcW w:w="655" w:type="pct"/>
            <w:shd w:val="clear" w:color="auto" w:fill="auto"/>
            <w:noWrap/>
            <w:vAlign w:val="center"/>
          </w:tcPr>
          <w:p w14:paraId="64A68A9F" w14:textId="77777777" w:rsidR="00810FAC" w:rsidRPr="00E3368B" w:rsidRDefault="00810FAC" w:rsidP="00BF5472">
            <w:pPr>
              <w:pStyle w:val="TableText"/>
              <w:rPr>
                <w:rFonts w:cs="Times New Roman"/>
              </w:rPr>
            </w:pPr>
            <w:r w:rsidRPr="00E3368B">
              <w:rPr>
                <w:rFonts w:cs="Times New Roman"/>
              </w:rPr>
              <w:t>1,545</w:t>
            </w:r>
          </w:p>
        </w:tc>
        <w:tc>
          <w:tcPr>
            <w:tcW w:w="657" w:type="pct"/>
            <w:shd w:val="clear" w:color="auto" w:fill="auto"/>
            <w:vAlign w:val="bottom"/>
          </w:tcPr>
          <w:p w14:paraId="6420EBB2" w14:textId="77777777" w:rsidR="00810FAC" w:rsidRPr="00E3368B" w:rsidRDefault="00810FAC" w:rsidP="00BF5472">
            <w:pPr>
              <w:pStyle w:val="TableText"/>
              <w:rPr>
                <w:rFonts w:cs="Times New Roman"/>
              </w:rPr>
            </w:pPr>
            <w:r w:rsidRPr="00083D0C">
              <w:rPr>
                <w:rFonts w:cs="Times New Roman"/>
                <w:color w:val="000000"/>
              </w:rPr>
              <w:t>1.00%</w:t>
            </w:r>
          </w:p>
        </w:tc>
        <w:tc>
          <w:tcPr>
            <w:tcW w:w="657" w:type="pct"/>
          </w:tcPr>
          <w:p w14:paraId="5DFF081E" w14:textId="77777777" w:rsidR="00810FAC" w:rsidRPr="00083D0C" w:rsidRDefault="00810FAC" w:rsidP="00BF5472">
            <w:pPr>
              <w:pStyle w:val="TableText"/>
              <w:rPr>
                <w:rFonts w:cs="Times New Roman"/>
                <w:color w:val="000000"/>
              </w:rPr>
            </w:pPr>
            <w:r w:rsidRPr="00E3368B">
              <w:rPr>
                <w:rFonts w:cs="Times New Roman"/>
              </w:rPr>
              <w:t>9,150</w:t>
            </w:r>
          </w:p>
        </w:tc>
        <w:tc>
          <w:tcPr>
            <w:tcW w:w="657" w:type="pct"/>
          </w:tcPr>
          <w:p w14:paraId="1BE75BCA" w14:textId="77777777" w:rsidR="00810FAC" w:rsidRPr="00083D0C" w:rsidRDefault="00810FAC" w:rsidP="00BF5472">
            <w:pPr>
              <w:pStyle w:val="TableText"/>
              <w:rPr>
                <w:rFonts w:cs="Times New Roman"/>
                <w:color w:val="000000"/>
              </w:rPr>
            </w:pPr>
            <w:r w:rsidRPr="00E3368B">
              <w:rPr>
                <w:rFonts w:cs="Times New Roman"/>
              </w:rPr>
              <w:t>5.76%</w:t>
            </w:r>
          </w:p>
        </w:tc>
        <w:tc>
          <w:tcPr>
            <w:tcW w:w="656" w:type="pct"/>
            <w:shd w:val="clear" w:color="auto" w:fill="auto"/>
            <w:noWrap/>
          </w:tcPr>
          <w:p w14:paraId="15B915A6" w14:textId="77777777" w:rsidR="00810FAC" w:rsidRPr="00E3368B" w:rsidRDefault="00810FAC" w:rsidP="00BF5472">
            <w:pPr>
              <w:pStyle w:val="TableText"/>
              <w:rPr>
                <w:rFonts w:cs="Times New Roman"/>
              </w:rPr>
            </w:pPr>
            <w:r w:rsidRPr="00E3368B">
              <w:rPr>
                <w:rFonts w:cs="Times New Roman"/>
              </w:rPr>
              <w:t>13,506</w:t>
            </w:r>
          </w:p>
        </w:tc>
        <w:tc>
          <w:tcPr>
            <w:tcW w:w="654" w:type="pct"/>
            <w:shd w:val="clear" w:color="auto" w:fill="auto"/>
          </w:tcPr>
          <w:p w14:paraId="78803CCB" w14:textId="77777777" w:rsidR="00810FAC" w:rsidRPr="00E3368B" w:rsidRDefault="00810FAC" w:rsidP="00BF5472">
            <w:pPr>
              <w:pStyle w:val="TableText"/>
              <w:rPr>
                <w:rFonts w:cs="Times New Roman"/>
              </w:rPr>
            </w:pPr>
            <w:r w:rsidRPr="00356568">
              <w:t>8.31%</w:t>
            </w:r>
          </w:p>
        </w:tc>
      </w:tr>
      <w:tr w:rsidR="00810FAC" w:rsidRPr="00D33008" w14:paraId="504CCA56" w14:textId="77777777" w:rsidTr="00BF5472">
        <w:tc>
          <w:tcPr>
            <w:tcW w:w="1064" w:type="pct"/>
            <w:noWrap/>
            <w:vAlign w:val="center"/>
            <w:hideMark/>
          </w:tcPr>
          <w:p w14:paraId="7A1BE847" w14:textId="77777777" w:rsidR="00810FAC" w:rsidRPr="006A3C40" w:rsidRDefault="00810FAC" w:rsidP="00BF5472">
            <w:pPr>
              <w:pStyle w:val="TableText"/>
            </w:pPr>
            <w:r w:rsidRPr="006A3C40">
              <w:lastRenderedPageBreak/>
              <w:t>Oklahoma</w:t>
            </w:r>
          </w:p>
        </w:tc>
        <w:tc>
          <w:tcPr>
            <w:tcW w:w="655" w:type="pct"/>
            <w:shd w:val="clear" w:color="auto" w:fill="auto"/>
            <w:noWrap/>
            <w:vAlign w:val="center"/>
          </w:tcPr>
          <w:p w14:paraId="1BAAE913" w14:textId="77777777" w:rsidR="00810FAC" w:rsidRPr="00E3368B" w:rsidRDefault="00810FAC" w:rsidP="00BF5472">
            <w:pPr>
              <w:pStyle w:val="TableText"/>
              <w:rPr>
                <w:rFonts w:cs="Times New Roman"/>
              </w:rPr>
            </w:pPr>
            <w:r w:rsidRPr="00E3368B">
              <w:rPr>
                <w:rFonts w:cs="Times New Roman"/>
              </w:rPr>
              <w:t>168</w:t>
            </w:r>
          </w:p>
        </w:tc>
        <w:tc>
          <w:tcPr>
            <w:tcW w:w="657" w:type="pct"/>
            <w:shd w:val="clear" w:color="auto" w:fill="auto"/>
            <w:vAlign w:val="bottom"/>
          </w:tcPr>
          <w:p w14:paraId="06BC4C5B" w14:textId="77777777" w:rsidR="00810FAC" w:rsidRPr="00E3368B" w:rsidRDefault="00810FAC" w:rsidP="00BF5472">
            <w:pPr>
              <w:pStyle w:val="TableText"/>
              <w:rPr>
                <w:rFonts w:cs="Times New Roman"/>
              </w:rPr>
            </w:pPr>
            <w:r w:rsidRPr="00083D0C">
              <w:rPr>
                <w:rFonts w:cs="Times New Roman"/>
                <w:color w:val="000000"/>
              </w:rPr>
              <w:t>0.26%</w:t>
            </w:r>
          </w:p>
        </w:tc>
        <w:tc>
          <w:tcPr>
            <w:tcW w:w="657" w:type="pct"/>
          </w:tcPr>
          <w:p w14:paraId="00C9F95B" w14:textId="77777777" w:rsidR="00810FAC" w:rsidRPr="00083D0C" w:rsidRDefault="00810FAC" w:rsidP="00BF5472">
            <w:pPr>
              <w:pStyle w:val="TableText"/>
              <w:rPr>
                <w:rFonts w:cs="Times New Roman"/>
                <w:color w:val="000000"/>
              </w:rPr>
            </w:pPr>
            <w:r w:rsidRPr="00E3368B">
              <w:rPr>
                <w:rFonts w:cs="Times New Roman"/>
              </w:rPr>
              <w:t>2,744</w:t>
            </w:r>
          </w:p>
        </w:tc>
        <w:tc>
          <w:tcPr>
            <w:tcW w:w="657" w:type="pct"/>
          </w:tcPr>
          <w:p w14:paraId="5F6FD7AC" w14:textId="77777777" w:rsidR="00810FAC" w:rsidRPr="00083D0C" w:rsidRDefault="00810FAC" w:rsidP="00BF5472">
            <w:pPr>
              <w:pStyle w:val="TableText"/>
              <w:rPr>
                <w:rFonts w:cs="Times New Roman"/>
                <w:color w:val="000000"/>
              </w:rPr>
            </w:pPr>
            <w:r w:rsidRPr="00E3368B">
              <w:rPr>
                <w:rFonts w:cs="Times New Roman"/>
              </w:rPr>
              <w:t>4.07%</w:t>
            </w:r>
          </w:p>
        </w:tc>
        <w:tc>
          <w:tcPr>
            <w:tcW w:w="656" w:type="pct"/>
            <w:shd w:val="clear" w:color="auto" w:fill="auto"/>
            <w:noWrap/>
          </w:tcPr>
          <w:p w14:paraId="60B1C37D" w14:textId="77777777" w:rsidR="00810FAC" w:rsidRPr="00E3368B" w:rsidRDefault="00810FAC" w:rsidP="00BF5472">
            <w:pPr>
              <w:pStyle w:val="TableText"/>
              <w:rPr>
                <w:rFonts w:cs="Times New Roman"/>
              </w:rPr>
            </w:pPr>
            <w:r w:rsidRPr="00E3368B">
              <w:rPr>
                <w:rFonts w:cs="Times New Roman"/>
              </w:rPr>
              <w:t>5,276</w:t>
            </w:r>
          </w:p>
        </w:tc>
        <w:tc>
          <w:tcPr>
            <w:tcW w:w="654" w:type="pct"/>
            <w:shd w:val="clear" w:color="auto" w:fill="auto"/>
          </w:tcPr>
          <w:p w14:paraId="1EA58E32" w14:textId="77777777" w:rsidR="00810FAC" w:rsidRPr="00E3368B" w:rsidRDefault="00810FAC" w:rsidP="00BF5472">
            <w:pPr>
              <w:pStyle w:val="TableText"/>
              <w:rPr>
                <w:rFonts w:cs="Times New Roman"/>
              </w:rPr>
            </w:pPr>
            <w:r w:rsidRPr="00356568">
              <w:t>7.45%</w:t>
            </w:r>
          </w:p>
        </w:tc>
      </w:tr>
      <w:tr w:rsidR="00810FAC" w:rsidRPr="00D33008" w14:paraId="67DB0349" w14:textId="77777777" w:rsidTr="00BF5472">
        <w:tc>
          <w:tcPr>
            <w:tcW w:w="1064" w:type="pct"/>
            <w:noWrap/>
            <w:vAlign w:val="center"/>
            <w:hideMark/>
          </w:tcPr>
          <w:p w14:paraId="2CFB2B99" w14:textId="77777777" w:rsidR="00810FAC" w:rsidRPr="006A3C40" w:rsidRDefault="00810FAC" w:rsidP="00BF5472">
            <w:pPr>
              <w:pStyle w:val="TableText"/>
            </w:pPr>
            <w:r w:rsidRPr="006A3C40">
              <w:t>Oregon</w:t>
            </w:r>
          </w:p>
        </w:tc>
        <w:tc>
          <w:tcPr>
            <w:tcW w:w="655" w:type="pct"/>
            <w:shd w:val="clear" w:color="auto" w:fill="auto"/>
            <w:noWrap/>
            <w:vAlign w:val="center"/>
          </w:tcPr>
          <w:p w14:paraId="3AC444B4" w14:textId="77777777" w:rsidR="00810FAC" w:rsidRPr="00E3368B" w:rsidRDefault="00810FAC" w:rsidP="00BF5472">
            <w:pPr>
              <w:pStyle w:val="TableText"/>
              <w:rPr>
                <w:rFonts w:cs="Times New Roman"/>
              </w:rPr>
            </w:pPr>
            <w:r w:rsidRPr="00E3368B">
              <w:rPr>
                <w:rFonts w:cs="Times New Roman"/>
              </w:rPr>
              <w:t>500</w:t>
            </w:r>
          </w:p>
        </w:tc>
        <w:tc>
          <w:tcPr>
            <w:tcW w:w="657" w:type="pct"/>
            <w:shd w:val="clear" w:color="auto" w:fill="auto"/>
            <w:vAlign w:val="bottom"/>
          </w:tcPr>
          <w:p w14:paraId="168C891B" w14:textId="77777777" w:rsidR="00810FAC" w:rsidRPr="00E3368B" w:rsidRDefault="00810FAC" w:rsidP="00BF5472">
            <w:pPr>
              <w:pStyle w:val="TableText"/>
              <w:rPr>
                <w:rFonts w:cs="Times New Roman"/>
              </w:rPr>
            </w:pPr>
            <w:r w:rsidRPr="00083D0C">
              <w:rPr>
                <w:rFonts w:cs="Times New Roman"/>
                <w:color w:val="000000"/>
              </w:rPr>
              <w:t>0.99%</w:t>
            </w:r>
          </w:p>
        </w:tc>
        <w:tc>
          <w:tcPr>
            <w:tcW w:w="657" w:type="pct"/>
          </w:tcPr>
          <w:p w14:paraId="287490E0" w14:textId="77777777" w:rsidR="00810FAC" w:rsidRPr="00083D0C" w:rsidRDefault="00810FAC" w:rsidP="00BF5472">
            <w:pPr>
              <w:pStyle w:val="TableText"/>
              <w:rPr>
                <w:rFonts w:cs="Times New Roman"/>
                <w:color w:val="000000"/>
              </w:rPr>
            </w:pPr>
            <w:r w:rsidRPr="00E3368B">
              <w:rPr>
                <w:rFonts w:cs="Times New Roman"/>
              </w:rPr>
              <w:t>2,986</w:t>
            </w:r>
          </w:p>
        </w:tc>
        <w:tc>
          <w:tcPr>
            <w:tcW w:w="657" w:type="pct"/>
          </w:tcPr>
          <w:p w14:paraId="1AE6A078" w14:textId="77777777" w:rsidR="00810FAC" w:rsidRPr="00083D0C" w:rsidRDefault="00810FAC" w:rsidP="00BF5472">
            <w:pPr>
              <w:pStyle w:val="TableText"/>
              <w:rPr>
                <w:rFonts w:cs="Times New Roman"/>
                <w:color w:val="000000"/>
              </w:rPr>
            </w:pPr>
            <w:r w:rsidRPr="00E3368B">
              <w:rPr>
                <w:rFonts w:cs="Times New Roman"/>
              </w:rPr>
              <w:t>5.69%</w:t>
            </w:r>
          </w:p>
        </w:tc>
        <w:tc>
          <w:tcPr>
            <w:tcW w:w="656" w:type="pct"/>
            <w:shd w:val="clear" w:color="auto" w:fill="auto"/>
            <w:noWrap/>
          </w:tcPr>
          <w:p w14:paraId="1CA6CCD3" w14:textId="77777777" w:rsidR="00810FAC" w:rsidRPr="00E3368B" w:rsidRDefault="00810FAC" w:rsidP="00BF5472">
            <w:pPr>
              <w:pStyle w:val="TableText"/>
              <w:rPr>
                <w:rFonts w:cs="Times New Roman"/>
              </w:rPr>
            </w:pPr>
            <w:r w:rsidRPr="00E3368B">
              <w:rPr>
                <w:rFonts w:cs="Times New Roman"/>
              </w:rPr>
              <w:t>4,460</w:t>
            </w:r>
          </w:p>
        </w:tc>
        <w:tc>
          <w:tcPr>
            <w:tcW w:w="654" w:type="pct"/>
            <w:shd w:val="clear" w:color="auto" w:fill="auto"/>
          </w:tcPr>
          <w:p w14:paraId="460C7B17" w14:textId="77777777" w:rsidR="00810FAC" w:rsidRPr="00E3368B" w:rsidRDefault="00810FAC" w:rsidP="00BF5472">
            <w:pPr>
              <w:pStyle w:val="TableText"/>
              <w:rPr>
                <w:rFonts w:cs="Times New Roman"/>
              </w:rPr>
            </w:pPr>
            <w:r w:rsidRPr="00356568">
              <w:t>8.17%</w:t>
            </w:r>
          </w:p>
        </w:tc>
      </w:tr>
      <w:tr w:rsidR="00810FAC" w:rsidRPr="00D33008" w14:paraId="2E6FC835" w14:textId="77777777" w:rsidTr="00BF5472">
        <w:tc>
          <w:tcPr>
            <w:tcW w:w="1064" w:type="pct"/>
            <w:noWrap/>
            <w:vAlign w:val="center"/>
            <w:hideMark/>
          </w:tcPr>
          <w:p w14:paraId="5819F0DE" w14:textId="77777777" w:rsidR="00810FAC" w:rsidRPr="006A3C40" w:rsidRDefault="00810FAC" w:rsidP="00BF5472">
            <w:pPr>
              <w:pStyle w:val="TableText"/>
            </w:pPr>
            <w:r w:rsidRPr="006A3C40">
              <w:t>Pennsylvania</w:t>
            </w:r>
          </w:p>
        </w:tc>
        <w:tc>
          <w:tcPr>
            <w:tcW w:w="655" w:type="pct"/>
            <w:shd w:val="clear" w:color="auto" w:fill="auto"/>
            <w:noWrap/>
            <w:vAlign w:val="center"/>
          </w:tcPr>
          <w:p w14:paraId="763A5D52" w14:textId="77777777" w:rsidR="00810FAC" w:rsidRPr="00E3368B" w:rsidRDefault="00810FAC" w:rsidP="00BF5472">
            <w:pPr>
              <w:pStyle w:val="TableText"/>
              <w:rPr>
                <w:rFonts w:cs="Times New Roman"/>
              </w:rPr>
            </w:pPr>
            <w:r w:rsidRPr="00E3368B">
              <w:rPr>
                <w:rFonts w:cs="Times New Roman"/>
              </w:rPr>
              <w:t>1,351</w:t>
            </w:r>
          </w:p>
        </w:tc>
        <w:tc>
          <w:tcPr>
            <w:tcW w:w="657" w:type="pct"/>
            <w:shd w:val="clear" w:color="auto" w:fill="auto"/>
            <w:vAlign w:val="bottom"/>
          </w:tcPr>
          <w:p w14:paraId="381B097A" w14:textId="77777777" w:rsidR="00810FAC" w:rsidRPr="00E3368B" w:rsidRDefault="00810FAC" w:rsidP="00BF5472">
            <w:pPr>
              <w:pStyle w:val="TableText"/>
              <w:rPr>
                <w:rFonts w:cs="Times New Roman"/>
              </w:rPr>
            </w:pPr>
            <w:r w:rsidRPr="00083D0C">
              <w:rPr>
                <w:rFonts w:cs="Times New Roman"/>
                <w:color w:val="000000"/>
              </w:rPr>
              <w:t>0.90%</w:t>
            </w:r>
          </w:p>
        </w:tc>
        <w:tc>
          <w:tcPr>
            <w:tcW w:w="657" w:type="pct"/>
          </w:tcPr>
          <w:p w14:paraId="00475C60" w14:textId="77777777" w:rsidR="00810FAC" w:rsidRPr="00083D0C" w:rsidRDefault="00810FAC" w:rsidP="00BF5472">
            <w:pPr>
              <w:pStyle w:val="TableText"/>
              <w:rPr>
                <w:rFonts w:cs="Times New Roman"/>
                <w:color w:val="000000"/>
              </w:rPr>
            </w:pPr>
            <w:r w:rsidRPr="00E3368B">
              <w:rPr>
                <w:rFonts w:cs="Times New Roman"/>
              </w:rPr>
              <w:t>8,677</w:t>
            </w:r>
          </w:p>
        </w:tc>
        <w:tc>
          <w:tcPr>
            <w:tcW w:w="657" w:type="pct"/>
          </w:tcPr>
          <w:p w14:paraId="4CAF7430" w14:textId="77777777" w:rsidR="00810FAC" w:rsidRPr="00083D0C" w:rsidRDefault="00810FAC" w:rsidP="00BF5472">
            <w:pPr>
              <w:pStyle w:val="TableText"/>
              <w:rPr>
                <w:rFonts w:cs="Times New Roman"/>
                <w:color w:val="000000"/>
              </w:rPr>
            </w:pPr>
            <w:r w:rsidRPr="00E3368B">
              <w:rPr>
                <w:rFonts w:cs="Times New Roman"/>
              </w:rPr>
              <w:t>5.70%</w:t>
            </w:r>
          </w:p>
        </w:tc>
        <w:tc>
          <w:tcPr>
            <w:tcW w:w="656" w:type="pct"/>
            <w:shd w:val="clear" w:color="auto" w:fill="auto"/>
            <w:noWrap/>
          </w:tcPr>
          <w:p w14:paraId="020940D1" w14:textId="77777777" w:rsidR="00810FAC" w:rsidRPr="00E3368B" w:rsidRDefault="00810FAC" w:rsidP="00BF5472">
            <w:pPr>
              <w:pStyle w:val="TableText"/>
              <w:rPr>
                <w:rFonts w:cs="Times New Roman"/>
              </w:rPr>
            </w:pPr>
            <w:r w:rsidRPr="00E3368B">
              <w:rPr>
                <w:rFonts w:cs="Times New Roman"/>
              </w:rPr>
              <w:t>12,915</w:t>
            </w:r>
          </w:p>
        </w:tc>
        <w:tc>
          <w:tcPr>
            <w:tcW w:w="654" w:type="pct"/>
            <w:shd w:val="clear" w:color="auto" w:fill="auto"/>
          </w:tcPr>
          <w:p w14:paraId="38083897" w14:textId="77777777" w:rsidR="00810FAC" w:rsidRPr="00E3368B" w:rsidRDefault="00810FAC" w:rsidP="00BF5472">
            <w:pPr>
              <w:pStyle w:val="TableText"/>
              <w:rPr>
                <w:rFonts w:cs="Times New Roman"/>
              </w:rPr>
            </w:pPr>
            <w:r w:rsidRPr="00356568">
              <w:t>8.33%</w:t>
            </w:r>
          </w:p>
        </w:tc>
      </w:tr>
      <w:tr w:rsidR="00810FAC" w:rsidRPr="00D33008" w14:paraId="7B052A10" w14:textId="77777777" w:rsidTr="00BF5472">
        <w:tc>
          <w:tcPr>
            <w:tcW w:w="1064" w:type="pct"/>
            <w:noWrap/>
            <w:vAlign w:val="center"/>
            <w:hideMark/>
          </w:tcPr>
          <w:p w14:paraId="11607173" w14:textId="77777777" w:rsidR="00810FAC" w:rsidRPr="006A3C40" w:rsidRDefault="00810FAC" w:rsidP="00BF5472">
            <w:pPr>
              <w:pStyle w:val="TableText"/>
            </w:pPr>
            <w:r w:rsidRPr="006A3C40">
              <w:t>Rhode Island</w:t>
            </w:r>
          </w:p>
        </w:tc>
        <w:tc>
          <w:tcPr>
            <w:tcW w:w="655" w:type="pct"/>
            <w:shd w:val="clear" w:color="auto" w:fill="auto"/>
            <w:noWrap/>
            <w:vAlign w:val="center"/>
          </w:tcPr>
          <w:p w14:paraId="3BECF43D" w14:textId="77777777" w:rsidR="00810FAC" w:rsidRPr="00E3368B" w:rsidRDefault="00810FAC" w:rsidP="00BF5472">
            <w:pPr>
              <w:pStyle w:val="TableText"/>
              <w:rPr>
                <w:rFonts w:cs="Times New Roman"/>
              </w:rPr>
            </w:pPr>
            <w:r w:rsidRPr="00E3368B">
              <w:rPr>
                <w:rFonts w:cs="Times New Roman"/>
              </w:rPr>
              <w:t>80</w:t>
            </w:r>
          </w:p>
        </w:tc>
        <w:tc>
          <w:tcPr>
            <w:tcW w:w="657" w:type="pct"/>
            <w:shd w:val="clear" w:color="auto" w:fill="auto"/>
            <w:vAlign w:val="bottom"/>
          </w:tcPr>
          <w:p w14:paraId="0C628920" w14:textId="77777777" w:rsidR="00810FAC" w:rsidRPr="00E3368B" w:rsidRDefault="00810FAC" w:rsidP="00BF5472">
            <w:pPr>
              <w:pStyle w:val="TableText"/>
              <w:rPr>
                <w:rFonts w:cs="Times New Roman"/>
              </w:rPr>
            </w:pPr>
            <w:r w:rsidRPr="00083D0C">
              <w:rPr>
                <w:rFonts w:cs="Times New Roman"/>
                <w:color w:val="000000"/>
              </w:rPr>
              <w:t>1.00%</w:t>
            </w:r>
          </w:p>
        </w:tc>
        <w:tc>
          <w:tcPr>
            <w:tcW w:w="657" w:type="pct"/>
          </w:tcPr>
          <w:p w14:paraId="3B33569C" w14:textId="77777777" w:rsidR="00810FAC" w:rsidRPr="00083D0C" w:rsidRDefault="00810FAC" w:rsidP="00BF5472">
            <w:pPr>
              <w:pStyle w:val="TableText"/>
              <w:rPr>
                <w:rFonts w:cs="Times New Roman"/>
                <w:color w:val="000000"/>
              </w:rPr>
            </w:pPr>
            <w:r w:rsidRPr="00E3368B">
              <w:rPr>
                <w:rFonts w:cs="Times New Roman"/>
              </w:rPr>
              <w:t>471</w:t>
            </w:r>
          </w:p>
        </w:tc>
        <w:tc>
          <w:tcPr>
            <w:tcW w:w="657" w:type="pct"/>
          </w:tcPr>
          <w:p w14:paraId="3B8E6B2D" w14:textId="77777777" w:rsidR="00810FAC" w:rsidRPr="00083D0C" w:rsidRDefault="00810FAC" w:rsidP="00BF5472">
            <w:pPr>
              <w:pStyle w:val="TableText"/>
              <w:rPr>
                <w:rFonts w:cs="Times New Roman"/>
                <w:color w:val="000000"/>
              </w:rPr>
            </w:pPr>
            <w:r w:rsidRPr="00E3368B">
              <w:rPr>
                <w:rFonts w:cs="Times New Roman"/>
              </w:rPr>
              <w:t>5.77%</w:t>
            </w:r>
          </w:p>
        </w:tc>
        <w:tc>
          <w:tcPr>
            <w:tcW w:w="656" w:type="pct"/>
            <w:shd w:val="clear" w:color="auto" w:fill="auto"/>
            <w:noWrap/>
          </w:tcPr>
          <w:p w14:paraId="61B26248" w14:textId="77777777" w:rsidR="00810FAC" w:rsidRPr="00E3368B" w:rsidRDefault="00810FAC" w:rsidP="00BF5472">
            <w:pPr>
              <w:pStyle w:val="TableText"/>
              <w:rPr>
                <w:rFonts w:cs="Times New Roman"/>
              </w:rPr>
            </w:pPr>
            <w:r w:rsidRPr="00E3368B">
              <w:rPr>
                <w:rFonts w:cs="Times New Roman"/>
              </w:rPr>
              <w:t>693</w:t>
            </w:r>
          </w:p>
        </w:tc>
        <w:tc>
          <w:tcPr>
            <w:tcW w:w="654" w:type="pct"/>
            <w:shd w:val="clear" w:color="auto" w:fill="auto"/>
          </w:tcPr>
          <w:p w14:paraId="13714232" w14:textId="77777777" w:rsidR="00810FAC" w:rsidRPr="00E3368B" w:rsidRDefault="00810FAC" w:rsidP="00BF5472">
            <w:pPr>
              <w:pStyle w:val="TableText"/>
              <w:rPr>
                <w:rFonts w:cs="Times New Roman"/>
              </w:rPr>
            </w:pPr>
            <w:r w:rsidRPr="00356568">
              <w:t>8.34%</w:t>
            </w:r>
          </w:p>
        </w:tc>
      </w:tr>
      <w:tr w:rsidR="00810FAC" w:rsidRPr="00D33008" w14:paraId="2C9A5CD6" w14:textId="77777777" w:rsidTr="00BF5472">
        <w:tc>
          <w:tcPr>
            <w:tcW w:w="1064" w:type="pct"/>
            <w:noWrap/>
            <w:vAlign w:val="center"/>
            <w:hideMark/>
          </w:tcPr>
          <w:p w14:paraId="102BA6F8" w14:textId="77777777" w:rsidR="00810FAC" w:rsidRPr="006A3C40" w:rsidRDefault="00810FAC" w:rsidP="00BF5472">
            <w:pPr>
              <w:pStyle w:val="TableText"/>
            </w:pPr>
            <w:r w:rsidRPr="006A3C40">
              <w:t>South Carolina</w:t>
            </w:r>
          </w:p>
        </w:tc>
        <w:tc>
          <w:tcPr>
            <w:tcW w:w="655" w:type="pct"/>
            <w:shd w:val="clear" w:color="auto" w:fill="auto"/>
            <w:noWrap/>
            <w:vAlign w:val="center"/>
          </w:tcPr>
          <w:p w14:paraId="75B13502" w14:textId="77777777" w:rsidR="00810FAC" w:rsidRPr="00E3368B" w:rsidRDefault="00810FAC" w:rsidP="00BF5472">
            <w:pPr>
              <w:pStyle w:val="TableText"/>
              <w:rPr>
                <w:rFonts w:cs="Times New Roman"/>
              </w:rPr>
            </w:pPr>
            <w:r w:rsidRPr="00E3368B">
              <w:rPr>
                <w:rFonts w:cs="Times New Roman"/>
              </w:rPr>
              <w:t>385</w:t>
            </w:r>
          </w:p>
        </w:tc>
        <w:tc>
          <w:tcPr>
            <w:tcW w:w="657" w:type="pct"/>
            <w:shd w:val="clear" w:color="auto" w:fill="auto"/>
            <w:vAlign w:val="bottom"/>
          </w:tcPr>
          <w:p w14:paraId="2A4B816B" w14:textId="77777777" w:rsidR="00810FAC" w:rsidRPr="00E3368B" w:rsidRDefault="00810FAC" w:rsidP="00BF5472">
            <w:pPr>
              <w:pStyle w:val="TableText"/>
              <w:rPr>
                <w:rFonts w:cs="Times New Roman"/>
              </w:rPr>
            </w:pPr>
            <w:r w:rsidRPr="00083D0C">
              <w:rPr>
                <w:rFonts w:cs="Times New Roman"/>
                <w:color w:val="000000"/>
              </w:rPr>
              <w:t>0.46%</w:t>
            </w:r>
          </w:p>
        </w:tc>
        <w:tc>
          <w:tcPr>
            <w:tcW w:w="657" w:type="pct"/>
          </w:tcPr>
          <w:p w14:paraId="2DB0AABB" w14:textId="77777777" w:rsidR="00810FAC" w:rsidRPr="00212A46" w:rsidRDefault="00810FAC" w:rsidP="00BF5472">
            <w:pPr>
              <w:pStyle w:val="TableText"/>
              <w:rPr>
                <w:rFonts w:cs="Times New Roman"/>
                <w:color w:val="000000"/>
              </w:rPr>
            </w:pPr>
            <w:r w:rsidRPr="00E3368B">
              <w:rPr>
                <w:rFonts w:cs="Times New Roman"/>
              </w:rPr>
              <w:t>4,159</w:t>
            </w:r>
          </w:p>
        </w:tc>
        <w:tc>
          <w:tcPr>
            <w:tcW w:w="657" w:type="pct"/>
          </w:tcPr>
          <w:p w14:paraId="6D929EFF" w14:textId="77777777" w:rsidR="00810FAC" w:rsidRPr="00212A46" w:rsidRDefault="00810FAC" w:rsidP="00BF5472">
            <w:pPr>
              <w:pStyle w:val="TableText"/>
              <w:rPr>
                <w:rFonts w:cs="Times New Roman"/>
                <w:color w:val="000000"/>
              </w:rPr>
            </w:pPr>
            <w:r w:rsidRPr="00E3368B">
              <w:rPr>
                <w:rFonts w:cs="Times New Roman"/>
              </w:rPr>
              <w:t>4.76%</w:t>
            </w:r>
          </w:p>
        </w:tc>
        <w:tc>
          <w:tcPr>
            <w:tcW w:w="656" w:type="pct"/>
            <w:shd w:val="clear" w:color="auto" w:fill="auto"/>
            <w:noWrap/>
          </w:tcPr>
          <w:p w14:paraId="2CEA9F63" w14:textId="77777777" w:rsidR="00810FAC" w:rsidRPr="00E3368B" w:rsidRDefault="00810FAC" w:rsidP="00BF5472">
            <w:pPr>
              <w:pStyle w:val="TableText"/>
              <w:rPr>
                <w:rFonts w:cs="Times New Roman"/>
              </w:rPr>
            </w:pPr>
            <w:r w:rsidRPr="00E3368B">
              <w:rPr>
                <w:rFonts w:cs="Times New Roman"/>
              </w:rPr>
              <w:t>7,117</w:t>
            </w:r>
          </w:p>
        </w:tc>
        <w:tc>
          <w:tcPr>
            <w:tcW w:w="654" w:type="pct"/>
            <w:shd w:val="clear" w:color="auto" w:fill="auto"/>
          </w:tcPr>
          <w:p w14:paraId="3FF17175" w14:textId="77777777" w:rsidR="00810FAC" w:rsidRPr="00E3368B" w:rsidRDefault="00810FAC" w:rsidP="00BF5472">
            <w:pPr>
              <w:pStyle w:val="TableText"/>
              <w:rPr>
                <w:rFonts w:cs="Times New Roman"/>
              </w:rPr>
            </w:pPr>
            <w:r w:rsidRPr="00356568">
              <w:t>7.79%</w:t>
            </w:r>
          </w:p>
        </w:tc>
      </w:tr>
      <w:tr w:rsidR="00810FAC" w:rsidRPr="00D33008" w14:paraId="251352B5" w14:textId="77777777" w:rsidTr="00BF5472">
        <w:tc>
          <w:tcPr>
            <w:tcW w:w="1064" w:type="pct"/>
            <w:noWrap/>
            <w:vAlign w:val="center"/>
            <w:hideMark/>
          </w:tcPr>
          <w:p w14:paraId="38E85496" w14:textId="77777777" w:rsidR="00810FAC" w:rsidRPr="006A3C40" w:rsidRDefault="00810FAC" w:rsidP="00BF5472">
            <w:pPr>
              <w:pStyle w:val="TableText"/>
            </w:pPr>
            <w:r w:rsidRPr="006A3C40">
              <w:t>South Dakota</w:t>
            </w:r>
          </w:p>
        </w:tc>
        <w:tc>
          <w:tcPr>
            <w:tcW w:w="655" w:type="pct"/>
            <w:shd w:val="clear" w:color="auto" w:fill="auto"/>
            <w:noWrap/>
            <w:vAlign w:val="center"/>
          </w:tcPr>
          <w:p w14:paraId="4401C5F9" w14:textId="77777777" w:rsidR="00810FAC" w:rsidRPr="00E3368B" w:rsidRDefault="00810FAC" w:rsidP="00BF5472">
            <w:pPr>
              <w:pStyle w:val="TableText"/>
              <w:rPr>
                <w:rFonts w:cs="Times New Roman"/>
              </w:rPr>
            </w:pPr>
            <w:r w:rsidRPr="00E3368B">
              <w:rPr>
                <w:rFonts w:cs="Times New Roman"/>
              </w:rPr>
              <w:t>16</w:t>
            </w:r>
          </w:p>
        </w:tc>
        <w:tc>
          <w:tcPr>
            <w:tcW w:w="657" w:type="pct"/>
            <w:shd w:val="clear" w:color="auto" w:fill="auto"/>
            <w:vAlign w:val="bottom"/>
          </w:tcPr>
          <w:p w14:paraId="1314C63D" w14:textId="77777777" w:rsidR="00810FAC" w:rsidRPr="00E3368B" w:rsidRDefault="00810FAC" w:rsidP="00BF5472">
            <w:pPr>
              <w:pStyle w:val="TableText"/>
              <w:rPr>
                <w:rFonts w:cs="Times New Roman"/>
              </w:rPr>
            </w:pPr>
            <w:r w:rsidRPr="00212A46">
              <w:rPr>
                <w:rFonts w:cs="Times New Roman"/>
                <w:color w:val="000000"/>
              </w:rPr>
              <w:t>0.13%</w:t>
            </w:r>
          </w:p>
        </w:tc>
        <w:tc>
          <w:tcPr>
            <w:tcW w:w="657" w:type="pct"/>
          </w:tcPr>
          <w:p w14:paraId="1F05D167" w14:textId="77777777" w:rsidR="00810FAC" w:rsidRPr="00212A46" w:rsidRDefault="00810FAC" w:rsidP="00BF5472">
            <w:pPr>
              <w:pStyle w:val="TableText"/>
              <w:rPr>
                <w:rFonts w:cs="Times New Roman"/>
                <w:color w:val="000000"/>
              </w:rPr>
            </w:pPr>
            <w:r w:rsidRPr="00E3368B">
              <w:rPr>
                <w:rFonts w:cs="Times New Roman"/>
              </w:rPr>
              <w:t>464</w:t>
            </w:r>
          </w:p>
        </w:tc>
        <w:tc>
          <w:tcPr>
            <w:tcW w:w="657" w:type="pct"/>
          </w:tcPr>
          <w:p w14:paraId="3D3F1B95" w14:textId="77777777" w:rsidR="00810FAC" w:rsidRPr="00212A46" w:rsidRDefault="00810FAC" w:rsidP="00BF5472">
            <w:pPr>
              <w:pStyle w:val="TableText"/>
              <w:rPr>
                <w:rFonts w:cs="Times New Roman"/>
                <w:color w:val="000000"/>
              </w:rPr>
            </w:pPr>
            <w:r w:rsidRPr="00E3368B">
              <w:rPr>
                <w:rFonts w:cs="Times New Roman"/>
              </w:rPr>
              <w:t>3.54%</w:t>
            </w:r>
          </w:p>
        </w:tc>
        <w:tc>
          <w:tcPr>
            <w:tcW w:w="656" w:type="pct"/>
            <w:shd w:val="clear" w:color="auto" w:fill="auto"/>
            <w:noWrap/>
          </w:tcPr>
          <w:p w14:paraId="391201B0" w14:textId="77777777" w:rsidR="00810FAC" w:rsidRPr="00E3368B" w:rsidRDefault="00810FAC" w:rsidP="00BF5472">
            <w:pPr>
              <w:pStyle w:val="TableText"/>
              <w:rPr>
                <w:rFonts w:cs="Times New Roman"/>
              </w:rPr>
            </w:pPr>
            <w:r w:rsidRPr="00E3368B">
              <w:rPr>
                <w:rFonts w:cs="Times New Roman"/>
              </w:rPr>
              <w:t>986</w:t>
            </w:r>
          </w:p>
        </w:tc>
        <w:tc>
          <w:tcPr>
            <w:tcW w:w="654" w:type="pct"/>
            <w:shd w:val="clear" w:color="auto" w:fill="auto"/>
          </w:tcPr>
          <w:p w14:paraId="02D79F9F" w14:textId="77777777" w:rsidR="00810FAC" w:rsidRPr="00E3368B" w:rsidRDefault="00810FAC" w:rsidP="00BF5472">
            <w:pPr>
              <w:pStyle w:val="TableText"/>
              <w:rPr>
                <w:rFonts w:cs="Times New Roman"/>
              </w:rPr>
            </w:pPr>
            <w:r w:rsidRPr="00356568">
              <w:t>7.28%</w:t>
            </w:r>
          </w:p>
        </w:tc>
      </w:tr>
      <w:tr w:rsidR="00810FAC" w:rsidRPr="00D33008" w14:paraId="61EFE5A2" w14:textId="77777777" w:rsidTr="00BF5472">
        <w:tc>
          <w:tcPr>
            <w:tcW w:w="1064" w:type="pct"/>
            <w:noWrap/>
            <w:vAlign w:val="center"/>
            <w:hideMark/>
          </w:tcPr>
          <w:p w14:paraId="7158A938" w14:textId="77777777" w:rsidR="00810FAC" w:rsidRPr="006A3C40" w:rsidRDefault="00810FAC" w:rsidP="00BF5472">
            <w:pPr>
              <w:pStyle w:val="TableText"/>
            </w:pPr>
            <w:r w:rsidRPr="006A3C40">
              <w:t>Tennessee</w:t>
            </w:r>
          </w:p>
        </w:tc>
        <w:tc>
          <w:tcPr>
            <w:tcW w:w="655" w:type="pct"/>
            <w:shd w:val="clear" w:color="auto" w:fill="auto"/>
            <w:noWrap/>
            <w:vAlign w:val="center"/>
          </w:tcPr>
          <w:p w14:paraId="7160B46A" w14:textId="77777777" w:rsidR="00810FAC" w:rsidRPr="00E3368B" w:rsidRDefault="00810FAC" w:rsidP="00BF5472">
            <w:pPr>
              <w:pStyle w:val="TableText"/>
              <w:rPr>
                <w:rFonts w:cs="Times New Roman"/>
              </w:rPr>
            </w:pPr>
            <w:r w:rsidRPr="00E3368B">
              <w:rPr>
                <w:rFonts w:cs="Times New Roman"/>
              </w:rPr>
              <w:t>320</w:t>
            </w:r>
          </w:p>
        </w:tc>
        <w:tc>
          <w:tcPr>
            <w:tcW w:w="657" w:type="pct"/>
            <w:shd w:val="clear" w:color="auto" w:fill="auto"/>
            <w:vAlign w:val="bottom"/>
          </w:tcPr>
          <w:p w14:paraId="25F63614" w14:textId="77777777" w:rsidR="00810FAC" w:rsidRPr="00E3368B" w:rsidRDefault="00810FAC" w:rsidP="00BF5472">
            <w:pPr>
              <w:pStyle w:val="TableText"/>
              <w:rPr>
                <w:rFonts w:cs="Times New Roman"/>
              </w:rPr>
            </w:pPr>
            <w:r w:rsidRPr="00212A46">
              <w:rPr>
                <w:rFonts w:cs="Times New Roman"/>
                <w:color w:val="000000"/>
              </w:rPr>
              <w:t>0.31%</w:t>
            </w:r>
          </w:p>
        </w:tc>
        <w:tc>
          <w:tcPr>
            <w:tcW w:w="657" w:type="pct"/>
          </w:tcPr>
          <w:p w14:paraId="71856292" w14:textId="77777777" w:rsidR="00810FAC" w:rsidRPr="00212A46" w:rsidRDefault="00810FAC" w:rsidP="00BF5472">
            <w:pPr>
              <w:pStyle w:val="TableText"/>
              <w:rPr>
                <w:rFonts w:cs="Times New Roman"/>
                <w:color w:val="000000"/>
              </w:rPr>
            </w:pPr>
            <w:r w:rsidRPr="00E3368B">
              <w:rPr>
                <w:rFonts w:cs="Times New Roman"/>
              </w:rPr>
              <w:t>4,586</w:t>
            </w:r>
          </w:p>
        </w:tc>
        <w:tc>
          <w:tcPr>
            <w:tcW w:w="657" w:type="pct"/>
          </w:tcPr>
          <w:p w14:paraId="25237BEB" w14:textId="77777777" w:rsidR="00810FAC" w:rsidRPr="00212A46" w:rsidRDefault="00810FAC" w:rsidP="00BF5472">
            <w:pPr>
              <w:pStyle w:val="TableText"/>
              <w:rPr>
                <w:rFonts w:cs="Times New Roman"/>
                <w:color w:val="000000"/>
              </w:rPr>
            </w:pPr>
            <w:r w:rsidRPr="00E3368B">
              <w:rPr>
                <w:rFonts w:cs="Times New Roman"/>
              </w:rPr>
              <w:t>4.26%</w:t>
            </w:r>
          </w:p>
        </w:tc>
        <w:tc>
          <w:tcPr>
            <w:tcW w:w="656" w:type="pct"/>
            <w:shd w:val="clear" w:color="auto" w:fill="auto"/>
            <w:noWrap/>
          </w:tcPr>
          <w:p w14:paraId="5D55AA08" w14:textId="77777777" w:rsidR="00810FAC" w:rsidRPr="00E3368B" w:rsidRDefault="00810FAC" w:rsidP="00BF5472">
            <w:pPr>
              <w:pStyle w:val="TableText"/>
              <w:rPr>
                <w:rFonts w:cs="Times New Roman"/>
              </w:rPr>
            </w:pPr>
            <w:r w:rsidRPr="00E3368B">
              <w:rPr>
                <w:rFonts w:cs="Times New Roman"/>
              </w:rPr>
              <w:t>8,503</w:t>
            </w:r>
          </w:p>
        </w:tc>
        <w:tc>
          <w:tcPr>
            <w:tcW w:w="654" w:type="pct"/>
            <w:shd w:val="clear" w:color="auto" w:fill="auto"/>
          </w:tcPr>
          <w:p w14:paraId="3A68CF92" w14:textId="77777777" w:rsidR="00810FAC" w:rsidRPr="00E3368B" w:rsidRDefault="00810FAC" w:rsidP="00BF5472">
            <w:pPr>
              <w:pStyle w:val="TableText"/>
              <w:rPr>
                <w:rFonts w:cs="Times New Roman"/>
              </w:rPr>
            </w:pPr>
            <w:r w:rsidRPr="00356568">
              <w:t>7.57%</w:t>
            </w:r>
          </w:p>
        </w:tc>
      </w:tr>
      <w:tr w:rsidR="00810FAC" w:rsidRPr="00D33008" w14:paraId="70F65909" w14:textId="77777777" w:rsidTr="00BF5472">
        <w:tc>
          <w:tcPr>
            <w:tcW w:w="1064" w:type="pct"/>
            <w:noWrap/>
            <w:vAlign w:val="center"/>
            <w:hideMark/>
          </w:tcPr>
          <w:p w14:paraId="4B4970A3" w14:textId="77777777" w:rsidR="00810FAC" w:rsidRPr="006A3C40" w:rsidRDefault="00810FAC" w:rsidP="00BF5472">
            <w:pPr>
              <w:pStyle w:val="TableText"/>
            </w:pPr>
            <w:r w:rsidRPr="006A3C40">
              <w:t>Texas</w:t>
            </w:r>
          </w:p>
        </w:tc>
        <w:tc>
          <w:tcPr>
            <w:tcW w:w="655" w:type="pct"/>
            <w:shd w:val="clear" w:color="auto" w:fill="auto"/>
            <w:noWrap/>
            <w:vAlign w:val="center"/>
          </w:tcPr>
          <w:p w14:paraId="5B72EF8F" w14:textId="77777777" w:rsidR="00810FAC" w:rsidRPr="00E3368B" w:rsidRDefault="00810FAC" w:rsidP="00BF5472">
            <w:pPr>
              <w:pStyle w:val="TableText"/>
              <w:rPr>
                <w:rFonts w:cs="Times New Roman"/>
              </w:rPr>
            </w:pPr>
            <w:r w:rsidRPr="00E3368B">
              <w:rPr>
                <w:rFonts w:cs="Times New Roman"/>
              </w:rPr>
              <w:t>801</w:t>
            </w:r>
          </w:p>
        </w:tc>
        <w:tc>
          <w:tcPr>
            <w:tcW w:w="657" w:type="pct"/>
            <w:shd w:val="clear" w:color="auto" w:fill="auto"/>
            <w:vAlign w:val="bottom"/>
          </w:tcPr>
          <w:p w14:paraId="635D32B0" w14:textId="77777777" w:rsidR="00810FAC" w:rsidRPr="00E3368B" w:rsidRDefault="00810FAC" w:rsidP="00BF5472">
            <w:pPr>
              <w:pStyle w:val="TableText"/>
              <w:rPr>
                <w:rFonts w:cs="Times New Roman"/>
              </w:rPr>
            </w:pPr>
            <w:r w:rsidRPr="00212A46">
              <w:rPr>
                <w:rFonts w:cs="Times New Roman"/>
                <w:color w:val="000000"/>
              </w:rPr>
              <w:t>0.20%</w:t>
            </w:r>
          </w:p>
        </w:tc>
        <w:tc>
          <w:tcPr>
            <w:tcW w:w="657" w:type="pct"/>
          </w:tcPr>
          <w:p w14:paraId="096E7FCE" w14:textId="77777777" w:rsidR="00810FAC" w:rsidRPr="00212A46" w:rsidRDefault="00810FAC" w:rsidP="00BF5472">
            <w:pPr>
              <w:pStyle w:val="TableText"/>
              <w:rPr>
                <w:rFonts w:cs="Times New Roman"/>
                <w:color w:val="000000"/>
              </w:rPr>
            </w:pPr>
            <w:r w:rsidRPr="00E3368B">
              <w:rPr>
                <w:rFonts w:cs="Times New Roman"/>
              </w:rPr>
              <w:t>16,359</w:t>
            </w:r>
          </w:p>
        </w:tc>
        <w:tc>
          <w:tcPr>
            <w:tcW w:w="657" w:type="pct"/>
          </w:tcPr>
          <w:p w14:paraId="6F29AA98" w14:textId="77777777" w:rsidR="00810FAC" w:rsidRPr="00212A46" w:rsidRDefault="00810FAC" w:rsidP="00BF5472">
            <w:pPr>
              <w:pStyle w:val="TableText"/>
              <w:rPr>
                <w:rFonts w:cs="Times New Roman"/>
                <w:color w:val="000000"/>
              </w:rPr>
            </w:pPr>
            <w:r w:rsidRPr="00E3368B">
              <w:rPr>
                <w:rFonts w:cs="Times New Roman"/>
              </w:rPr>
              <w:t>3.82%</w:t>
            </w:r>
          </w:p>
        </w:tc>
        <w:tc>
          <w:tcPr>
            <w:tcW w:w="656" w:type="pct"/>
            <w:shd w:val="clear" w:color="auto" w:fill="auto"/>
            <w:noWrap/>
          </w:tcPr>
          <w:p w14:paraId="2C82823B" w14:textId="77777777" w:rsidR="00810FAC" w:rsidRPr="00E3368B" w:rsidRDefault="00810FAC" w:rsidP="00BF5472">
            <w:pPr>
              <w:pStyle w:val="TableText"/>
              <w:rPr>
                <w:rFonts w:cs="Times New Roman"/>
              </w:rPr>
            </w:pPr>
            <w:r w:rsidRPr="00E3368B">
              <w:rPr>
                <w:rFonts w:cs="Times New Roman"/>
              </w:rPr>
              <w:t>32,959</w:t>
            </w:r>
          </w:p>
        </w:tc>
        <w:tc>
          <w:tcPr>
            <w:tcW w:w="654" w:type="pct"/>
            <w:shd w:val="clear" w:color="auto" w:fill="auto"/>
          </w:tcPr>
          <w:p w14:paraId="25CAD266" w14:textId="77777777" w:rsidR="00810FAC" w:rsidRPr="00E3368B" w:rsidRDefault="00810FAC" w:rsidP="00BF5472">
            <w:pPr>
              <w:pStyle w:val="TableText"/>
              <w:rPr>
                <w:rFonts w:cs="Times New Roman"/>
              </w:rPr>
            </w:pPr>
            <w:r w:rsidRPr="00356568">
              <w:t>7.32%</w:t>
            </w:r>
          </w:p>
        </w:tc>
      </w:tr>
      <w:tr w:rsidR="00810FAC" w:rsidRPr="00D33008" w14:paraId="3E6E582D" w14:textId="77777777" w:rsidTr="00BF5472">
        <w:tc>
          <w:tcPr>
            <w:tcW w:w="1064" w:type="pct"/>
            <w:noWrap/>
            <w:vAlign w:val="center"/>
            <w:hideMark/>
          </w:tcPr>
          <w:p w14:paraId="35C2A123" w14:textId="77777777" w:rsidR="00810FAC" w:rsidRPr="006A3C40" w:rsidRDefault="00810FAC" w:rsidP="00BF5472">
            <w:pPr>
              <w:pStyle w:val="TableText"/>
            </w:pPr>
            <w:r w:rsidRPr="006A3C40">
              <w:t>Utah</w:t>
            </w:r>
          </w:p>
        </w:tc>
        <w:tc>
          <w:tcPr>
            <w:tcW w:w="655" w:type="pct"/>
            <w:shd w:val="clear" w:color="auto" w:fill="auto"/>
            <w:noWrap/>
            <w:vAlign w:val="center"/>
          </w:tcPr>
          <w:p w14:paraId="06AC80BA" w14:textId="77777777" w:rsidR="00810FAC" w:rsidRPr="00E3368B" w:rsidRDefault="00810FAC" w:rsidP="00BF5472">
            <w:pPr>
              <w:pStyle w:val="TableText"/>
              <w:rPr>
                <w:rFonts w:cs="Times New Roman"/>
              </w:rPr>
            </w:pPr>
            <w:r w:rsidRPr="00E3368B">
              <w:rPr>
                <w:rFonts w:cs="Times New Roman"/>
              </w:rPr>
              <w:t>257</w:t>
            </w:r>
          </w:p>
        </w:tc>
        <w:tc>
          <w:tcPr>
            <w:tcW w:w="657" w:type="pct"/>
            <w:shd w:val="clear" w:color="auto" w:fill="auto"/>
            <w:vAlign w:val="bottom"/>
          </w:tcPr>
          <w:p w14:paraId="22D31E36" w14:textId="77777777" w:rsidR="00810FAC" w:rsidRPr="00E3368B" w:rsidRDefault="00810FAC" w:rsidP="00BF5472">
            <w:pPr>
              <w:pStyle w:val="TableText"/>
              <w:rPr>
                <w:rFonts w:cs="Times New Roman"/>
              </w:rPr>
            </w:pPr>
            <w:r w:rsidRPr="00212A46">
              <w:rPr>
                <w:rFonts w:cs="Times New Roman"/>
                <w:color w:val="000000"/>
              </w:rPr>
              <w:t>0.81%</w:t>
            </w:r>
          </w:p>
        </w:tc>
        <w:tc>
          <w:tcPr>
            <w:tcW w:w="657" w:type="pct"/>
          </w:tcPr>
          <w:p w14:paraId="183AD1C4" w14:textId="77777777" w:rsidR="00810FAC" w:rsidRPr="00212A46" w:rsidRDefault="00810FAC" w:rsidP="00BF5472">
            <w:pPr>
              <w:pStyle w:val="TableText"/>
              <w:rPr>
                <w:rFonts w:cs="Times New Roman"/>
                <w:color w:val="000000"/>
              </w:rPr>
            </w:pPr>
            <w:r w:rsidRPr="00E3368B">
              <w:rPr>
                <w:rFonts w:cs="Times New Roman"/>
              </w:rPr>
              <w:t>1,823</w:t>
            </w:r>
          </w:p>
        </w:tc>
        <w:tc>
          <w:tcPr>
            <w:tcW w:w="657" w:type="pct"/>
          </w:tcPr>
          <w:p w14:paraId="238DFF02" w14:textId="77777777" w:rsidR="00810FAC" w:rsidRPr="00212A46" w:rsidRDefault="00810FAC" w:rsidP="00BF5472">
            <w:pPr>
              <w:pStyle w:val="TableText"/>
              <w:rPr>
                <w:rFonts w:cs="Times New Roman"/>
                <w:color w:val="000000"/>
              </w:rPr>
            </w:pPr>
            <w:r w:rsidRPr="00E3368B">
              <w:rPr>
                <w:rFonts w:cs="Times New Roman"/>
              </w:rPr>
              <w:t>5.53%</w:t>
            </w:r>
          </w:p>
        </w:tc>
        <w:tc>
          <w:tcPr>
            <w:tcW w:w="656" w:type="pct"/>
            <w:shd w:val="clear" w:color="auto" w:fill="auto"/>
            <w:noWrap/>
          </w:tcPr>
          <w:p w14:paraId="197CA90D" w14:textId="77777777" w:rsidR="00810FAC" w:rsidRPr="00E3368B" w:rsidRDefault="00810FAC" w:rsidP="00BF5472">
            <w:pPr>
              <w:pStyle w:val="TableText"/>
              <w:rPr>
                <w:rFonts w:cs="Times New Roman"/>
              </w:rPr>
            </w:pPr>
            <w:r w:rsidRPr="00E3368B">
              <w:rPr>
                <w:rFonts w:cs="Times New Roman"/>
              </w:rPr>
              <w:t>2,789</w:t>
            </w:r>
          </w:p>
        </w:tc>
        <w:tc>
          <w:tcPr>
            <w:tcW w:w="654" w:type="pct"/>
            <w:shd w:val="clear" w:color="auto" w:fill="auto"/>
          </w:tcPr>
          <w:p w14:paraId="5E6E0979" w14:textId="77777777" w:rsidR="00810FAC" w:rsidRPr="00E3368B" w:rsidRDefault="00810FAC" w:rsidP="00BF5472">
            <w:pPr>
              <w:pStyle w:val="TableText"/>
              <w:rPr>
                <w:rFonts w:cs="Times New Roman"/>
              </w:rPr>
            </w:pPr>
            <w:r w:rsidRPr="00356568">
              <w:t>8.12%</w:t>
            </w:r>
          </w:p>
        </w:tc>
      </w:tr>
      <w:tr w:rsidR="00810FAC" w:rsidRPr="00D33008" w14:paraId="2431B5A5" w14:textId="77777777" w:rsidTr="00BF5472">
        <w:tc>
          <w:tcPr>
            <w:tcW w:w="1064" w:type="pct"/>
            <w:noWrap/>
            <w:vAlign w:val="center"/>
            <w:hideMark/>
          </w:tcPr>
          <w:p w14:paraId="2A397B6F" w14:textId="77777777" w:rsidR="00810FAC" w:rsidRPr="006A3C40" w:rsidRDefault="00810FAC" w:rsidP="00BF5472">
            <w:pPr>
              <w:pStyle w:val="TableText"/>
            </w:pPr>
            <w:r w:rsidRPr="006A3C40">
              <w:t>Vermont</w:t>
            </w:r>
          </w:p>
        </w:tc>
        <w:tc>
          <w:tcPr>
            <w:tcW w:w="655" w:type="pct"/>
            <w:shd w:val="clear" w:color="auto" w:fill="auto"/>
            <w:noWrap/>
          </w:tcPr>
          <w:p w14:paraId="7A4116EE" w14:textId="77777777" w:rsidR="00810FAC" w:rsidRPr="00E3368B" w:rsidRDefault="00810FAC" w:rsidP="00BF5472">
            <w:pPr>
              <w:pStyle w:val="TableText"/>
              <w:rPr>
                <w:rFonts w:cs="Times New Roman"/>
              </w:rPr>
            </w:pPr>
            <w:r w:rsidRPr="00E3368B">
              <w:rPr>
                <w:rFonts w:cs="Times New Roman"/>
              </w:rPr>
              <w:t>57</w:t>
            </w:r>
          </w:p>
        </w:tc>
        <w:tc>
          <w:tcPr>
            <w:tcW w:w="657" w:type="pct"/>
            <w:shd w:val="clear" w:color="auto" w:fill="auto"/>
            <w:vAlign w:val="bottom"/>
          </w:tcPr>
          <w:p w14:paraId="2E199ED9" w14:textId="77777777" w:rsidR="00810FAC" w:rsidRPr="00E3368B" w:rsidRDefault="00810FAC" w:rsidP="00BF5472">
            <w:pPr>
              <w:pStyle w:val="TableText"/>
              <w:rPr>
                <w:rFonts w:cs="Times New Roman"/>
              </w:rPr>
            </w:pPr>
            <w:r w:rsidRPr="00212A46">
              <w:rPr>
                <w:rFonts w:cs="Times New Roman"/>
                <w:color w:val="000000"/>
              </w:rPr>
              <w:t>1.00%</w:t>
            </w:r>
          </w:p>
        </w:tc>
        <w:tc>
          <w:tcPr>
            <w:tcW w:w="657" w:type="pct"/>
          </w:tcPr>
          <w:p w14:paraId="27EFC460" w14:textId="77777777" w:rsidR="00810FAC" w:rsidRPr="00212A46" w:rsidRDefault="00810FAC" w:rsidP="00BF5472">
            <w:pPr>
              <w:pStyle w:val="TableText"/>
              <w:rPr>
                <w:rFonts w:cs="Times New Roman"/>
                <w:color w:val="000000"/>
              </w:rPr>
            </w:pPr>
            <w:r w:rsidRPr="00E3368B">
              <w:rPr>
                <w:rFonts w:cs="Times New Roman"/>
              </w:rPr>
              <w:t>338</w:t>
            </w:r>
          </w:p>
        </w:tc>
        <w:tc>
          <w:tcPr>
            <w:tcW w:w="657" w:type="pct"/>
          </w:tcPr>
          <w:p w14:paraId="344D4CAD" w14:textId="77777777" w:rsidR="00810FAC" w:rsidRPr="00212A46" w:rsidRDefault="00810FAC" w:rsidP="00BF5472">
            <w:pPr>
              <w:pStyle w:val="TableText"/>
              <w:rPr>
                <w:rFonts w:cs="Times New Roman"/>
                <w:color w:val="000000"/>
              </w:rPr>
            </w:pPr>
            <w:r w:rsidRPr="00E3368B">
              <w:rPr>
                <w:rFonts w:cs="Times New Roman"/>
              </w:rPr>
              <w:t>5.77%</w:t>
            </w:r>
          </w:p>
        </w:tc>
        <w:tc>
          <w:tcPr>
            <w:tcW w:w="656" w:type="pct"/>
            <w:shd w:val="clear" w:color="auto" w:fill="auto"/>
            <w:noWrap/>
          </w:tcPr>
          <w:p w14:paraId="14834C5C" w14:textId="77777777" w:rsidR="00810FAC" w:rsidRPr="00E3368B" w:rsidRDefault="00810FAC" w:rsidP="00BF5472">
            <w:pPr>
              <w:pStyle w:val="TableText"/>
              <w:rPr>
                <w:rFonts w:cs="Times New Roman"/>
              </w:rPr>
            </w:pPr>
            <w:r w:rsidRPr="00E3368B">
              <w:rPr>
                <w:rFonts w:cs="Times New Roman"/>
              </w:rPr>
              <w:t>498</w:t>
            </w:r>
          </w:p>
        </w:tc>
        <w:tc>
          <w:tcPr>
            <w:tcW w:w="654" w:type="pct"/>
            <w:shd w:val="clear" w:color="auto" w:fill="auto"/>
          </w:tcPr>
          <w:p w14:paraId="0C153227" w14:textId="77777777" w:rsidR="00810FAC" w:rsidRPr="00E3368B" w:rsidRDefault="00810FAC" w:rsidP="00BF5472">
            <w:pPr>
              <w:pStyle w:val="TableText"/>
              <w:rPr>
                <w:rFonts w:cs="Times New Roman"/>
              </w:rPr>
            </w:pPr>
            <w:r w:rsidRPr="00356568">
              <w:t>8.34%</w:t>
            </w:r>
          </w:p>
        </w:tc>
      </w:tr>
      <w:tr w:rsidR="00810FAC" w:rsidRPr="00D33008" w14:paraId="43EE3932" w14:textId="77777777" w:rsidTr="00BF5472">
        <w:tc>
          <w:tcPr>
            <w:tcW w:w="1064" w:type="pct"/>
            <w:noWrap/>
            <w:vAlign w:val="center"/>
            <w:hideMark/>
          </w:tcPr>
          <w:p w14:paraId="22124C9E" w14:textId="77777777" w:rsidR="00810FAC" w:rsidRPr="006A3C40" w:rsidRDefault="00810FAC" w:rsidP="00BF5472">
            <w:pPr>
              <w:pStyle w:val="TableText"/>
            </w:pPr>
            <w:r w:rsidRPr="006A3C40">
              <w:t>Virginia</w:t>
            </w:r>
          </w:p>
        </w:tc>
        <w:tc>
          <w:tcPr>
            <w:tcW w:w="655" w:type="pct"/>
            <w:shd w:val="clear" w:color="auto" w:fill="auto"/>
            <w:noWrap/>
            <w:vAlign w:val="center"/>
          </w:tcPr>
          <w:p w14:paraId="3311FC6D" w14:textId="77777777" w:rsidR="00810FAC" w:rsidRPr="00E3368B" w:rsidRDefault="00810FAC" w:rsidP="00BF5472">
            <w:pPr>
              <w:pStyle w:val="TableText"/>
              <w:rPr>
                <w:rFonts w:cs="Times New Roman"/>
              </w:rPr>
            </w:pPr>
            <w:r w:rsidRPr="00E3368B">
              <w:rPr>
                <w:rFonts w:cs="Times New Roman"/>
              </w:rPr>
              <w:t>28</w:t>
            </w:r>
          </w:p>
        </w:tc>
        <w:tc>
          <w:tcPr>
            <w:tcW w:w="657" w:type="pct"/>
            <w:shd w:val="clear" w:color="auto" w:fill="auto"/>
            <w:vAlign w:val="bottom"/>
          </w:tcPr>
          <w:p w14:paraId="540DAFD2" w14:textId="77777777" w:rsidR="00810FAC" w:rsidRPr="00E3368B" w:rsidRDefault="00810FAC" w:rsidP="00BF5472">
            <w:pPr>
              <w:pStyle w:val="TableText"/>
              <w:rPr>
                <w:rFonts w:cs="Times New Roman"/>
              </w:rPr>
            </w:pPr>
            <w:r w:rsidRPr="00212A46">
              <w:rPr>
                <w:rFonts w:cs="Times New Roman"/>
                <w:color w:val="000000"/>
              </w:rPr>
              <w:t>0.02%</w:t>
            </w:r>
          </w:p>
        </w:tc>
        <w:tc>
          <w:tcPr>
            <w:tcW w:w="657" w:type="pct"/>
          </w:tcPr>
          <w:p w14:paraId="2C1EFD68" w14:textId="77777777" w:rsidR="00810FAC" w:rsidRPr="00212A46" w:rsidDel="003150F3" w:rsidRDefault="00810FAC" w:rsidP="00BF5472">
            <w:pPr>
              <w:pStyle w:val="TableText"/>
              <w:rPr>
                <w:rFonts w:cs="Times New Roman"/>
                <w:color w:val="000000"/>
              </w:rPr>
            </w:pPr>
            <w:r w:rsidRPr="00E3368B">
              <w:rPr>
                <w:rFonts w:cs="Times New Roman"/>
              </w:rPr>
              <w:t>3,707</w:t>
            </w:r>
          </w:p>
        </w:tc>
        <w:tc>
          <w:tcPr>
            <w:tcW w:w="657" w:type="pct"/>
          </w:tcPr>
          <w:p w14:paraId="3BEC4AC2" w14:textId="77777777" w:rsidR="00810FAC" w:rsidRPr="00212A46" w:rsidDel="003150F3" w:rsidRDefault="00810FAC" w:rsidP="00BF5472">
            <w:pPr>
              <w:pStyle w:val="TableText"/>
              <w:rPr>
                <w:rFonts w:cs="Times New Roman"/>
                <w:color w:val="000000"/>
              </w:rPr>
            </w:pPr>
            <w:r w:rsidRPr="00E3368B">
              <w:rPr>
                <w:rFonts w:cs="Times New Roman"/>
              </w:rPr>
              <w:t>3.02%</w:t>
            </w:r>
          </w:p>
        </w:tc>
        <w:tc>
          <w:tcPr>
            <w:tcW w:w="656" w:type="pct"/>
            <w:shd w:val="clear" w:color="auto" w:fill="auto"/>
            <w:noWrap/>
          </w:tcPr>
          <w:p w14:paraId="72FCD55B" w14:textId="77777777" w:rsidR="00810FAC" w:rsidRPr="00E3368B" w:rsidRDefault="00810FAC" w:rsidP="00BF5472">
            <w:pPr>
              <w:pStyle w:val="TableText"/>
              <w:rPr>
                <w:rFonts w:cs="Times New Roman"/>
              </w:rPr>
            </w:pPr>
            <w:r w:rsidRPr="00E3368B">
              <w:rPr>
                <w:rFonts w:cs="Times New Roman"/>
              </w:rPr>
              <w:t>8,907</w:t>
            </w:r>
          </w:p>
        </w:tc>
        <w:tc>
          <w:tcPr>
            <w:tcW w:w="654" w:type="pct"/>
            <w:shd w:val="clear" w:color="auto" w:fill="auto"/>
          </w:tcPr>
          <w:p w14:paraId="6891FEF0" w14:textId="77777777" w:rsidR="00810FAC" w:rsidRPr="00E3368B" w:rsidRDefault="00810FAC" w:rsidP="00BF5472">
            <w:pPr>
              <w:pStyle w:val="TableText"/>
              <w:rPr>
                <w:rFonts w:cs="Times New Roman"/>
              </w:rPr>
            </w:pPr>
            <w:r w:rsidRPr="00356568">
              <w:t>6.94%</w:t>
            </w:r>
          </w:p>
        </w:tc>
      </w:tr>
      <w:tr w:rsidR="00810FAC" w:rsidRPr="00D33008" w14:paraId="4A205B82" w14:textId="77777777" w:rsidTr="00BF5472">
        <w:tc>
          <w:tcPr>
            <w:tcW w:w="1064" w:type="pct"/>
            <w:noWrap/>
            <w:vAlign w:val="center"/>
            <w:hideMark/>
          </w:tcPr>
          <w:p w14:paraId="2514FE3F" w14:textId="77777777" w:rsidR="00810FAC" w:rsidRPr="006A3C40" w:rsidRDefault="00810FAC" w:rsidP="00BF5472">
            <w:pPr>
              <w:pStyle w:val="TableText"/>
            </w:pPr>
            <w:r w:rsidRPr="006A3C40">
              <w:t>Washington</w:t>
            </w:r>
          </w:p>
        </w:tc>
        <w:tc>
          <w:tcPr>
            <w:tcW w:w="655" w:type="pct"/>
            <w:shd w:val="clear" w:color="auto" w:fill="auto"/>
            <w:noWrap/>
            <w:vAlign w:val="center"/>
          </w:tcPr>
          <w:p w14:paraId="316A6A83" w14:textId="77777777" w:rsidR="00810FAC" w:rsidRPr="00E3368B" w:rsidRDefault="00810FAC" w:rsidP="00BF5472">
            <w:pPr>
              <w:pStyle w:val="TableText"/>
              <w:rPr>
                <w:rFonts w:cs="Times New Roman"/>
              </w:rPr>
            </w:pPr>
            <w:r w:rsidRPr="00E3368B">
              <w:rPr>
                <w:rFonts w:cs="Times New Roman"/>
              </w:rPr>
              <w:t>975</w:t>
            </w:r>
          </w:p>
        </w:tc>
        <w:tc>
          <w:tcPr>
            <w:tcW w:w="657" w:type="pct"/>
            <w:shd w:val="clear" w:color="auto" w:fill="auto"/>
            <w:vAlign w:val="bottom"/>
          </w:tcPr>
          <w:p w14:paraId="5A850332" w14:textId="77777777" w:rsidR="00810FAC" w:rsidRPr="00E3368B" w:rsidRDefault="00810FAC" w:rsidP="00BF5472">
            <w:pPr>
              <w:pStyle w:val="TableText"/>
              <w:rPr>
                <w:rFonts w:cs="Times New Roman"/>
              </w:rPr>
            </w:pPr>
            <w:r w:rsidRPr="00212A46">
              <w:rPr>
                <w:rFonts w:cs="Times New Roman"/>
                <w:color w:val="000000"/>
              </w:rPr>
              <w:t>0.99%</w:t>
            </w:r>
          </w:p>
        </w:tc>
        <w:tc>
          <w:tcPr>
            <w:tcW w:w="657" w:type="pct"/>
          </w:tcPr>
          <w:p w14:paraId="3BD88CAD" w14:textId="77777777" w:rsidR="00810FAC" w:rsidRPr="00212A46" w:rsidRDefault="00810FAC" w:rsidP="00BF5472">
            <w:pPr>
              <w:pStyle w:val="TableText"/>
              <w:rPr>
                <w:rFonts w:cs="Times New Roman"/>
                <w:color w:val="000000"/>
              </w:rPr>
            </w:pPr>
            <w:r w:rsidRPr="00E3368B">
              <w:rPr>
                <w:rFonts w:cs="Times New Roman"/>
              </w:rPr>
              <w:t>5,822</w:t>
            </w:r>
          </w:p>
        </w:tc>
        <w:tc>
          <w:tcPr>
            <w:tcW w:w="657" w:type="pct"/>
          </w:tcPr>
          <w:p w14:paraId="7D9997D2" w14:textId="77777777" w:rsidR="00810FAC" w:rsidRPr="00212A46" w:rsidRDefault="00810FAC" w:rsidP="00BF5472">
            <w:pPr>
              <w:pStyle w:val="TableText"/>
              <w:rPr>
                <w:rFonts w:cs="Times New Roman"/>
                <w:color w:val="000000"/>
              </w:rPr>
            </w:pPr>
            <w:r w:rsidRPr="00E3368B">
              <w:rPr>
                <w:rFonts w:cs="Times New Roman"/>
              </w:rPr>
              <w:t>5.69%</w:t>
            </w:r>
          </w:p>
        </w:tc>
        <w:tc>
          <w:tcPr>
            <w:tcW w:w="656" w:type="pct"/>
            <w:shd w:val="clear" w:color="auto" w:fill="auto"/>
            <w:noWrap/>
          </w:tcPr>
          <w:p w14:paraId="08623E5E" w14:textId="77777777" w:rsidR="00810FAC" w:rsidRPr="00E3368B" w:rsidRDefault="00810FAC" w:rsidP="00BF5472">
            <w:pPr>
              <w:pStyle w:val="TableText"/>
              <w:rPr>
                <w:rFonts w:cs="Times New Roman"/>
              </w:rPr>
            </w:pPr>
            <w:r w:rsidRPr="00E3368B">
              <w:rPr>
                <w:rFonts w:cs="Times New Roman"/>
              </w:rPr>
              <w:t>8,696</w:t>
            </w:r>
          </w:p>
        </w:tc>
        <w:tc>
          <w:tcPr>
            <w:tcW w:w="654" w:type="pct"/>
            <w:shd w:val="clear" w:color="auto" w:fill="auto"/>
          </w:tcPr>
          <w:p w14:paraId="3BFF3EFE" w14:textId="77777777" w:rsidR="00810FAC" w:rsidRPr="00E3368B" w:rsidRDefault="00810FAC" w:rsidP="00BF5472">
            <w:pPr>
              <w:pStyle w:val="TableText"/>
              <w:rPr>
                <w:rFonts w:cs="Times New Roman"/>
              </w:rPr>
            </w:pPr>
            <w:r w:rsidRPr="00356568">
              <w:t>8.17%</w:t>
            </w:r>
          </w:p>
        </w:tc>
      </w:tr>
      <w:tr w:rsidR="00810FAC" w:rsidRPr="00D33008" w14:paraId="3C53E443" w14:textId="77777777" w:rsidTr="00BF5472">
        <w:tc>
          <w:tcPr>
            <w:tcW w:w="1064" w:type="pct"/>
            <w:noWrap/>
            <w:vAlign w:val="center"/>
            <w:hideMark/>
          </w:tcPr>
          <w:p w14:paraId="56635DC5" w14:textId="77777777" w:rsidR="00810FAC" w:rsidRPr="006A3C40" w:rsidRDefault="00810FAC" w:rsidP="00BF5472">
            <w:pPr>
              <w:pStyle w:val="TableText"/>
            </w:pPr>
            <w:r w:rsidRPr="006A3C40">
              <w:t>West Virginia</w:t>
            </w:r>
          </w:p>
        </w:tc>
        <w:tc>
          <w:tcPr>
            <w:tcW w:w="655" w:type="pct"/>
            <w:shd w:val="clear" w:color="auto" w:fill="auto"/>
            <w:noWrap/>
          </w:tcPr>
          <w:p w14:paraId="3D113CB6" w14:textId="77777777" w:rsidR="00810FAC" w:rsidRPr="00E3368B" w:rsidRDefault="00810FAC" w:rsidP="00BF5472">
            <w:pPr>
              <w:pStyle w:val="TableText"/>
              <w:rPr>
                <w:rFonts w:cs="Times New Roman"/>
              </w:rPr>
            </w:pPr>
            <w:r w:rsidRPr="00E3368B">
              <w:rPr>
                <w:rFonts w:cs="Times New Roman"/>
              </w:rPr>
              <w:t>79</w:t>
            </w:r>
          </w:p>
        </w:tc>
        <w:tc>
          <w:tcPr>
            <w:tcW w:w="657" w:type="pct"/>
            <w:shd w:val="clear" w:color="auto" w:fill="auto"/>
            <w:vAlign w:val="bottom"/>
          </w:tcPr>
          <w:p w14:paraId="5952EC68" w14:textId="77777777" w:rsidR="00810FAC" w:rsidRPr="00E3368B" w:rsidRDefault="00810FAC" w:rsidP="00BF5472">
            <w:pPr>
              <w:pStyle w:val="TableText"/>
              <w:rPr>
                <w:rFonts w:cs="Times New Roman"/>
              </w:rPr>
            </w:pPr>
            <w:r w:rsidRPr="00212A46">
              <w:rPr>
                <w:rFonts w:cs="Times New Roman"/>
                <w:color w:val="000000"/>
              </w:rPr>
              <w:t>0.24%</w:t>
            </w:r>
          </w:p>
        </w:tc>
        <w:tc>
          <w:tcPr>
            <w:tcW w:w="657" w:type="pct"/>
          </w:tcPr>
          <w:p w14:paraId="5D4426E6" w14:textId="77777777" w:rsidR="00810FAC" w:rsidRPr="00212A46" w:rsidRDefault="00810FAC" w:rsidP="00BF5472">
            <w:pPr>
              <w:pStyle w:val="TableText"/>
              <w:rPr>
                <w:rFonts w:cs="Times New Roman"/>
                <w:color w:val="000000"/>
              </w:rPr>
            </w:pPr>
            <w:r w:rsidRPr="00E3368B">
              <w:rPr>
                <w:rFonts w:cs="Times New Roman"/>
              </w:rPr>
              <w:t>1,347</w:t>
            </w:r>
          </w:p>
        </w:tc>
        <w:tc>
          <w:tcPr>
            <w:tcW w:w="657" w:type="pct"/>
          </w:tcPr>
          <w:p w14:paraId="1A952C95" w14:textId="77777777" w:rsidR="00810FAC" w:rsidRPr="00212A46" w:rsidRDefault="00810FAC" w:rsidP="00BF5472">
            <w:pPr>
              <w:pStyle w:val="TableText"/>
              <w:rPr>
                <w:rFonts w:cs="Times New Roman"/>
                <w:color w:val="000000"/>
              </w:rPr>
            </w:pPr>
            <w:r w:rsidRPr="00E3368B">
              <w:rPr>
                <w:rFonts w:cs="Times New Roman"/>
              </w:rPr>
              <w:t>4.06%</w:t>
            </w:r>
          </w:p>
        </w:tc>
        <w:tc>
          <w:tcPr>
            <w:tcW w:w="656" w:type="pct"/>
            <w:shd w:val="clear" w:color="auto" w:fill="auto"/>
            <w:noWrap/>
          </w:tcPr>
          <w:p w14:paraId="67DC209A" w14:textId="77777777" w:rsidR="00810FAC" w:rsidRPr="00E3368B" w:rsidRDefault="00810FAC" w:rsidP="00BF5472">
            <w:pPr>
              <w:pStyle w:val="TableText"/>
              <w:rPr>
                <w:rFonts w:cs="Times New Roman"/>
              </w:rPr>
            </w:pPr>
            <w:r w:rsidRPr="00E3368B">
              <w:rPr>
                <w:rFonts w:cs="Times New Roman"/>
              </w:rPr>
              <w:t>2,580</w:t>
            </w:r>
          </w:p>
        </w:tc>
        <w:tc>
          <w:tcPr>
            <w:tcW w:w="654" w:type="pct"/>
            <w:shd w:val="clear" w:color="auto" w:fill="auto"/>
          </w:tcPr>
          <w:p w14:paraId="02DB90EF" w14:textId="77777777" w:rsidR="00810FAC" w:rsidRPr="00E3368B" w:rsidRDefault="00810FAC" w:rsidP="00BF5472">
            <w:pPr>
              <w:pStyle w:val="TableText"/>
              <w:rPr>
                <w:rFonts w:cs="Times New Roman"/>
              </w:rPr>
            </w:pPr>
            <w:r w:rsidRPr="00356568">
              <w:t>7.59%</w:t>
            </w:r>
          </w:p>
        </w:tc>
      </w:tr>
      <w:tr w:rsidR="00810FAC" w:rsidRPr="00D33008" w14:paraId="633D261C" w14:textId="77777777" w:rsidTr="00BF5472">
        <w:tc>
          <w:tcPr>
            <w:tcW w:w="1064" w:type="pct"/>
            <w:noWrap/>
            <w:vAlign w:val="center"/>
            <w:hideMark/>
          </w:tcPr>
          <w:p w14:paraId="7968A419" w14:textId="77777777" w:rsidR="00810FAC" w:rsidRPr="006A3C40" w:rsidRDefault="00810FAC" w:rsidP="00BF5472">
            <w:pPr>
              <w:pStyle w:val="TableText"/>
            </w:pPr>
            <w:r w:rsidRPr="006A3C40">
              <w:t>Wisconsin</w:t>
            </w:r>
          </w:p>
        </w:tc>
        <w:tc>
          <w:tcPr>
            <w:tcW w:w="655" w:type="pct"/>
            <w:shd w:val="clear" w:color="auto" w:fill="auto"/>
            <w:noWrap/>
            <w:vAlign w:val="center"/>
          </w:tcPr>
          <w:p w14:paraId="3E6C480C" w14:textId="77777777" w:rsidR="00810FAC" w:rsidRPr="00E3368B" w:rsidRDefault="00810FAC" w:rsidP="00BF5472">
            <w:pPr>
              <w:pStyle w:val="TableText"/>
              <w:rPr>
                <w:rFonts w:cs="Times New Roman"/>
              </w:rPr>
            </w:pPr>
            <w:r w:rsidRPr="00E3368B">
              <w:rPr>
                <w:rFonts w:cs="Times New Roman"/>
              </w:rPr>
              <w:t>710</w:t>
            </w:r>
          </w:p>
        </w:tc>
        <w:tc>
          <w:tcPr>
            <w:tcW w:w="657" w:type="pct"/>
            <w:shd w:val="clear" w:color="auto" w:fill="auto"/>
            <w:vAlign w:val="bottom"/>
          </w:tcPr>
          <w:p w14:paraId="5B14BCAA" w14:textId="77777777" w:rsidR="00810FAC" w:rsidRPr="00E3368B" w:rsidRDefault="00810FAC" w:rsidP="00BF5472">
            <w:pPr>
              <w:pStyle w:val="TableText"/>
              <w:rPr>
                <w:rFonts w:cs="Times New Roman"/>
              </w:rPr>
            </w:pPr>
            <w:r w:rsidRPr="00212A46">
              <w:rPr>
                <w:rFonts w:cs="Times New Roman"/>
                <w:color w:val="000000"/>
              </w:rPr>
              <w:t>1.00%</w:t>
            </w:r>
          </w:p>
        </w:tc>
        <w:tc>
          <w:tcPr>
            <w:tcW w:w="657" w:type="pct"/>
          </w:tcPr>
          <w:p w14:paraId="4596AA76" w14:textId="77777777" w:rsidR="00810FAC" w:rsidRPr="00212A46" w:rsidDel="007C780B" w:rsidRDefault="00810FAC" w:rsidP="00BF5472">
            <w:pPr>
              <w:pStyle w:val="TableText"/>
              <w:rPr>
                <w:rFonts w:cs="Times New Roman"/>
                <w:color w:val="000000"/>
              </w:rPr>
            </w:pPr>
            <w:r w:rsidRPr="00E3368B">
              <w:rPr>
                <w:rFonts w:cs="Times New Roman"/>
              </w:rPr>
              <w:t>4,201</w:t>
            </w:r>
          </w:p>
        </w:tc>
        <w:tc>
          <w:tcPr>
            <w:tcW w:w="657" w:type="pct"/>
          </w:tcPr>
          <w:p w14:paraId="40164F80" w14:textId="77777777" w:rsidR="00810FAC" w:rsidRPr="00212A46" w:rsidDel="007C780B" w:rsidRDefault="00810FAC" w:rsidP="00BF5472">
            <w:pPr>
              <w:pStyle w:val="TableText"/>
              <w:rPr>
                <w:rFonts w:cs="Times New Roman"/>
                <w:color w:val="000000"/>
              </w:rPr>
            </w:pPr>
            <w:r w:rsidRPr="00E3368B">
              <w:rPr>
                <w:rFonts w:cs="Times New Roman"/>
              </w:rPr>
              <w:t>5.76%</w:t>
            </w:r>
          </w:p>
        </w:tc>
        <w:tc>
          <w:tcPr>
            <w:tcW w:w="656" w:type="pct"/>
            <w:shd w:val="clear" w:color="auto" w:fill="auto"/>
            <w:noWrap/>
          </w:tcPr>
          <w:p w14:paraId="32F4CB26" w14:textId="77777777" w:rsidR="00810FAC" w:rsidRPr="00E3368B" w:rsidRDefault="00810FAC" w:rsidP="00BF5472">
            <w:pPr>
              <w:pStyle w:val="TableText"/>
              <w:rPr>
                <w:rFonts w:cs="Times New Roman"/>
              </w:rPr>
            </w:pPr>
            <w:r w:rsidRPr="00E3368B">
              <w:rPr>
                <w:rFonts w:cs="Times New Roman"/>
              </w:rPr>
              <w:t>6,197</w:t>
            </w:r>
          </w:p>
        </w:tc>
        <w:tc>
          <w:tcPr>
            <w:tcW w:w="654" w:type="pct"/>
            <w:shd w:val="clear" w:color="auto" w:fill="auto"/>
          </w:tcPr>
          <w:p w14:paraId="74224EFD" w14:textId="77777777" w:rsidR="00810FAC" w:rsidRPr="00E3368B" w:rsidRDefault="00810FAC" w:rsidP="00BF5472">
            <w:pPr>
              <w:pStyle w:val="TableText"/>
              <w:rPr>
                <w:rFonts w:cs="Times New Roman"/>
              </w:rPr>
            </w:pPr>
            <w:r w:rsidRPr="00356568">
              <w:t>8.31%</w:t>
            </w:r>
          </w:p>
        </w:tc>
      </w:tr>
      <w:tr w:rsidR="00810FAC" w:rsidRPr="00D33008" w14:paraId="4CD212D1" w14:textId="77777777" w:rsidTr="00BF5472">
        <w:tc>
          <w:tcPr>
            <w:tcW w:w="1064" w:type="pct"/>
            <w:noWrap/>
            <w:vAlign w:val="center"/>
          </w:tcPr>
          <w:p w14:paraId="3BEBF715" w14:textId="77777777" w:rsidR="00810FAC" w:rsidRPr="006A3C40" w:rsidRDefault="00810FAC" w:rsidP="00BF5472">
            <w:pPr>
              <w:pStyle w:val="TableText"/>
            </w:pPr>
            <w:r>
              <w:t>Wyoming</w:t>
            </w:r>
          </w:p>
        </w:tc>
        <w:tc>
          <w:tcPr>
            <w:tcW w:w="655" w:type="pct"/>
            <w:shd w:val="clear" w:color="auto" w:fill="auto"/>
            <w:noWrap/>
            <w:vAlign w:val="center"/>
          </w:tcPr>
          <w:p w14:paraId="6672C495" w14:textId="77777777" w:rsidR="00810FAC" w:rsidRPr="00E3368B" w:rsidRDefault="00810FAC" w:rsidP="00BF5472">
            <w:pPr>
              <w:pStyle w:val="TableText"/>
              <w:rPr>
                <w:rFonts w:cs="Times New Roman"/>
              </w:rPr>
            </w:pPr>
            <w:r w:rsidRPr="00E3368B">
              <w:rPr>
                <w:rFonts w:cs="Times New Roman"/>
              </w:rPr>
              <w:t>31</w:t>
            </w:r>
          </w:p>
        </w:tc>
        <w:tc>
          <w:tcPr>
            <w:tcW w:w="657" w:type="pct"/>
            <w:shd w:val="clear" w:color="auto" w:fill="auto"/>
            <w:vAlign w:val="bottom"/>
          </w:tcPr>
          <w:p w14:paraId="5BEC6DCE" w14:textId="77777777" w:rsidR="00810FAC" w:rsidRPr="00E3368B" w:rsidRDefault="00810FAC" w:rsidP="00BF5472">
            <w:pPr>
              <w:pStyle w:val="TableText"/>
              <w:rPr>
                <w:rFonts w:cs="Times New Roman"/>
              </w:rPr>
            </w:pPr>
            <w:r w:rsidRPr="00FB650A">
              <w:rPr>
                <w:rFonts w:cs="Times New Roman"/>
                <w:color w:val="000000"/>
              </w:rPr>
              <w:t>0.17%</w:t>
            </w:r>
          </w:p>
        </w:tc>
        <w:tc>
          <w:tcPr>
            <w:tcW w:w="657" w:type="pct"/>
          </w:tcPr>
          <w:p w14:paraId="183D6456" w14:textId="77777777" w:rsidR="00810FAC" w:rsidRPr="00FB650A" w:rsidDel="007C780B" w:rsidRDefault="00810FAC" w:rsidP="00BF5472">
            <w:pPr>
              <w:pStyle w:val="TableText"/>
              <w:rPr>
                <w:rFonts w:cs="Times New Roman"/>
                <w:color w:val="000000"/>
              </w:rPr>
            </w:pPr>
            <w:r w:rsidRPr="00E3368B">
              <w:rPr>
                <w:rFonts w:cs="Times New Roman"/>
              </w:rPr>
              <w:t>700</w:t>
            </w:r>
          </w:p>
        </w:tc>
        <w:tc>
          <w:tcPr>
            <w:tcW w:w="657" w:type="pct"/>
          </w:tcPr>
          <w:p w14:paraId="063EEB52" w14:textId="77777777" w:rsidR="00810FAC" w:rsidRPr="00FB650A" w:rsidDel="007C780B" w:rsidRDefault="00810FAC" w:rsidP="00BF5472">
            <w:pPr>
              <w:pStyle w:val="TableText"/>
              <w:rPr>
                <w:rFonts w:cs="Times New Roman"/>
                <w:color w:val="000000"/>
              </w:rPr>
            </w:pPr>
            <w:r w:rsidRPr="00E3368B">
              <w:rPr>
                <w:rFonts w:cs="Times New Roman"/>
              </w:rPr>
              <w:t>3.73%</w:t>
            </w:r>
          </w:p>
        </w:tc>
        <w:tc>
          <w:tcPr>
            <w:tcW w:w="656" w:type="pct"/>
            <w:shd w:val="clear" w:color="auto" w:fill="auto"/>
            <w:noWrap/>
          </w:tcPr>
          <w:p w14:paraId="36D6657B" w14:textId="77777777" w:rsidR="00810FAC" w:rsidRPr="00E3368B" w:rsidRDefault="00810FAC" w:rsidP="00BF5472">
            <w:pPr>
              <w:pStyle w:val="TableText"/>
              <w:rPr>
                <w:rFonts w:cs="Times New Roman"/>
              </w:rPr>
            </w:pPr>
            <w:r w:rsidRPr="00E3368B">
              <w:rPr>
                <w:rFonts w:cs="Times New Roman"/>
              </w:rPr>
              <w:t>1,433</w:t>
            </w:r>
          </w:p>
        </w:tc>
        <w:tc>
          <w:tcPr>
            <w:tcW w:w="654" w:type="pct"/>
            <w:shd w:val="clear" w:color="auto" w:fill="auto"/>
          </w:tcPr>
          <w:p w14:paraId="59FFFE77" w14:textId="77777777" w:rsidR="00810FAC" w:rsidRPr="00E3368B" w:rsidRDefault="00810FAC" w:rsidP="00BF5472">
            <w:pPr>
              <w:pStyle w:val="TableText"/>
              <w:rPr>
                <w:rFonts w:cs="Times New Roman"/>
              </w:rPr>
            </w:pPr>
            <w:r w:rsidRPr="00356568">
              <w:t>7.33%</w:t>
            </w:r>
          </w:p>
        </w:tc>
      </w:tr>
      <w:tr w:rsidR="00810FAC" w:rsidRPr="00D33008" w14:paraId="7C75DC5F" w14:textId="77777777" w:rsidTr="00BF5472">
        <w:tc>
          <w:tcPr>
            <w:tcW w:w="1064" w:type="pct"/>
            <w:noWrap/>
            <w:vAlign w:val="center"/>
          </w:tcPr>
          <w:p w14:paraId="3228B1DF" w14:textId="77777777" w:rsidR="00810FAC" w:rsidRPr="006A3C40" w:rsidRDefault="00810FAC" w:rsidP="00BF5472">
            <w:pPr>
              <w:pStyle w:val="TableText"/>
            </w:pPr>
            <w:r>
              <w:t>Navajo</w:t>
            </w:r>
          </w:p>
        </w:tc>
        <w:tc>
          <w:tcPr>
            <w:tcW w:w="655" w:type="pct"/>
            <w:shd w:val="clear" w:color="auto" w:fill="auto"/>
            <w:noWrap/>
            <w:vAlign w:val="center"/>
          </w:tcPr>
          <w:p w14:paraId="5E3C7899" w14:textId="77777777" w:rsidR="00810FAC" w:rsidRPr="00E3368B" w:rsidRDefault="00810FAC" w:rsidP="00BF5472">
            <w:pPr>
              <w:pStyle w:val="TableText"/>
              <w:rPr>
                <w:rFonts w:cs="Times New Roman"/>
              </w:rPr>
            </w:pPr>
            <w:r w:rsidRPr="00E3368B">
              <w:rPr>
                <w:rFonts w:cs="Times New Roman"/>
              </w:rPr>
              <w:t>0</w:t>
            </w:r>
          </w:p>
        </w:tc>
        <w:tc>
          <w:tcPr>
            <w:tcW w:w="657" w:type="pct"/>
            <w:shd w:val="clear" w:color="auto" w:fill="auto"/>
            <w:vAlign w:val="bottom"/>
          </w:tcPr>
          <w:p w14:paraId="50EB7573" w14:textId="77777777" w:rsidR="00810FAC" w:rsidRPr="00E3368B" w:rsidRDefault="00810FAC" w:rsidP="00BF5472">
            <w:pPr>
              <w:pStyle w:val="TableText"/>
              <w:rPr>
                <w:rFonts w:cs="Times New Roman"/>
              </w:rPr>
            </w:pPr>
            <w:r w:rsidRPr="00FB650A">
              <w:rPr>
                <w:rFonts w:cs="Times New Roman"/>
                <w:color w:val="000000"/>
              </w:rPr>
              <w:t>0.00%</w:t>
            </w:r>
          </w:p>
        </w:tc>
        <w:tc>
          <w:tcPr>
            <w:tcW w:w="657" w:type="pct"/>
          </w:tcPr>
          <w:p w14:paraId="74059DE2" w14:textId="77777777" w:rsidR="00810FAC" w:rsidRPr="00FB650A" w:rsidDel="007C780B" w:rsidRDefault="00810FAC" w:rsidP="00BF5472">
            <w:pPr>
              <w:pStyle w:val="TableText"/>
              <w:rPr>
                <w:rFonts w:cs="Times New Roman"/>
                <w:color w:val="000000"/>
              </w:rPr>
            </w:pPr>
            <w:r w:rsidRPr="00E3368B">
              <w:rPr>
                <w:rFonts w:cs="Times New Roman"/>
              </w:rPr>
              <w:t>21</w:t>
            </w:r>
          </w:p>
        </w:tc>
        <w:tc>
          <w:tcPr>
            <w:tcW w:w="657" w:type="pct"/>
          </w:tcPr>
          <w:p w14:paraId="1686D087" w14:textId="77777777" w:rsidR="00810FAC" w:rsidRPr="00FB650A" w:rsidDel="007C780B" w:rsidRDefault="00810FAC" w:rsidP="00BF5472">
            <w:pPr>
              <w:pStyle w:val="TableText"/>
              <w:rPr>
                <w:rFonts w:cs="Times New Roman"/>
                <w:color w:val="000000"/>
              </w:rPr>
            </w:pPr>
            <w:r w:rsidRPr="00E3368B">
              <w:rPr>
                <w:rFonts w:cs="Times New Roman"/>
              </w:rPr>
              <w:t>2.90%</w:t>
            </w:r>
          </w:p>
        </w:tc>
        <w:tc>
          <w:tcPr>
            <w:tcW w:w="656" w:type="pct"/>
            <w:shd w:val="clear" w:color="auto" w:fill="auto"/>
            <w:noWrap/>
          </w:tcPr>
          <w:p w14:paraId="4CFA9466" w14:textId="77777777" w:rsidR="00810FAC" w:rsidRPr="00E3368B" w:rsidRDefault="00810FAC" w:rsidP="00BF5472">
            <w:pPr>
              <w:pStyle w:val="TableText"/>
              <w:rPr>
                <w:rFonts w:cs="Times New Roman"/>
              </w:rPr>
            </w:pPr>
            <w:r w:rsidRPr="00E3368B">
              <w:rPr>
                <w:rFonts w:cs="Times New Roman"/>
              </w:rPr>
              <w:t>53</w:t>
            </w:r>
          </w:p>
        </w:tc>
        <w:tc>
          <w:tcPr>
            <w:tcW w:w="654" w:type="pct"/>
            <w:shd w:val="clear" w:color="auto" w:fill="auto"/>
          </w:tcPr>
          <w:p w14:paraId="441BE03A" w14:textId="77777777" w:rsidR="00810FAC" w:rsidRPr="00E3368B" w:rsidRDefault="00810FAC" w:rsidP="00BF5472">
            <w:pPr>
              <w:pStyle w:val="TableText"/>
              <w:rPr>
                <w:rFonts w:cs="Times New Roman"/>
              </w:rPr>
            </w:pPr>
            <w:r w:rsidRPr="00356568">
              <w:t>6.85%</w:t>
            </w:r>
          </w:p>
        </w:tc>
      </w:tr>
      <w:tr w:rsidR="00810FAC" w:rsidRPr="00D33008" w14:paraId="214F4463" w14:textId="77777777" w:rsidTr="00BF5472">
        <w:tc>
          <w:tcPr>
            <w:tcW w:w="1064" w:type="pct"/>
            <w:noWrap/>
            <w:vAlign w:val="center"/>
          </w:tcPr>
          <w:p w14:paraId="50941768" w14:textId="77777777" w:rsidR="00810FAC" w:rsidRDefault="00810FAC" w:rsidP="00BF5472">
            <w:pPr>
              <w:pStyle w:val="TableText"/>
            </w:pPr>
            <w:r>
              <w:t>Ute</w:t>
            </w:r>
          </w:p>
        </w:tc>
        <w:tc>
          <w:tcPr>
            <w:tcW w:w="655" w:type="pct"/>
            <w:shd w:val="clear" w:color="auto" w:fill="auto"/>
            <w:noWrap/>
            <w:vAlign w:val="center"/>
          </w:tcPr>
          <w:p w14:paraId="5C52C406" w14:textId="77777777" w:rsidR="00810FAC" w:rsidRPr="00E3368B" w:rsidRDefault="00810FAC" w:rsidP="00BF5472">
            <w:pPr>
              <w:pStyle w:val="TableText"/>
              <w:rPr>
                <w:rFonts w:cs="Times New Roman"/>
              </w:rPr>
            </w:pPr>
            <w:r w:rsidRPr="00E3368B">
              <w:rPr>
                <w:rFonts w:cs="Times New Roman"/>
              </w:rPr>
              <w:t>0</w:t>
            </w:r>
          </w:p>
        </w:tc>
        <w:tc>
          <w:tcPr>
            <w:tcW w:w="657" w:type="pct"/>
            <w:shd w:val="clear" w:color="auto" w:fill="auto"/>
            <w:vAlign w:val="bottom"/>
          </w:tcPr>
          <w:p w14:paraId="6E3712D0" w14:textId="77777777" w:rsidR="00810FAC" w:rsidRPr="00E3368B" w:rsidRDefault="00810FAC" w:rsidP="00BF5472">
            <w:pPr>
              <w:pStyle w:val="TableText"/>
              <w:rPr>
                <w:rFonts w:cs="Times New Roman"/>
              </w:rPr>
            </w:pPr>
            <w:r w:rsidRPr="00FB650A">
              <w:rPr>
                <w:rFonts w:cs="Times New Roman"/>
                <w:color w:val="000000"/>
              </w:rPr>
              <w:t>0.00%</w:t>
            </w:r>
          </w:p>
        </w:tc>
        <w:tc>
          <w:tcPr>
            <w:tcW w:w="657" w:type="pct"/>
          </w:tcPr>
          <w:p w14:paraId="51D9A056" w14:textId="77777777" w:rsidR="00810FAC" w:rsidRPr="00FB650A" w:rsidDel="007C780B" w:rsidRDefault="00810FAC" w:rsidP="00BF5472">
            <w:pPr>
              <w:pStyle w:val="TableText"/>
              <w:rPr>
                <w:rFonts w:cs="Times New Roman"/>
                <w:color w:val="000000"/>
              </w:rPr>
            </w:pPr>
            <w:r w:rsidRPr="00E3368B">
              <w:rPr>
                <w:rFonts w:cs="Times New Roman"/>
              </w:rPr>
              <w:t>17</w:t>
            </w:r>
          </w:p>
        </w:tc>
        <w:tc>
          <w:tcPr>
            <w:tcW w:w="657" w:type="pct"/>
          </w:tcPr>
          <w:p w14:paraId="24E8D6F0" w14:textId="77777777" w:rsidR="00810FAC" w:rsidRPr="00FB650A" w:rsidDel="007C780B" w:rsidRDefault="00810FAC" w:rsidP="00BF5472">
            <w:pPr>
              <w:pStyle w:val="TableText"/>
              <w:rPr>
                <w:rFonts w:cs="Times New Roman"/>
                <w:color w:val="000000"/>
              </w:rPr>
            </w:pPr>
            <w:r w:rsidRPr="00E3368B">
              <w:rPr>
                <w:rFonts w:cs="Times New Roman"/>
              </w:rPr>
              <w:t>2.91%</w:t>
            </w:r>
          </w:p>
        </w:tc>
        <w:tc>
          <w:tcPr>
            <w:tcW w:w="656" w:type="pct"/>
            <w:shd w:val="clear" w:color="auto" w:fill="auto"/>
            <w:noWrap/>
          </w:tcPr>
          <w:p w14:paraId="138A8AE9" w14:textId="77777777" w:rsidR="00810FAC" w:rsidRPr="00E3368B" w:rsidRDefault="00810FAC" w:rsidP="00BF5472">
            <w:pPr>
              <w:pStyle w:val="TableText"/>
              <w:rPr>
                <w:rFonts w:cs="Times New Roman"/>
              </w:rPr>
            </w:pPr>
            <w:r w:rsidRPr="00E3368B">
              <w:rPr>
                <w:rFonts w:cs="Times New Roman"/>
              </w:rPr>
              <w:t>41</w:t>
            </w:r>
          </w:p>
        </w:tc>
        <w:tc>
          <w:tcPr>
            <w:tcW w:w="654" w:type="pct"/>
            <w:shd w:val="clear" w:color="auto" w:fill="auto"/>
          </w:tcPr>
          <w:p w14:paraId="44FFB854" w14:textId="77777777" w:rsidR="00810FAC" w:rsidRPr="00E3368B" w:rsidRDefault="00810FAC" w:rsidP="00BF5472">
            <w:pPr>
              <w:pStyle w:val="TableText"/>
              <w:rPr>
                <w:rFonts w:cs="Times New Roman"/>
              </w:rPr>
            </w:pPr>
            <w:r w:rsidRPr="00356568">
              <w:t>6.90%</w:t>
            </w:r>
          </w:p>
        </w:tc>
      </w:tr>
      <w:tr w:rsidR="00810FAC" w:rsidRPr="00D33008" w14:paraId="6DFC51BD" w14:textId="77777777" w:rsidTr="00BF5472">
        <w:tc>
          <w:tcPr>
            <w:tcW w:w="1064" w:type="pct"/>
            <w:noWrap/>
            <w:vAlign w:val="center"/>
            <w:hideMark/>
          </w:tcPr>
          <w:p w14:paraId="78FF4395" w14:textId="77777777" w:rsidR="00810FAC" w:rsidRPr="006A3C40" w:rsidRDefault="00810FAC" w:rsidP="00BF5472">
            <w:pPr>
              <w:pStyle w:val="TableText"/>
            </w:pPr>
            <w:r>
              <w:t>Fort Mojave</w:t>
            </w:r>
          </w:p>
        </w:tc>
        <w:tc>
          <w:tcPr>
            <w:tcW w:w="655" w:type="pct"/>
            <w:shd w:val="clear" w:color="auto" w:fill="auto"/>
            <w:noWrap/>
            <w:vAlign w:val="center"/>
          </w:tcPr>
          <w:p w14:paraId="73D09F1D" w14:textId="77777777" w:rsidR="00810FAC" w:rsidRPr="00E3368B" w:rsidRDefault="00810FAC" w:rsidP="00BF5472">
            <w:pPr>
              <w:pStyle w:val="TableText"/>
              <w:rPr>
                <w:rFonts w:cs="Times New Roman"/>
              </w:rPr>
            </w:pPr>
            <w:r w:rsidRPr="00E3368B">
              <w:rPr>
                <w:rFonts w:cs="Times New Roman"/>
              </w:rPr>
              <w:t>0</w:t>
            </w:r>
          </w:p>
        </w:tc>
        <w:tc>
          <w:tcPr>
            <w:tcW w:w="657" w:type="pct"/>
            <w:shd w:val="clear" w:color="auto" w:fill="auto"/>
            <w:vAlign w:val="bottom"/>
          </w:tcPr>
          <w:p w14:paraId="257522A2" w14:textId="77777777" w:rsidR="00810FAC" w:rsidRPr="00E3368B" w:rsidRDefault="00810FAC" w:rsidP="00BF5472">
            <w:pPr>
              <w:pStyle w:val="TableText"/>
              <w:rPr>
                <w:rFonts w:cs="Times New Roman"/>
              </w:rPr>
            </w:pPr>
            <w:r w:rsidRPr="00FB650A">
              <w:rPr>
                <w:rFonts w:cs="Times New Roman"/>
                <w:color w:val="000000"/>
              </w:rPr>
              <w:t>0.00%</w:t>
            </w:r>
          </w:p>
        </w:tc>
        <w:tc>
          <w:tcPr>
            <w:tcW w:w="657" w:type="pct"/>
          </w:tcPr>
          <w:p w14:paraId="19BE6783" w14:textId="77777777" w:rsidR="00810FAC" w:rsidRPr="00FB650A" w:rsidRDefault="00810FAC" w:rsidP="00BF5472">
            <w:pPr>
              <w:pStyle w:val="TableText"/>
              <w:rPr>
                <w:rFonts w:cs="Times New Roman"/>
                <w:color w:val="000000"/>
              </w:rPr>
            </w:pPr>
            <w:r w:rsidRPr="00E3368B">
              <w:rPr>
                <w:rFonts w:cs="Times New Roman"/>
              </w:rPr>
              <w:t>2</w:t>
            </w:r>
          </w:p>
        </w:tc>
        <w:tc>
          <w:tcPr>
            <w:tcW w:w="657" w:type="pct"/>
          </w:tcPr>
          <w:p w14:paraId="3895CB15" w14:textId="77777777" w:rsidR="00810FAC" w:rsidRPr="00FB650A" w:rsidRDefault="00810FAC" w:rsidP="00BF5472">
            <w:pPr>
              <w:pStyle w:val="TableText"/>
              <w:rPr>
                <w:rFonts w:cs="Times New Roman"/>
                <w:color w:val="000000"/>
              </w:rPr>
            </w:pPr>
            <w:r w:rsidRPr="00E3368B">
              <w:rPr>
                <w:rFonts w:cs="Times New Roman"/>
              </w:rPr>
              <w:t>2.90%</w:t>
            </w:r>
          </w:p>
        </w:tc>
        <w:tc>
          <w:tcPr>
            <w:tcW w:w="656" w:type="pct"/>
            <w:shd w:val="clear" w:color="auto" w:fill="auto"/>
            <w:noWrap/>
          </w:tcPr>
          <w:p w14:paraId="659CAAD6" w14:textId="77777777" w:rsidR="00810FAC" w:rsidRPr="00E3368B" w:rsidRDefault="00810FAC" w:rsidP="00BF5472">
            <w:pPr>
              <w:pStyle w:val="TableText"/>
              <w:rPr>
                <w:rFonts w:cs="Times New Roman"/>
              </w:rPr>
            </w:pPr>
            <w:r w:rsidRPr="00E3368B">
              <w:rPr>
                <w:rFonts w:cs="Times New Roman"/>
              </w:rPr>
              <w:t>4</w:t>
            </w:r>
          </w:p>
        </w:tc>
        <w:tc>
          <w:tcPr>
            <w:tcW w:w="654" w:type="pct"/>
            <w:shd w:val="clear" w:color="auto" w:fill="auto"/>
          </w:tcPr>
          <w:p w14:paraId="4652B526" w14:textId="77777777" w:rsidR="00810FAC" w:rsidRPr="00E3368B" w:rsidRDefault="00810FAC" w:rsidP="00BF5472">
            <w:pPr>
              <w:pStyle w:val="TableText"/>
              <w:rPr>
                <w:rFonts w:cs="Times New Roman"/>
              </w:rPr>
            </w:pPr>
            <w:r w:rsidRPr="00356568">
              <w:t>6.85%</w:t>
            </w:r>
          </w:p>
        </w:tc>
      </w:tr>
      <w:tr w:rsidR="00810FAC" w:rsidRPr="00D33008" w14:paraId="0995BAE9" w14:textId="77777777" w:rsidTr="00BF5472">
        <w:tc>
          <w:tcPr>
            <w:tcW w:w="1064" w:type="pct"/>
            <w:shd w:val="clear" w:color="auto" w:fill="D9D9D9" w:themeFill="background1" w:themeFillShade="D9"/>
            <w:noWrap/>
            <w:vAlign w:val="center"/>
            <w:hideMark/>
          </w:tcPr>
          <w:p w14:paraId="03D89ED3" w14:textId="77777777" w:rsidR="00810FAC" w:rsidRPr="006A3C40" w:rsidRDefault="00810FAC" w:rsidP="00BF5472">
            <w:pPr>
              <w:pStyle w:val="TableText"/>
            </w:pPr>
            <w:r w:rsidRPr="006A3C40">
              <w:t>Continental U.S.</w:t>
            </w:r>
          </w:p>
        </w:tc>
        <w:tc>
          <w:tcPr>
            <w:tcW w:w="655" w:type="pct"/>
            <w:shd w:val="clear" w:color="auto" w:fill="D9D9D9" w:themeFill="background1" w:themeFillShade="D9"/>
            <w:noWrap/>
            <w:vAlign w:val="center"/>
          </w:tcPr>
          <w:p w14:paraId="2851AC24" w14:textId="77777777" w:rsidR="00810FAC" w:rsidRPr="00E3368B" w:rsidRDefault="00810FAC" w:rsidP="00BF5472">
            <w:pPr>
              <w:pStyle w:val="TableText"/>
              <w:rPr>
                <w:rFonts w:cs="Times New Roman"/>
              </w:rPr>
            </w:pPr>
            <w:r w:rsidRPr="00E3368B">
              <w:rPr>
                <w:rFonts w:cs="Times New Roman"/>
              </w:rPr>
              <w:t>23,150</w:t>
            </w:r>
          </w:p>
        </w:tc>
        <w:tc>
          <w:tcPr>
            <w:tcW w:w="657" w:type="pct"/>
            <w:shd w:val="clear" w:color="auto" w:fill="D9D9D9" w:themeFill="background1" w:themeFillShade="D9"/>
            <w:vAlign w:val="center"/>
          </w:tcPr>
          <w:p w14:paraId="6045B05A" w14:textId="77777777" w:rsidR="00810FAC" w:rsidRPr="00E3368B" w:rsidRDefault="00810FAC" w:rsidP="00BF5472">
            <w:pPr>
              <w:pStyle w:val="TableText"/>
              <w:rPr>
                <w:rFonts w:cs="Times New Roman"/>
              </w:rPr>
            </w:pPr>
            <w:r w:rsidRPr="00E3368B">
              <w:rPr>
                <w:rFonts w:cs="Times New Roman"/>
              </w:rPr>
              <w:t>0.59%</w:t>
            </w:r>
          </w:p>
        </w:tc>
        <w:tc>
          <w:tcPr>
            <w:tcW w:w="657" w:type="pct"/>
            <w:shd w:val="clear" w:color="auto" w:fill="D9D9D9" w:themeFill="background1" w:themeFillShade="D9"/>
          </w:tcPr>
          <w:p w14:paraId="6C8B4D47" w14:textId="77777777" w:rsidR="00810FAC" w:rsidRPr="00FB650A" w:rsidRDefault="00810FAC" w:rsidP="00BF5472">
            <w:pPr>
              <w:pStyle w:val="TableText"/>
              <w:rPr>
                <w:rFonts w:cs="Times New Roman"/>
                <w:color w:val="000000"/>
              </w:rPr>
            </w:pPr>
            <w:r w:rsidRPr="00FB650A">
              <w:rPr>
                <w:rFonts w:cs="Times New Roman"/>
                <w:color w:val="000000"/>
              </w:rPr>
              <w:t>194,126</w:t>
            </w:r>
          </w:p>
        </w:tc>
        <w:tc>
          <w:tcPr>
            <w:tcW w:w="657" w:type="pct"/>
            <w:shd w:val="clear" w:color="auto" w:fill="D9D9D9" w:themeFill="background1" w:themeFillShade="D9"/>
          </w:tcPr>
          <w:p w14:paraId="37207BCE" w14:textId="77777777" w:rsidR="00810FAC" w:rsidRPr="00FB650A" w:rsidRDefault="00810FAC" w:rsidP="00BF5472">
            <w:pPr>
              <w:pStyle w:val="TableText"/>
              <w:rPr>
                <w:rFonts w:cs="Times New Roman"/>
                <w:color w:val="000000"/>
              </w:rPr>
            </w:pPr>
            <w:r w:rsidRPr="00FB650A">
              <w:rPr>
                <w:rFonts w:cs="Times New Roman"/>
                <w:color w:val="000000"/>
              </w:rPr>
              <w:t>4.81%</w:t>
            </w:r>
          </w:p>
        </w:tc>
        <w:tc>
          <w:tcPr>
            <w:tcW w:w="656" w:type="pct"/>
            <w:shd w:val="clear" w:color="auto" w:fill="D9D9D9" w:themeFill="background1" w:themeFillShade="D9"/>
            <w:noWrap/>
            <w:vAlign w:val="center"/>
          </w:tcPr>
          <w:p w14:paraId="743A4D99" w14:textId="77777777" w:rsidR="00810FAC" w:rsidRPr="00E3368B" w:rsidRDefault="00810FAC" w:rsidP="00BF5472">
            <w:pPr>
              <w:pStyle w:val="TableText"/>
              <w:rPr>
                <w:rFonts w:cs="Times New Roman"/>
              </w:rPr>
            </w:pPr>
            <w:r w:rsidRPr="00E3368B">
              <w:rPr>
                <w:rFonts w:cs="Times New Roman"/>
              </w:rPr>
              <w:t>327,092</w:t>
            </w:r>
          </w:p>
        </w:tc>
        <w:tc>
          <w:tcPr>
            <w:tcW w:w="654" w:type="pct"/>
            <w:shd w:val="clear" w:color="auto" w:fill="D9D9D9" w:themeFill="background1" w:themeFillShade="D9"/>
            <w:vAlign w:val="center"/>
          </w:tcPr>
          <w:p w14:paraId="7BBFD686" w14:textId="77777777" w:rsidR="00810FAC" w:rsidRPr="00E3368B" w:rsidRDefault="00810FAC" w:rsidP="00BF5472">
            <w:pPr>
              <w:pStyle w:val="TableText"/>
              <w:rPr>
                <w:rFonts w:cs="Times New Roman"/>
              </w:rPr>
            </w:pPr>
            <w:r w:rsidRPr="00E3368B">
              <w:rPr>
                <w:rFonts w:cs="Times New Roman"/>
              </w:rPr>
              <w:t>7.83%</w:t>
            </w:r>
          </w:p>
        </w:tc>
      </w:tr>
      <w:tr w:rsidR="00810FAC" w:rsidRPr="00D33008" w14:paraId="52FC0325" w14:textId="77777777" w:rsidTr="00BF5472">
        <w:tc>
          <w:tcPr>
            <w:tcW w:w="1064" w:type="pct"/>
            <w:shd w:val="clear" w:color="auto" w:fill="FFFFFF" w:themeFill="background1"/>
            <w:noWrap/>
            <w:vAlign w:val="center"/>
          </w:tcPr>
          <w:p w14:paraId="5030233B" w14:textId="77777777" w:rsidR="00810FAC" w:rsidRPr="006A3C40" w:rsidRDefault="00810FAC" w:rsidP="00BF5472">
            <w:pPr>
              <w:pStyle w:val="TableText"/>
            </w:pPr>
            <w:r w:rsidRPr="006A3C40">
              <w:t>Alaska</w:t>
            </w:r>
          </w:p>
        </w:tc>
        <w:tc>
          <w:tcPr>
            <w:tcW w:w="655" w:type="pct"/>
            <w:shd w:val="clear" w:color="auto" w:fill="auto"/>
            <w:noWrap/>
            <w:vAlign w:val="center"/>
          </w:tcPr>
          <w:p w14:paraId="61C47D2D" w14:textId="77777777" w:rsidR="00810FAC" w:rsidRPr="00E3368B" w:rsidRDefault="00810FAC" w:rsidP="00BF5472">
            <w:pPr>
              <w:pStyle w:val="TableText"/>
              <w:rPr>
                <w:rFonts w:cs="Times New Roman"/>
              </w:rPr>
            </w:pPr>
            <w:r w:rsidRPr="00E3368B">
              <w:rPr>
                <w:rFonts w:cs="Times New Roman"/>
              </w:rPr>
              <w:t>2</w:t>
            </w:r>
          </w:p>
        </w:tc>
        <w:tc>
          <w:tcPr>
            <w:tcW w:w="657" w:type="pct"/>
            <w:shd w:val="clear" w:color="auto" w:fill="auto"/>
            <w:vAlign w:val="center"/>
          </w:tcPr>
          <w:p w14:paraId="4A031305" w14:textId="77777777" w:rsidR="00810FAC" w:rsidRPr="00E3368B" w:rsidRDefault="00810FAC" w:rsidP="00BF5472">
            <w:pPr>
              <w:pStyle w:val="TableText"/>
              <w:rPr>
                <w:rFonts w:cs="Times New Roman"/>
              </w:rPr>
            </w:pPr>
            <w:r w:rsidRPr="00E3368B">
              <w:rPr>
                <w:rFonts w:cs="Times New Roman"/>
              </w:rPr>
              <w:t>0.04%</w:t>
            </w:r>
          </w:p>
        </w:tc>
        <w:tc>
          <w:tcPr>
            <w:tcW w:w="657" w:type="pct"/>
            <w:shd w:val="clear" w:color="auto" w:fill="FFFFFF" w:themeFill="background1"/>
          </w:tcPr>
          <w:p w14:paraId="72FD8154" w14:textId="77777777" w:rsidR="00810FAC" w:rsidRPr="00FB650A" w:rsidRDefault="00810FAC" w:rsidP="00BF5472">
            <w:pPr>
              <w:pStyle w:val="TableText"/>
              <w:rPr>
                <w:rFonts w:cs="Times New Roman"/>
                <w:color w:val="000000"/>
              </w:rPr>
            </w:pPr>
            <w:r w:rsidRPr="00FB650A">
              <w:rPr>
                <w:rFonts w:cs="Times New Roman"/>
                <w:color w:val="000000"/>
              </w:rPr>
              <w:t>161</w:t>
            </w:r>
          </w:p>
        </w:tc>
        <w:tc>
          <w:tcPr>
            <w:tcW w:w="657" w:type="pct"/>
            <w:shd w:val="clear" w:color="auto" w:fill="FFFFFF" w:themeFill="background1"/>
          </w:tcPr>
          <w:p w14:paraId="02575D8B" w14:textId="77777777" w:rsidR="00810FAC" w:rsidRPr="00FB650A" w:rsidRDefault="00810FAC" w:rsidP="00BF5472">
            <w:pPr>
              <w:pStyle w:val="TableText"/>
              <w:rPr>
                <w:rFonts w:cs="Times New Roman"/>
                <w:color w:val="000000"/>
              </w:rPr>
            </w:pPr>
            <w:r w:rsidRPr="00FB650A">
              <w:rPr>
                <w:rFonts w:cs="Times New Roman"/>
                <w:color w:val="000000"/>
              </w:rPr>
              <w:t>3.13%</w:t>
            </w:r>
          </w:p>
        </w:tc>
        <w:tc>
          <w:tcPr>
            <w:tcW w:w="656" w:type="pct"/>
            <w:shd w:val="clear" w:color="auto" w:fill="auto"/>
            <w:noWrap/>
            <w:vAlign w:val="center"/>
          </w:tcPr>
          <w:p w14:paraId="6CAC51DE" w14:textId="77777777" w:rsidR="00810FAC" w:rsidRPr="00E3368B" w:rsidRDefault="00810FAC" w:rsidP="00BF5472">
            <w:pPr>
              <w:pStyle w:val="TableText"/>
              <w:rPr>
                <w:rFonts w:cs="Times New Roman"/>
              </w:rPr>
            </w:pPr>
            <w:r w:rsidRPr="00E3368B">
              <w:rPr>
                <w:rFonts w:cs="Times New Roman"/>
              </w:rPr>
              <w:t>376</w:t>
            </w:r>
          </w:p>
        </w:tc>
        <w:tc>
          <w:tcPr>
            <w:tcW w:w="654" w:type="pct"/>
            <w:shd w:val="clear" w:color="auto" w:fill="auto"/>
            <w:vAlign w:val="center"/>
          </w:tcPr>
          <w:p w14:paraId="29CDB095" w14:textId="77777777" w:rsidR="00810FAC" w:rsidRPr="00E3368B" w:rsidRDefault="00810FAC" w:rsidP="00BF5472">
            <w:pPr>
              <w:pStyle w:val="TableText"/>
              <w:rPr>
                <w:rFonts w:cs="Times New Roman"/>
              </w:rPr>
            </w:pPr>
            <w:r w:rsidRPr="00E3368B">
              <w:rPr>
                <w:rFonts w:cs="Times New Roman"/>
              </w:rPr>
              <w:t>7.04%</w:t>
            </w:r>
          </w:p>
        </w:tc>
      </w:tr>
      <w:tr w:rsidR="00810FAC" w:rsidRPr="00D33008" w14:paraId="393461A4" w14:textId="77777777" w:rsidTr="00BF5472">
        <w:tc>
          <w:tcPr>
            <w:tcW w:w="1064" w:type="pct"/>
            <w:shd w:val="clear" w:color="auto" w:fill="FFFFFF" w:themeFill="background1"/>
            <w:noWrap/>
            <w:vAlign w:val="center"/>
          </w:tcPr>
          <w:p w14:paraId="29117311" w14:textId="77777777" w:rsidR="00810FAC" w:rsidRPr="006A3C40" w:rsidRDefault="00810FAC" w:rsidP="00BF5472">
            <w:pPr>
              <w:pStyle w:val="TableText"/>
            </w:pPr>
            <w:r>
              <w:t>Hawaii</w:t>
            </w:r>
          </w:p>
        </w:tc>
        <w:tc>
          <w:tcPr>
            <w:tcW w:w="655" w:type="pct"/>
            <w:shd w:val="clear" w:color="auto" w:fill="auto"/>
            <w:noWrap/>
            <w:vAlign w:val="center"/>
          </w:tcPr>
          <w:p w14:paraId="1D7817BD" w14:textId="77777777" w:rsidR="00810FAC" w:rsidRPr="00E3368B" w:rsidRDefault="00810FAC" w:rsidP="00BF5472">
            <w:pPr>
              <w:pStyle w:val="TableText"/>
              <w:rPr>
                <w:rFonts w:cs="Times New Roman"/>
              </w:rPr>
            </w:pPr>
            <w:r w:rsidRPr="00E3368B">
              <w:rPr>
                <w:rFonts w:cs="Times New Roman"/>
              </w:rPr>
              <w:t>3</w:t>
            </w:r>
          </w:p>
        </w:tc>
        <w:tc>
          <w:tcPr>
            <w:tcW w:w="657" w:type="pct"/>
            <w:shd w:val="clear" w:color="auto" w:fill="auto"/>
            <w:vAlign w:val="center"/>
          </w:tcPr>
          <w:p w14:paraId="233368DB" w14:textId="77777777" w:rsidR="00810FAC" w:rsidRPr="00E3368B" w:rsidRDefault="00810FAC" w:rsidP="00BF5472">
            <w:pPr>
              <w:pStyle w:val="TableText"/>
              <w:rPr>
                <w:rFonts w:cs="Times New Roman"/>
              </w:rPr>
            </w:pPr>
            <w:r w:rsidRPr="00E3368B">
              <w:rPr>
                <w:rFonts w:cs="Times New Roman"/>
              </w:rPr>
              <w:t>0.04%</w:t>
            </w:r>
          </w:p>
        </w:tc>
        <w:tc>
          <w:tcPr>
            <w:tcW w:w="657" w:type="pct"/>
            <w:shd w:val="clear" w:color="auto" w:fill="FFFFFF" w:themeFill="background1"/>
          </w:tcPr>
          <w:p w14:paraId="064A6012" w14:textId="77777777" w:rsidR="00810FAC" w:rsidRPr="00FB650A" w:rsidRDefault="00810FAC" w:rsidP="00BF5472">
            <w:pPr>
              <w:pStyle w:val="TableText"/>
              <w:rPr>
                <w:rFonts w:cs="Times New Roman"/>
                <w:color w:val="000000"/>
              </w:rPr>
            </w:pPr>
            <w:r w:rsidRPr="00FB650A">
              <w:rPr>
                <w:rFonts w:cs="Times New Roman"/>
                <w:color w:val="000000"/>
              </w:rPr>
              <w:t>284</w:t>
            </w:r>
          </w:p>
        </w:tc>
        <w:tc>
          <w:tcPr>
            <w:tcW w:w="657" w:type="pct"/>
            <w:shd w:val="clear" w:color="auto" w:fill="FFFFFF" w:themeFill="background1"/>
          </w:tcPr>
          <w:p w14:paraId="6E544317" w14:textId="77777777" w:rsidR="00810FAC" w:rsidRPr="00FB650A" w:rsidRDefault="00810FAC" w:rsidP="00BF5472">
            <w:pPr>
              <w:pStyle w:val="TableText"/>
              <w:rPr>
                <w:rFonts w:cs="Times New Roman"/>
                <w:color w:val="000000"/>
              </w:rPr>
            </w:pPr>
            <w:r w:rsidRPr="00FB650A">
              <w:rPr>
                <w:rFonts w:cs="Times New Roman"/>
                <w:color w:val="000000"/>
              </w:rPr>
              <w:t>3.10%</w:t>
            </w:r>
          </w:p>
        </w:tc>
        <w:tc>
          <w:tcPr>
            <w:tcW w:w="656" w:type="pct"/>
            <w:shd w:val="clear" w:color="auto" w:fill="auto"/>
            <w:noWrap/>
            <w:vAlign w:val="center"/>
          </w:tcPr>
          <w:p w14:paraId="319EBE2B" w14:textId="77777777" w:rsidR="00810FAC" w:rsidRPr="00E3368B" w:rsidRDefault="00810FAC" w:rsidP="00BF5472">
            <w:pPr>
              <w:pStyle w:val="TableText"/>
              <w:rPr>
                <w:rFonts w:cs="Times New Roman"/>
              </w:rPr>
            </w:pPr>
            <w:r w:rsidRPr="00E3368B">
              <w:rPr>
                <w:rFonts w:cs="Times New Roman"/>
              </w:rPr>
              <w:t>668</w:t>
            </w:r>
          </w:p>
        </w:tc>
        <w:tc>
          <w:tcPr>
            <w:tcW w:w="654" w:type="pct"/>
            <w:shd w:val="clear" w:color="auto" w:fill="auto"/>
            <w:vAlign w:val="center"/>
          </w:tcPr>
          <w:p w14:paraId="31F2585B" w14:textId="77777777" w:rsidR="00810FAC" w:rsidRPr="00E3368B" w:rsidRDefault="00810FAC" w:rsidP="00BF5472">
            <w:pPr>
              <w:pStyle w:val="TableText"/>
              <w:rPr>
                <w:rFonts w:cs="Times New Roman"/>
              </w:rPr>
            </w:pPr>
            <w:r w:rsidRPr="00E3368B">
              <w:rPr>
                <w:rFonts w:cs="Times New Roman"/>
              </w:rPr>
              <w:t>7.03%</w:t>
            </w:r>
          </w:p>
        </w:tc>
      </w:tr>
      <w:tr w:rsidR="00810FAC" w:rsidRPr="00D33008" w14:paraId="39FE7E67" w14:textId="77777777" w:rsidTr="00BF5472">
        <w:tc>
          <w:tcPr>
            <w:tcW w:w="1064" w:type="pct"/>
            <w:shd w:val="clear" w:color="auto" w:fill="FFFFFF" w:themeFill="background1"/>
            <w:noWrap/>
            <w:vAlign w:val="center"/>
          </w:tcPr>
          <w:p w14:paraId="2992AE77" w14:textId="77777777" w:rsidR="00810FAC" w:rsidRPr="006A3C40" w:rsidRDefault="00810FAC" w:rsidP="00BF5472">
            <w:pPr>
              <w:pStyle w:val="TableText"/>
            </w:pPr>
            <w:r>
              <w:t>Puerto Rico</w:t>
            </w:r>
          </w:p>
        </w:tc>
        <w:tc>
          <w:tcPr>
            <w:tcW w:w="655" w:type="pct"/>
            <w:shd w:val="clear" w:color="auto" w:fill="auto"/>
            <w:noWrap/>
            <w:vAlign w:val="center"/>
          </w:tcPr>
          <w:p w14:paraId="7B3BD58E" w14:textId="77777777" w:rsidR="00810FAC" w:rsidRPr="00E3368B" w:rsidRDefault="00810FAC" w:rsidP="00BF5472">
            <w:pPr>
              <w:pStyle w:val="TableText"/>
              <w:rPr>
                <w:rFonts w:cs="Times New Roman"/>
              </w:rPr>
            </w:pPr>
            <w:r w:rsidRPr="00E3368B">
              <w:rPr>
                <w:rFonts w:cs="Times New Roman"/>
              </w:rPr>
              <w:t>0</w:t>
            </w:r>
          </w:p>
        </w:tc>
        <w:tc>
          <w:tcPr>
            <w:tcW w:w="657" w:type="pct"/>
            <w:shd w:val="clear" w:color="auto" w:fill="auto"/>
            <w:vAlign w:val="center"/>
          </w:tcPr>
          <w:p w14:paraId="417CAFFB" w14:textId="77777777" w:rsidR="00810FAC" w:rsidRPr="00E3368B" w:rsidRDefault="00810FAC" w:rsidP="00BF5472">
            <w:pPr>
              <w:pStyle w:val="TableText"/>
              <w:rPr>
                <w:rFonts w:cs="Times New Roman"/>
              </w:rPr>
            </w:pPr>
            <w:r w:rsidRPr="00E3368B">
              <w:rPr>
                <w:rFonts w:cs="Times New Roman"/>
              </w:rPr>
              <w:t>0.00%</w:t>
            </w:r>
          </w:p>
        </w:tc>
        <w:tc>
          <w:tcPr>
            <w:tcW w:w="657" w:type="pct"/>
            <w:shd w:val="clear" w:color="auto" w:fill="FFFFFF" w:themeFill="background1"/>
          </w:tcPr>
          <w:p w14:paraId="677812B6" w14:textId="77777777" w:rsidR="00810FAC" w:rsidRPr="00FB650A" w:rsidRDefault="00810FAC" w:rsidP="00BF5472">
            <w:pPr>
              <w:pStyle w:val="TableText"/>
              <w:rPr>
                <w:rFonts w:cs="Times New Roman"/>
                <w:color w:val="000000"/>
              </w:rPr>
            </w:pPr>
            <w:r w:rsidRPr="00FB650A">
              <w:rPr>
                <w:rFonts w:cs="Times New Roman"/>
                <w:color w:val="000000"/>
              </w:rPr>
              <w:t>528</w:t>
            </w:r>
          </w:p>
        </w:tc>
        <w:tc>
          <w:tcPr>
            <w:tcW w:w="657" w:type="pct"/>
            <w:shd w:val="clear" w:color="auto" w:fill="FFFFFF" w:themeFill="background1"/>
          </w:tcPr>
          <w:p w14:paraId="0472CADB" w14:textId="77777777" w:rsidR="00810FAC" w:rsidRPr="00FB650A" w:rsidRDefault="00810FAC" w:rsidP="00BF5472">
            <w:pPr>
              <w:pStyle w:val="TableText"/>
              <w:rPr>
                <w:rFonts w:cs="Times New Roman"/>
                <w:color w:val="000000"/>
              </w:rPr>
            </w:pPr>
            <w:r w:rsidRPr="00FB650A">
              <w:rPr>
                <w:rFonts w:cs="Times New Roman"/>
                <w:color w:val="000000"/>
              </w:rPr>
              <w:t>2.97%</w:t>
            </w:r>
          </w:p>
        </w:tc>
        <w:tc>
          <w:tcPr>
            <w:tcW w:w="656" w:type="pct"/>
            <w:shd w:val="clear" w:color="auto" w:fill="auto"/>
            <w:noWrap/>
            <w:vAlign w:val="center"/>
          </w:tcPr>
          <w:p w14:paraId="42DCD4E7" w14:textId="77777777" w:rsidR="00810FAC" w:rsidRPr="00E3368B" w:rsidRDefault="00810FAC" w:rsidP="00BF5472">
            <w:pPr>
              <w:pStyle w:val="TableText"/>
              <w:rPr>
                <w:rFonts w:cs="Times New Roman"/>
              </w:rPr>
            </w:pPr>
            <w:r w:rsidRPr="00E3368B">
              <w:rPr>
                <w:rFonts w:cs="Times New Roman"/>
              </w:rPr>
              <w:t>1,271</w:t>
            </w:r>
          </w:p>
        </w:tc>
        <w:tc>
          <w:tcPr>
            <w:tcW w:w="654" w:type="pct"/>
            <w:shd w:val="clear" w:color="auto" w:fill="auto"/>
            <w:vAlign w:val="center"/>
          </w:tcPr>
          <w:p w14:paraId="2CE0753D" w14:textId="77777777" w:rsidR="00810FAC" w:rsidRPr="00E3368B" w:rsidRDefault="00810FAC" w:rsidP="00BF5472">
            <w:pPr>
              <w:pStyle w:val="TableText"/>
              <w:rPr>
                <w:rFonts w:cs="Times New Roman"/>
              </w:rPr>
            </w:pPr>
            <w:r w:rsidRPr="00E3368B">
              <w:rPr>
                <w:rFonts w:cs="Times New Roman"/>
              </w:rPr>
              <w:t>7.14%</w:t>
            </w:r>
          </w:p>
        </w:tc>
      </w:tr>
      <w:tr w:rsidR="00810FAC" w:rsidRPr="00D33008" w14:paraId="4EC577B0" w14:textId="77777777" w:rsidTr="00BF5472">
        <w:tc>
          <w:tcPr>
            <w:tcW w:w="1064" w:type="pct"/>
            <w:shd w:val="clear" w:color="auto" w:fill="FFFFFF" w:themeFill="background1"/>
            <w:noWrap/>
            <w:vAlign w:val="center"/>
          </w:tcPr>
          <w:p w14:paraId="7343F5B4" w14:textId="77777777" w:rsidR="00810FAC" w:rsidRPr="006A3C40" w:rsidRDefault="00810FAC" w:rsidP="00BF5472">
            <w:pPr>
              <w:pStyle w:val="TableText"/>
            </w:pPr>
            <w:r>
              <w:t>Guam</w:t>
            </w:r>
          </w:p>
        </w:tc>
        <w:tc>
          <w:tcPr>
            <w:tcW w:w="655" w:type="pct"/>
            <w:shd w:val="clear" w:color="auto" w:fill="auto"/>
            <w:noWrap/>
            <w:vAlign w:val="center"/>
          </w:tcPr>
          <w:p w14:paraId="1135F4C0" w14:textId="77777777" w:rsidR="00810FAC" w:rsidRPr="00E3368B" w:rsidRDefault="00810FAC" w:rsidP="00BF5472">
            <w:pPr>
              <w:pStyle w:val="TableText"/>
              <w:rPr>
                <w:rFonts w:cs="Times New Roman"/>
              </w:rPr>
            </w:pPr>
            <w:r w:rsidRPr="00E3368B">
              <w:rPr>
                <w:rFonts w:cs="Times New Roman"/>
              </w:rPr>
              <w:t>0</w:t>
            </w:r>
          </w:p>
        </w:tc>
        <w:tc>
          <w:tcPr>
            <w:tcW w:w="657" w:type="pct"/>
            <w:shd w:val="clear" w:color="auto" w:fill="auto"/>
            <w:vAlign w:val="center"/>
          </w:tcPr>
          <w:p w14:paraId="5DFB350D" w14:textId="77777777" w:rsidR="00810FAC" w:rsidRPr="00E3368B" w:rsidRDefault="00810FAC" w:rsidP="00BF5472">
            <w:pPr>
              <w:pStyle w:val="TableText"/>
              <w:rPr>
                <w:rFonts w:cs="Times New Roman"/>
              </w:rPr>
            </w:pPr>
            <w:r w:rsidRPr="00E3368B">
              <w:rPr>
                <w:rFonts w:cs="Times New Roman"/>
              </w:rPr>
              <w:t>0.00%</w:t>
            </w:r>
          </w:p>
        </w:tc>
        <w:tc>
          <w:tcPr>
            <w:tcW w:w="657" w:type="pct"/>
            <w:shd w:val="clear" w:color="auto" w:fill="FFFFFF" w:themeFill="background1"/>
          </w:tcPr>
          <w:p w14:paraId="092F229F" w14:textId="77777777" w:rsidR="00810FAC" w:rsidRPr="00FB650A" w:rsidRDefault="00810FAC" w:rsidP="00BF5472">
            <w:pPr>
              <w:pStyle w:val="TableText"/>
              <w:rPr>
                <w:rFonts w:cs="Times New Roman"/>
                <w:color w:val="000000"/>
              </w:rPr>
            </w:pPr>
            <w:r w:rsidRPr="00FB650A">
              <w:rPr>
                <w:rFonts w:cs="Times New Roman"/>
                <w:color w:val="000000"/>
              </w:rPr>
              <w:t>46</w:t>
            </w:r>
          </w:p>
        </w:tc>
        <w:tc>
          <w:tcPr>
            <w:tcW w:w="657" w:type="pct"/>
            <w:shd w:val="clear" w:color="auto" w:fill="FFFFFF" w:themeFill="background1"/>
          </w:tcPr>
          <w:p w14:paraId="704FDAA4" w14:textId="77777777" w:rsidR="00810FAC" w:rsidRPr="00FB650A" w:rsidRDefault="00810FAC" w:rsidP="00BF5472">
            <w:pPr>
              <w:pStyle w:val="TableText"/>
              <w:rPr>
                <w:rFonts w:cs="Times New Roman"/>
                <w:color w:val="000000"/>
              </w:rPr>
            </w:pPr>
            <w:r w:rsidRPr="00FB650A">
              <w:rPr>
                <w:rFonts w:cs="Times New Roman"/>
                <w:color w:val="000000"/>
              </w:rPr>
              <w:t>2.97%</w:t>
            </w:r>
          </w:p>
        </w:tc>
        <w:tc>
          <w:tcPr>
            <w:tcW w:w="656" w:type="pct"/>
            <w:shd w:val="clear" w:color="auto" w:fill="auto"/>
            <w:noWrap/>
            <w:vAlign w:val="center"/>
          </w:tcPr>
          <w:p w14:paraId="4283BE36" w14:textId="77777777" w:rsidR="00810FAC" w:rsidRPr="00E3368B" w:rsidRDefault="00810FAC" w:rsidP="00BF5472">
            <w:pPr>
              <w:pStyle w:val="TableText"/>
              <w:rPr>
                <w:rFonts w:cs="Times New Roman"/>
              </w:rPr>
            </w:pPr>
            <w:r w:rsidRPr="00E3368B">
              <w:rPr>
                <w:rFonts w:cs="Times New Roman"/>
              </w:rPr>
              <w:t>112</w:t>
            </w:r>
          </w:p>
        </w:tc>
        <w:tc>
          <w:tcPr>
            <w:tcW w:w="654" w:type="pct"/>
            <w:shd w:val="clear" w:color="auto" w:fill="auto"/>
            <w:vAlign w:val="center"/>
          </w:tcPr>
          <w:p w14:paraId="5325088A" w14:textId="77777777" w:rsidR="00810FAC" w:rsidRPr="00E3368B" w:rsidRDefault="00810FAC" w:rsidP="00BF5472">
            <w:pPr>
              <w:pStyle w:val="TableText"/>
              <w:rPr>
                <w:rFonts w:cs="Times New Roman"/>
              </w:rPr>
            </w:pPr>
            <w:r w:rsidRPr="00E3368B">
              <w:rPr>
                <w:rFonts w:cs="Times New Roman"/>
              </w:rPr>
              <w:t>7.14%</w:t>
            </w:r>
          </w:p>
        </w:tc>
      </w:tr>
      <w:tr w:rsidR="00810FAC" w:rsidRPr="00D33008" w14:paraId="70A1BD32" w14:textId="77777777" w:rsidTr="00BF5472">
        <w:tc>
          <w:tcPr>
            <w:tcW w:w="1064" w:type="pct"/>
            <w:shd w:val="clear" w:color="auto" w:fill="D9D9D9" w:themeFill="background1" w:themeFillShade="D9"/>
            <w:noWrap/>
            <w:vAlign w:val="center"/>
          </w:tcPr>
          <w:p w14:paraId="088D87D0" w14:textId="77777777" w:rsidR="00810FAC" w:rsidRPr="006A3C40" w:rsidRDefault="00810FAC" w:rsidP="00BF5472">
            <w:pPr>
              <w:pStyle w:val="TableText"/>
            </w:pPr>
            <w:r w:rsidRPr="006A3C40">
              <w:t>U.S. Total</w:t>
            </w:r>
          </w:p>
        </w:tc>
        <w:tc>
          <w:tcPr>
            <w:tcW w:w="655" w:type="pct"/>
            <w:shd w:val="clear" w:color="auto" w:fill="D9D9D9" w:themeFill="background1" w:themeFillShade="D9"/>
            <w:noWrap/>
            <w:vAlign w:val="center"/>
          </w:tcPr>
          <w:p w14:paraId="389FE71E" w14:textId="77777777" w:rsidR="00810FAC" w:rsidRPr="00E3368B" w:rsidRDefault="00810FAC" w:rsidP="00BF5472">
            <w:pPr>
              <w:pStyle w:val="TableText"/>
              <w:rPr>
                <w:rFonts w:cs="Times New Roman"/>
              </w:rPr>
            </w:pPr>
            <w:r w:rsidRPr="00E3368B">
              <w:rPr>
                <w:rFonts w:cs="Times New Roman"/>
              </w:rPr>
              <w:t>23,156</w:t>
            </w:r>
          </w:p>
        </w:tc>
        <w:tc>
          <w:tcPr>
            <w:tcW w:w="657" w:type="pct"/>
            <w:shd w:val="clear" w:color="auto" w:fill="D9D9D9" w:themeFill="background1" w:themeFillShade="D9"/>
            <w:vAlign w:val="center"/>
          </w:tcPr>
          <w:p w14:paraId="69723859" w14:textId="77777777" w:rsidR="00810FAC" w:rsidRPr="00E3368B" w:rsidRDefault="00810FAC" w:rsidP="00BF5472">
            <w:pPr>
              <w:pStyle w:val="TableText"/>
              <w:rPr>
                <w:rFonts w:cs="Times New Roman"/>
              </w:rPr>
            </w:pPr>
            <w:r w:rsidRPr="00E3368B">
              <w:rPr>
                <w:rFonts w:cs="Times New Roman"/>
              </w:rPr>
              <w:t>0.59%</w:t>
            </w:r>
          </w:p>
        </w:tc>
        <w:tc>
          <w:tcPr>
            <w:tcW w:w="657" w:type="pct"/>
            <w:shd w:val="clear" w:color="auto" w:fill="D9D9D9" w:themeFill="background1" w:themeFillShade="D9"/>
          </w:tcPr>
          <w:p w14:paraId="5DE88EFD" w14:textId="77777777" w:rsidR="00810FAC" w:rsidRPr="00FB650A" w:rsidRDefault="00810FAC" w:rsidP="00BF5472">
            <w:pPr>
              <w:pStyle w:val="TableText"/>
              <w:rPr>
                <w:rFonts w:cs="Times New Roman"/>
                <w:color w:val="000000"/>
              </w:rPr>
            </w:pPr>
            <w:r w:rsidRPr="00FB650A">
              <w:rPr>
                <w:rFonts w:cs="Times New Roman"/>
                <w:color w:val="000000"/>
              </w:rPr>
              <w:t>195,145</w:t>
            </w:r>
          </w:p>
        </w:tc>
        <w:tc>
          <w:tcPr>
            <w:tcW w:w="657" w:type="pct"/>
            <w:shd w:val="clear" w:color="auto" w:fill="D9D9D9" w:themeFill="background1" w:themeFillShade="D9"/>
          </w:tcPr>
          <w:p w14:paraId="3DC265E3" w14:textId="77777777" w:rsidR="00810FAC" w:rsidRPr="00FB650A" w:rsidRDefault="00810FAC" w:rsidP="00BF5472">
            <w:pPr>
              <w:pStyle w:val="TableText"/>
              <w:rPr>
                <w:rFonts w:cs="Times New Roman"/>
                <w:color w:val="000000"/>
              </w:rPr>
            </w:pPr>
            <w:r w:rsidRPr="00FB650A">
              <w:rPr>
                <w:rFonts w:cs="Times New Roman"/>
                <w:color w:val="000000"/>
              </w:rPr>
              <w:t>4.80%</w:t>
            </w:r>
          </w:p>
        </w:tc>
        <w:tc>
          <w:tcPr>
            <w:tcW w:w="656" w:type="pct"/>
            <w:shd w:val="clear" w:color="auto" w:fill="D9D9D9" w:themeFill="background1" w:themeFillShade="D9"/>
            <w:noWrap/>
            <w:vAlign w:val="center"/>
          </w:tcPr>
          <w:p w14:paraId="65CB9778" w14:textId="77777777" w:rsidR="00810FAC" w:rsidRPr="00E3368B" w:rsidRDefault="00810FAC" w:rsidP="00BF5472">
            <w:pPr>
              <w:pStyle w:val="TableText"/>
              <w:rPr>
                <w:rFonts w:cs="Times New Roman"/>
              </w:rPr>
            </w:pPr>
            <w:r w:rsidRPr="00E3368B">
              <w:rPr>
                <w:rFonts w:cs="Times New Roman"/>
              </w:rPr>
              <w:t>329,518</w:t>
            </w:r>
          </w:p>
        </w:tc>
        <w:tc>
          <w:tcPr>
            <w:tcW w:w="654" w:type="pct"/>
            <w:shd w:val="clear" w:color="auto" w:fill="D9D9D9" w:themeFill="background1" w:themeFillShade="D9"/>
            <w:vAlign w:val="center"/>
          </w:tcPr>
          <w:p w14:paraId="4E7EC6E9" w14:textId="77777777" w:rsidR="00810FAC" w:rsidRPr="00E3368B" w:rsidRDefault="00810FAC" w:rsidP="00BF5472">
            <w:pPr>
              <w:pStyle w:val="TableText"/>
              <w:rPr>
                <w:rFonts w:cs="Times New Roman"/>
              </w:rPr>
            </w:pPr>
            <w:r w:rsidRPr="00E3368B">
              <w:rPr>
                <w:rFonts w:cs="Times New Roman"/>
              </w:rPr>
              <w:t>7.82%</w:t>
            </w:r>
          </w:p>
        </w:tc>
      </w:tr>
    </w:tbl>
    <w:p w14:paraId="07E41E3B" w14:textId="74E98F01" w:rsidR="00810FAC" w:rsidRPr="00196931" w:rsidRDefault="00810FAC" w:rsidP="00CF0D49">
      <w:pPr>
        <w:pStyle w:val="CH5TableSource"/>
      </w:pPr>
      <w:r w:rsidRPr="00147909">
        <w:t>Source:</w:t>
      </w:r>
      <w:r>
        <w:t xml:space="preserve"> Appendix 3</w:t>
      </w:r>
    </w:p>
    <w:p w14:paraId="556862AC" w14:textId="77777777" w:rsidR="00810FAC" w:rsidRPr="00D33008" w:rsidRDefault="00810FAC" w:rsidP="006E6A19">
      <w:pPr>
        <w:pStyle w:val="Heading3"/>
      </w:pPr>
      <w:bookmarkStart w:id="134" w:name="_Toc424721594"/>
      <w:r w:rsidRPr="00D33008">
        <w:t>Results in Context</w:t>
      </w:r>
      <w:bookmarkEnd w:id="134"/>
    </w:p>
    <w:p w14:paraId="209E44E4" w14:textId="77777777" w:rsidR="00810FAC" w:rsidRPr="00D33008" w:rsidRDefault="00810FAC" w:rsidP="00810FAC">
      <w:pPr>
        <w:pStyle w:val="CH5BodyText"/>
      </w:pPr>
      <w:r w:rsidRPr="00D33008">
        <w:t xml:space="preserve">To provide context for state cumulative savings results </w:t>
      </w:r>
      <w:r>
        <w:t>provided</w:t>
      </w:r>
      <w:r w:rsidRPr="00D33008">
        <w:t xml:space="preserve"> in Table 2</w:t>
      </w:r>
      <w:r>
        <w:t>6</w:t>
      </w:r>
      <w:r w:rsidRPr="00D33008">
        <w:t>, the average annual savings were calculated for each state through</w:t>
      </w:r>
      <w:r>
        <w:t xml:space="preserve"> 2030</w:t>
      </w:r>
      <w:r w:rsidRPr="00D33008">
        <w:t>, starting from 20</w:t>
      </w:r>
      <w:r>
        <w:t>20</w:t>
      </w:r>
      <w:r w:rsidRPr="00D33008">
        <w:t>. Table 22 summarizes the results.</w:t>
      </w:r>
    </w:p>
    <w:p w14:paraId="72C5A196" w14:textId="3F200962" w:rsidR="00810FAC" w:rsidRPr="00D33008" w:rsidRDefault="00810FAC" w:rsidP="00311E15">
      <w:pPr>
        <w:pStyle w:val="CH5TableTitle"/>
      </w:pPr>
      <w:bookmarkStart w:id="135" w:name="_Toc424720276"/>
      <w:r w:rsidRPr="00D33008">
        <w:lastRenderedPageBreak/>
        <w:t>T</w:t>
      </w:r>
      <w:r>
        <w:t>able</w:t>
      </w:r>
      <w:r w:rsidRPr="00D33008">
        <w:t xml:space="preserve"> 2</w:t>
      </w:r>
      <w:r>
        <w:t xml:space="preserve">6. </w:t>
      </w:r>
      <w:r w:rsidRPr="00D33008">
        <w:t xml:space="preserve">Average Annual Savings Rates of </w:t>
      </w:r>
      <w:r>
        <w:t>Demand-Side EE Plan</w:t>
      </w:r>
      <w:r w:rsidRPr="00D33008">
        <w:t xml:space="preserve"> Scenario</w:t>
      </w:r>
      <w:bookmarkEnd w:id="135"/>
    </w:p>
    <w:tbl>
      <w:tblPr>
        <w:tblStyle w:val="TableGrid"/>
        <w:tblW w:w="0" w:type="auto"/>
        <w:tblInd w:w="-5" w:type="dxa"/>
        <w:tblLook w:val="04A0" w:firstRow="1" w:lastRow="0" w:firstColumn="1" w:lastColumn="0" w:noHBand="0" w:noVBand="1"/>
      </w:tblPr>
      <w:tblGrid>
        <w:gridCol w:w="716"/>
        <w:gridCol w:w="1096"/>
        <w:gridCol w:w="2421"/>
        <w:gridCol w:w="2380"/>
        <w:gridCol w:w="2737"/>
      </w:tblGrid>
      <w:tr w:rsidR="00810FAC" w:rsidRPr="00D33008" w14:paraId="344E801C" w14:textId="77777777" w:rsidTr="00810FAC">
        <w:trPr>
          <w:tblHeader/>
        </w:trPr>
        <w:tc>
          <w:tcPr>
            <w:tcW w:w="716" w:type="dxa"/>
            <w:shd w:val="clear" w:color="auto" w:fill="D9D9D9" w:themeFill="background1" w:themeFillShade="D9"/>
            <w:vAlign w:val="center"/>
          </w:tcPr>
          <w:p w14:paraId="22D4F1A1" w14:textId="77777777" w:rsidR="00810FAC" w:rsidRPr="00BF5472" w:rsidRDefault="00810FAC" w:rsidP="00BF5472">
            <w:pPr>
              <w:pStyle w:val="TableText"/>
              <w:rPr>
                <w:b/>
              </w:rPr>
            </w:pPr>
            <w:r w:rsidRPr="00BF5472">
              <w:rPr>
                <w:b/>
              </w:rPr>
              <w:t>Years</w:t>
            </w:r>
          </w:p>
        </w:tc>
        <w:tc>
          <w:tcPr>
            <w:tcW w:w="1096" w:type="dxa"/>
            <w:shd w:val="clear" w:color="auto" w:fill="D9D9D9" w:themeFill="background1" w:themeFillShade="D9"/>
            <w:vAlign w:val="center"/>
          </w:tcPr>
          <w:p w14:paraId="5E4663F6" w14:textId="77777777" w:rsidR="00810FAC" w:rsidRPr="00BF5472" w:rsidRDefault="00810FAC" w:rsidP="00BF5472">
            <w:pPr>
              <w:pStyle w:val="TableText"/>
              <w:rPr>
                <w:b/>
              </w:rPr>
            </w:pPr>
            <w:r w:rsidRPr="00BF5472">
              <w:rPr>
                <w:b/>
              </w:rPr>
              <w:t>Number of Years</w:t>
            </w:r>
          </w:p>
        </w:tc>
        <w:tc>
          <w:tcPr>
            <w:tcW w:w="2421" w:type="dxa"/>
            <w:shd w:val="clear" w:color="auto" w:fill="D9D9D9" w:themeFill="background1" w:themeFillShade="D9"/>
            <w:vAlign w:val="center"/>
          </w:tcPr>
          <w:p w14:paraId="4D75B03B" w14:textId="77777777" w:rsidR="00810FAC" w:rsidRPr="00BF5472" w:rsidRDefault="00810FAC" w:rsidP="00BF5472">
            <w:pPr>
              <w:pStyle w:val="TableText"/>
              <w:rPr>
                <w:b/>
              </w:rPr>
            </w:pPr>
            <w:r w:rsidRPr="00BF5472">
              <w:rPr>
                <w:b/>
              </w:rPr>
              <w:t>Range of Cumulative Savings (% of Sales) across States in 2030</w:t>
            </w:r>
          </w:p>
        </w:tc>
        <w:tc>
          <w:tcPr>
            <w:tcW w:w="2380" w:type="dxa"/>
            <w:shd w:val="clear" w:color="auto" w:fill="D9D9D9" w:themeFill="background1" w:themeFillShade="D9"/>
            <w:vAlign w:val="center"/>
          </w:tcPr>
          <w:p w14:paraId="36F6956F" w14:textId="77777777" w:rsidR="00810FAC" w:rsidRPr="00BF5472" w:rsidRDefault="00810FAC" w:rsidP="00BF5472">
            <w:pPr>
              <w:pStyle w:val="TableText"/>
              <w:rPr>
                <w:b/>
              </w:rPr>
            </w:pPr>
            <w:r w:rsidRPr="00BF5472">
              <w:rPr>
                <w:b/>
              </w:rPr>
              <w:t>Range of Average Annual Savings Rates across States</w:t>
            </w:r>
          </w:p>
        </w:tc>
        <w:tc>
          <w:tcPr>
            <w:tcW w:w="2737" w:type="dxa"/>
            <w:shd w:val="clear" w:color="auto" w:fill="D9D9D9" w:themeFill="background1" w:themeFillShade="D9"/>
            <w:vAlign w:val="center"/>
          </w:tcPr>
          <w:p w14:paraId="2CCFA089" w14:textId="77777777" w:rsidR="00810FAC" w:rsidRPr="00BF5472" w:rsidRDefault="00810FAC" w:rsidP="00BF5472">
            <w:pPr>
              <w:pStyle w:val="TableText"/>
              <w:rPr>
                <w:b/>
              </w:rPr>
            </w:pPr>
            <w:r w:rsidRPr="00BF5472">
              <w:rPr>
                <w:b/>
              </w:rPr>
              <w:t>National Average Annual Savings Rate</w:t>
            </w:r>
          </w:p>
        </w:tc>
      </w:tr>
      <w:tr w:rsidR="00810FAC" w:rsidRPr="00D33008" w14:paraId="19396D65" w14:textId="77777777" w:rsidTr="00810FAC">
        <w:tc>
          <w:tcPr>
            <w:tcW w:w="716" w:type="dxa"/>
            <w:shd w:val="clear" w:color="auto" w:fill="auto"/>
            <w:vAlign w:val="center"/>
          </w:tcPr>
          <w:p w14:paraId="429591EE" w14:textId="77777777" w:rsidR="00810FAC" w:rsidRPr="00147909" w:rsidRDefault="00810FAC" w:rsidP="00BF5472">
            <w:pPr>
              <w:pStyle w:val="TableText"/>
            </w:pPr>
            <w:r w:rsidRPr="00147909">
              <w:t>2020-2030</w:t>
            </w:r>
          </w:p>
        </w:tc>
        <w:tc>
          <w:tcPr>
            <w:tcW w:w="1096" w:type="dxa"/>
            <w:shd w:val="clear" w:color="auto" w:fill="auto"/>
            <w:vAlign w:val="center"/>
          </w:tcPr>
          <w:p w14:paraId="7F0C368B" w14:textId="77777777" w:rsidR="00810FAC" w:rsidRPr="00147909" w:rsidRDefault="00810FAC" w:rsidP="00BF5472">
            <w:pPr>
              <w:pStyle w:val="TableText"/>
            </w:pPr>
            <w:r w:rsidRPr="00147909">
              <w:t>11</w:t>
            </w:r>
          </w:p>
        </w:tc>
        <w:tc>
          <w:tcPr>
            <w:tcW w:w="2421" w:type="dxa"/>
            <w:shd w:val="clear" w:color="auto" w:fill="auto"/>
            <w:vAlign w:val="center"/>
          </w:tcPr>
          <w:p w14:paraId="12955F98" w14:textId="77777777" w:rsidR="00810FAC" w:rsidRPr="00147909" w:rsidRDefault="00810FAC" w:rsidP="00BF5472">
            <w:pPr>
              <w:pStyle w:val="TableText"/>
            </w:pPr>
            <w:r w:rsidRPr="00147909">
              <w:t>6.92% to 8.36%</w:t>
            </w:r>
          </w:p>
        </w:tc>
        <w:tc>
          <w:tcPr>
            <w:tcW w:w="2380" w:type="dxa"/>
            <w:shd w:val="clear" w:color="auto" w:fill="auto"/>
            <w:vAlign w:val="center"/>
          </w:tcPr>
          <w:p w14:paraId="07810FAE" w14:textId="77777777" w:rsidR="00810FAC" w:rsidRPr="00147909" w:rsidRDefault="00810FAC" w:rsidP="00BF5472">
            <w:pPr>
              <w:pStyle w:val="TableText"/>
            </w:pPr>
            <w:r w:rsidRPr="00147909">
              <w:t>0.63%/year to 0.76%/year</w:t>
            </w:r>
          </w:p>
        </w:tc>
        <w:tc>
          <w:tcPr>
            <w:tcW w:w="2737" w:type="dxa"/>
            <w:shd w:val="clear" w:color="auto" w:fill="auto"/>
            <w:vAlign w:val="center"/>
          </w:tcPr>
          <w:p w14:paraId="7D43484B" w14:textId="77777777" w:rsidR="00810FAC" w:rsidRPr="00147909" w:rsidRDefault="00810FAC" w:rsidP="00BF5472">
            <w:pPr>
              <w:pStyle w:val="TableText"/>
            </w:pPr>
            <w:r w:rsidRPr="00147909">
              <w:t>0.71% per year</w:t>
            </w:r>
          </w:p>
        </w:tc>
      </w:tr>
    </w:tbl>
    <w:p w14:paraId="4B2670D1" w14:textId="4B14D449" w:rsidR="00810FAC" w:rsidRPr="00196931" w:rsidRDefault="00810FAC" w:rsidP="00CF0D49">
      <w:pPr>
        <w:pStyle w:val="CH5TableSource"/>
      </w:pPr>
      <w:r w:rsidRPr="00147909">
        <w:t>Source: EPA calculations based on Table 25</w:t>
      </w:r>
    </w:p>
    <w:p w14:paraId="1CC2D373" w14:textId="3C170A13" w:rsidR="00810FAC" w:rsidRDefault="00810FAC" w:rsidP="00810FAC">
      <w:pPr>
        <w:pStyle w:val="CH5BodyText"/>
      </w:pPr>
      <w:r w:rsidRPr="00D33008">
        <w:t xml:space="preserve">The state range and national value for the average annual savings rate represented in the </w:t>
      </w:r>
      <w:r>
        <w:t xml:space="preserve">demand-side </w:t>
      </w:r>
      <w:r w:rsidRPr="00D33008">
        <w:t xml:space="preserve">EE </w:t>
      </w:r>
      <w:r>
        <w:t xml:space="preserve">plan </w:t>
      </w:r>
      <w:r w:rsidRPr="00D33008">
        <w:t>scenario are below the range of values found in recent utility, state, and regional studies (</w:t>
      </w:r>
      <w:r>
        <w:t>0.9% to 1.3%</w:t>
      </w:r>
      <w:r w:rsidRPr="00D33008">
        <w:t xml:space="preserve"> per year) as summarized in Table 6</w:t>
      </w:r>
      <w:r>
        <w:t>.</w:t>
      </w:r>
      <w:r w:rsidRPr="00D33008">
        <w:t xml:space="preserve"> These results provide additional support for the </w:t>
      </w:r>
      <w:r>
        <w:t xml:space="preserve">reasonableness and </w:t>
      </w:r>
      <w:r w:rsidRPr="00D33008">
        <w:t xml:space="preserve">feasibility of the </w:t>
      </w:r>
      <w:r>
        <w:t xml:space="preserve">demand-side </w:t>
      </w:r>
      <w:r w:rsidRPr="00D33008">
        <w:t xml:space="preserve">EE </w:t>
      </w:r>
      <w:r>
        <w:t xml:space="preserve">plan </w:t>
      </w:r>
      <w:r w:rsidRPr="00D33008">
        <w:t>scenario and associated state-specific</w:t>
      </w:r>
      <w:r>
        <w:t xml:space="preserve"> results</w:t>
      </w:r>
      <w:r w:rsidRPr="00D33008">
        <w:t>.</w:t>
      </w:r>
    </w:p>
    <w:p w14:paraId="23AADC56" w14:textId="7998EBFB" w:rsidR="00EC3BA4" w:rsidRPr="00D33008" w:rsidRDefault="00EC3BA4" w:rsidP="00EC3BA4">
      <w:pPr>
        <w:pStyle w:val="Heading3"/>
      </w:pPr>
      <w:r>
        <w:t xml:space="preserve">Representation of Demand-Side EE </w:t>
      </w:r>
      <w:r w:rsidR="001E2EF2">
        <w:t>in Modeling of the Illustrative Plan Scenario</w:t>
      </w:r>
    </w:p>
    <w:p w14:paraId="6179BE17" w14:textId="1953E1CB" w:rsidR="00F96A75" w:rsidRPr="00D33008" w:rsidRDefault="00F96A75" w:rsidP="009D719A">
      <w:pPr>
        <w:pStyle w:val="CH5BodyText"/>
      </w:pPr>
      <w:r w:rsidRPr="00F96A75">
        <w:t xml:space="preserve">To reflect the implementation of the illustrative energy efficiency plan scenario in </w:t>
      </w:r>
      <w:r w:rsidR="00AB0FCE">
        <w:t xml:space="preserve">power sector </w:t>
      </w:r>
      <w:r w:rsidRPr="00F96A75">
        <w:t xml:space="preserve">modeling, </w:t>
      </w:r>
      <w:r w:rsidR="00AB0FCE">
        <w:t xml:space="preserve">as discussed in the RIA (Chapter 3), </w:t>
      </w:r>
      <w:r w:rsidRPr="00F96A75">
        <w:t xml:space="preserve">the IPM base case electricity demand was adjusted exogenously to reflect the estimated future-year demand reductions </w:t>
      </w:r>
      <w:r w:rsidR="00AB0FCE">
        <w:t xml:space="preserve">described and summarized </w:t>
      </w:r>
      <w:r w:rsidRPr="00F96A75">
        <w:t>above. State-level demand reductions were scaled up to account for transmission losses and applied to base case generation demand in each model year to derive adjusted demand for each state, reflecting the energy efficiency plan scenario energy reductions. The demand adjustments were applied proportionally across all segments (peak and non-peak) of the load duration curve.</w:t>
      </w:r>
      <w:r w:rsidR="004A2195">
        <w:t xml:space="preserve"> </w:t>
      </w:r>
      <w:r w:rsidR="001E2EF2">
        <w:t xml:space="preserve">This approach </w:t>
      </w:r>
      <w:r w:rsidR="00ED7793">
        <w:t xml:space="preserve">to allocating annual electricity reductions is consistent with the significant levels of savings represented in the illustrative demand-side plan scenario. Achieving 1.0% incremental savings typically require robust EE program portfolios, employing a diverse set of measures across all sectors and most end-use categories. The impacts of such comprehensive portfolios occur across the full annual load duration curve with higher periods of demand providing proportionally greater </w:t>
      </w:r>
      <w:r w:rsidR="00186AE6">
        <w:t>EE potential. In other words, potential demand reductions through EE measures tend to mirror the underlying load duration curve which, in turn, is formed from the demands from all end uses, across all end-use sectors.</w:t>
      </w:r>
      <w:r w:rsidR="009D719A">
        <w:t xml:space="preserve"> Appendix 1 provides summary results from more than 50 recent EE potential studies – conducted between 2009 and 2014 – from across the U.S. The detailed results of these studies indicate the breadth of end-uses, across all end-use sectors, which provide cost-effective EE potential.</w:t>
      </w:r>
    </w:p>
    <w:p w14:paraId="7936AE3A" w14:textId="77777777" w:rsidR="00810FAC" w:rsidRPr="00D33008" w:rsidRDefault="00810FAC" w:rsidP="006E6A19">
      <w:pPr>
        <w:pStyle w:val="Heading1"/>
      </w:pPr>
      <w:bookmarkStart w:id="136" w:name="_Toc424675675"/>
      <w:bookmarkStart w:id="137" w:name="_Toc424721595"/>
      <w:r>
        <w:lastRenderedPageBreak/>
        <w:t xml:space="preserve">Demand-Side EE Plan Scenario: </w:t>
      </w:r>
      <w:r w:rsidRPr="00D33008">
        <w:t>Assessment</w:t>
      </w:r>
      <w:r>
        <w:t xml:space="preserve"> of Costs</w:t>
      </w:r>
      <w:bookmarkEnd w:id="136"/>
      <w:bookmarkEnd w:id="137"/>
    </w:p>
    <w:p w14:paraId="41C6E3E7" w14:textId="77777777" w:rsidR="00810FAC" w:rsidRPr="00D33008" w:rsidRDefault="00810FAC" w:rsidP="006E6A19">
      <w:pPr>
        <w:pStyle w:val="Heading2"/>
      </w:pPr>
      <w:bookmarkStart w:id="138" w:name="_Toc424675676"/>
      <w:bookmarkStart w:id="139" w:name="_Toc424721596"/>
      <w:r w:rsidRPr="00D33008">
        <w:t>Approach</w:t>
      </w:r>
      <w:bookmarkEnd w:id="138"/>
      <w:bookmarkEnd w:id="139"/>
    </w:p>
    <w:p w14:paraId="0621E013" w14:textId="37C281E8" w:rsidR="00810FAC" w:rsidRDefault="00810FAC" w:rsidP="00810FAC">
      <w:pPr>
        <w:pStyle w:val="CH5BodyText"/>
      </w:pPr>
      <w:r>
        <w:t xml:space="preserve">This section provides the basis for estimating the costs that would be incurred to achieve the magnitude and timing of EE savings represented by the EE plan scenario. Chapter 3 of the Regulatory Impacts Analysis (RIA) presents illustrative analysis of the final rule by </w:t>
      </w:r>
      <w:r w:rsidR="00A940EF">
        <w:t xml:space="preserve">showing </w:t>
      </w:r>
      <w:r>
        <w:t xml:space="preserve">approaches that states might pursue as they develop their state plans. The </w:t>
      </w:r>
      <w:r w:rsidR="00A940EF">
        <w:t xml:space="preserve">scenarios used in the </w:t>
      </w:r>
      <w:r>
        <w:t>RIA</w:t>
      </w:r>
      <w:r w:rsidR="00A940EF">
        <w:t xml:space="preserve"> are the basis for costs, benefits, and other power sector </w:t>
      </w:r>
      <w:r>
        <w:t xml:space="preserve">impacts of the final rule. The final </w:t>
      </w:r>
      <w:r w:rsidR="00896D15">
        <w:t xml:space="preserve">rule </w:t>
      </w:r>
      <w:r w:rsidR="00A940EF">
        <w:t xml:space="preserve">allows </w:t>
      </w:r>
      <w:r>
        <w:t xml:space="preserve">states to use demand-side EE as a component of their state plan strategy, either directly recognized towards compliance with a rate-based goal or as a complimentary approach for achieving a mass-based goal. The EPA has included in </w:t>
      </w:r>
      <w:r w:rsidR="00A940EF">
        <w:t xml:space="preserve">the </w:t>
      </w:r>
      <w:r>
        <w:t>illustrative plan scenarios (both rate- and mass-based) a level of demand reduction that could be achieved, and the associated costs incurred, through implementation of demand-side EE measures</w:t>
      </w:r>
      <w:r w:rsidR="00A940EF">
        <w:t xml:space="preserve"> as shown in this TSD</w:t>
      </w:r>
      <w:r>
        <w:t xml:space="preserve">. In this section, the EPA provides the basis for the </w:t>
      </w:r>
      <w:r w:rsidR="00827635">
        <w:t xml:space="preserve">costs of the </w:t>
      </w:r>
      <w:r>
        <w:t>illustrative demand-side EE plan scenario that is included as a component of the plan scenarios presented in the RIA.</w:t>
      </w:r>
    </w:p>
    <w:p w14:paraId="32932AA0" w14:textId="367FABAE" w:rsidR="00810FAC" w:rsidRPr="00D33008" w:rsidRDefault="00810FAC" w:rsidP="00810FAC">
      <w:pPr>
        <w:pStyle w:val="CH5BodyText"/>
      </w:pPr>
      <w:r>
        <w:t xml:space="preserve">The electricity savings resulting from the </w:t>
      </w:r>
      <w:r w:rsidR="00C82BCB">
        <w:t xml:space="preserve">demand-side </w:t>
      </w:r>
      <w:r>
        <w:t xml:space="preserve">EE </w:t>
      </w:r>
      <w:r w:rsidR="00C82BCB">
        <w:t xml:space="preserve">methodology was </w:t>
      </w:r>
      <w:r>
        <w:t xml:space="preserve">used to adjust electricity demand levels </w:t>
      </w:r>
      <w:r w:rsidR="00C82BCB">
        <w:t>in an</w:t>
      </w:r>
      <w:r w:rsidRPr="00557C39">
        <w:t xml:space="preserve"> exogenous </w:t>
      </w:r>
      <w:r w:rsidR="00C82BCB">
        <w:t xml:space="preserve">manner, applied to the </w:t>
      </w:r>
      <w:r w:rsidRPr="00557C39">
        <w:t>power sector modeling for the illustrative plan scenarios of the RIA. In other words, the degree to which EE is employed is not determined endogenously within the power sector modeling based upon optimization of costs but, rather, “hard wired” into the illustrative plan scenarios. The electricity savings represented in the demand-side EE plan scenario lead to substantial reductions in power system costs due to the reductions in specified electricity demand. Since EE is not represented endogenously as an abatement measure within the power sector modeling, the costs associated with the EE plan scenario must be estimated outside of the power sector modeling and integrated with the results from that modeling. These EE cost estimates, their basis, and calculations are addressed in the following sections.</w:t>
      </w:r>
    </w:p>
    <w:p w14:paraId="52D70DA5" w14:textId="77777777" w:rsidR="00810FAC" w:rsidRPr="00D33008" w:rsidRDefault="00810FAC" w:rsidP="006E6A19">
      <w:pPr>
        <w:pStyle w:val="Heading2"/>
      </w:pPr>
      <w:bookmarkStart w:id="140" w:name="_Toc424675677"/>
      <w:bookmarkStart w:id="141" w:name="_Toc424721597"/>
      <w:r w:rsidRPr="00D33008">
        <w:t>Inputs</w:t>
      </w:r>
      <w:bookmarkEnd w:id="140"/>
      <w:bookmarkEnd w:id="141"/>
    </w:p>
    <w:p w14:paraId="1F3364C3" w14:textId="77777777" w:rsidR="00810FAC" w:rsidRPr="00D33008" w:rsidRDefault="00810FAC" w:rsidP="00810FAC">
      <w:pPr>
        <w:pStyle w:val="CH5BodyText"/>
      </w:pPr>
      <w:r w:rsidRPr="00D33008">
        <w:t>The following steps were taken to establish the inputs for development of the EE cost estimates for each state</w:t>
      </w:r>
      <w:r>
        <w:t xml:space="preserve"> in each year</w:t>
      </w:r>
      <w:r w:rsidRPr="00D33008">
        <w:t>.</w:t>
      </w:r>
    </w:p>
    <w:p w14:paraId="11AD3CF2" w14:textId="77777777" w:rsidR="00810FAC" w:rsidRPr="00D33008" w:rsidRDefault="00810FAC" w:rsidP="00311E15">
      <w:pPr>
        <w:pStyle w:val="CH5BulletList"/>
      </w:pPr>
      <w:r w:rsidRPr="00D33008">
        <w:t xml:space="preserve">Step 1: Determine </w:t>
      </w:r>
      <w:r>
        <w:t xml:space="preserve">incremental </w:t>
      </w:r>
      <w:r w:rsidRPr="00D33008">
        <w:t>electricity savings</w:t>
      </w:r>
    </w:p>
    <w:p w14:paraId="3E07DAEB" w14:textId="77777777" w:rsidR="00810FAC" w:rsidRPr="00D33008" w:rsidRDefault="00810FAC" w:rsidP="00311E15">
      <w:pPr>
        <w:pStyle w:val="CH5BulletList"/>
      </w:pPr>
      <w:r w:rsidRPr="00D33008">
        <w:lastRenderedPageBreak/>
        <w:t xml:space="preserve">Step 2: Determine first-year program costs </w:t>
      </w:r>
      <w:r>
        <w:t>and cost factors</w:t>
      </w:r>
    </w:p>
    <w:p w14:paraId="4E663C64" w14:textId="77777777" w:rsidR="00810FAC" w:rsidRPr="00D33008" w:rsidRDefault="00810FAC" w:rsidP="00311E15">
      <w:pPr>
        <w:pStyle w:val="CH5BulletListlast"/>
      </w:pPr>
      <w:r w:rsidRPr="00D33008">
        <w:t>Step 3: Determine the ratio of program to participant costs</w:t>
      </w:r>
    </w:p>
    <w:p w14:paraId="4327AC0F" w14:textId="77777777" w:rsidR="00810FAC" w:rsidRPr="00D33008" w:rsidRDefault="00810FAC" w:rsidP="006E6A19">
      <w:pPr>
        <w:pStyle w:val="Heading3"/>
      </w:pPr>
      <w:bookmarkStart w:id="142" w:name="_Toc424721598"/>
      <w:r w:rsidRPr="00D33008">
        <w:t xml:space="preserve">Step 1: Determine </w:t>
      </w:r>
      <w:r>
        <w:t xml:space="preserve">Incremental </w:t>
      </w:r>
      <w:r w:rsidRPr="00D33008">
        <w:t>Electricity Savings</w:t>
      </w:r>
      <w:bookmarkEnd w:id="142"/>
    </w:p>
    <w:p w14:paraId="64008C38" w14:textId="019CA583" w:rsidR="00810FAC" w:rsidRDefault="00810FAC" w:rsidP="00810FAC">
      <w:pPr>
        <w:pStyle w:val="CH5BodyText"/>
      </w:pPr>
      <w:r w:rsidRPr="00D33008">
        <w:t xml:space="preserve">Results from </w:t>
      </w:r>
      <w:r>
        <w:t>section 8</w:t>
      </w:r>
      <w:r w:rsidRPr="00D33008">
        <w:t xml:space="preserve"> provide the starting </w:t>
      </w:r>
      <w:r>
        <w:t>basis</w:t>
      </w:r>
      <w:r w:rsidRPr="00D33008">
        <w:t xml:space="preserve"> for estimation of EE costs</w:t>
      </w:r>
      <w:r>
        <w:t xml:space="preserve"> used in the RIA</w:t>
      </w:r>
      <w:r w:rsidRPr="00D33008">
        <w:t xml:space="preserve">. </w:t>
      </w:r>
      <w:r>
        <w:t xml:space="preserve">The resulting </w:t>
      </w:r>
      <w:r w:rsidRPr="00D33008">
        <w:t xml:space="preserve">incremental savings (MWh) </w:t>
      </w:r>
      <w:r>
        <w:t>by state and by year provide the first step in calculating EE plan scenario costs.</w:t>
      </w:r>
    </w:p>
    <w:p w14:paraId="04103935" w14:textId="77777777" w:rsidR="00810FAC" w:rsidRPr="00D33008" w:rsidRDefault="00810FAC" w:rsidP="006E6A19">
      <w:pPr>
        <w:pStyle w:val="Heading3"/>
      </w:pPr>
      <w:bookmarkStart w:id="143" w:name="_Toc424721599"/>
      <w:r w:rsidRPr="00D33008">
        <w:t xml:space="preserve">Step 2: Determine First-Year Program Costs </w:t>
      </w:r>
      <w:r>
        <w:t>and Cost Factors</w:t>
      </w:r>
      <w:bookmarkEnd w:id="143"/>
    </w:p>
    <w:p w14:paraId="7D6F5934" w14:textId="77777777" w:rsidR="00810FAC" w:rsidRDefault="00810FAC" w:rsidP="00810FAC">
      <w:pPr>
        <w:pStyle w:val="CH5BodyText"/>
      </w:pPr>
      <w:r w:rsidRPr="00D33008">
        <w:t xml:space="preserve">First-year program costs refer to the full costs (e.g., </w:t>
      </w:r>
      <w:r>
        <w:t xml:space="preserve">incentive payments, </w:t>
      </w:r>
      <w:r w:rsidRPr="00D33008">
        <w:t xml:space="preserve">administration,  </w:t>
      </w:r>
      <w:r>
        <w:t xml:space="preserve">technical support, </w:t>
      </w:r>
      <w:r w:rsidRPr="00D33008">
        <w:t xml:space="preserve">marketing, </w:t>
      </w:r>
      <w:r>
        <w:t xml:space="preserve">evaluation, measurement and verification (EM&amp;V), </w:t>
      </w:r>
      <w:r w:rsidRPr="00D33008">
        <w:t>information to consumers, etc.) incurred by a utility or other administrator of EE programs in a given year that lead to EE measures (technologies and practices) put in place in that year</w:t>
      </w:r>
      <w:r>
        <w:t>,</w:t>
      </w:r>
      <w:r w:rsidRPr="00D33008">
        <w:t xml:space="preserve"> and result in reductions in electricity demand in that and future years (driven by the mix of measure lives across the portfolio of EE programs employed). </w:t>
      </w:r>
      <w:r>
        <w:t xml:space="preserve">First-year program costs are represented as these costs divided by the incremental (or first-year) savings for that year. </w:t>
      </w:r>
      <w:r w:rsidRPr="00D33008">
        <w:t>Unlike participant costs, program costs are readily known by the administrator of EE programs and are, therefore, an appropriate starting point for cost analysis</w:t>
      </w:r>
      <w:r>
        <w:t xml:space="preserve"> of the demand-side EE plan scenario</w:t>
      </w:r>
      <w:r w:rsidRPr="00D33008">
        <w:t xml:space="preserve">. </w:t>
      </w:r>
    </w:p>
    <w:p w14:paraId="33BE0D83" w14:textId="7A575411" w:rsidR="00810FAC" w:rsidRDefault="00810FAC" w:rsidP="00810FAC">
      <w:pPr>
        <w:pStyle w:val="CH5BodyText"/>
      </w:pPr>
      <w:r>
        <w:t xml:space="preserve">Recent studies have collected and analyzed first-year program cost data directly from EE program administrators from across the U.S. </w:t>
      </w:r>
      <w:r w:rsidRPr="00D33008">
        <w:t xml:space="preserve">In 2009, ACEEE conducted a national review of data on </w:t>
      </w:r>
      <w:r>
        <w:t>EE</w:t>
      </w:r>
      <w:r w:rsidRPr="00D33008">
        <w:t xml:space="preserve"> program costs from program annual reports, evaluation reports, and information compiled from contacts at program administers in 14 states</w:t>
      </w:r>
      <w:r>
        <w:t xml:space="preserve"> (ACEEE 2009)</w:t>
      </w:r>
      <w:r w:rsidRPr="00D33008">
        <w:t xml:space="preserve">. </w:t>
      </w:r>
      <w:r>
        <w:t xml:space="preserve">The program cost data were compiled </w:t>
      </w:r>
      <w:r w:rsidRPr="00D33008">
        <w:t xml:space="preserve">from multiple EE program administrators </w:t>
      </w:r>
      <w:r>
        <w:t xml:space="preserve">over multiple years </w:t>
      </w:r>
      <w:r w:rsidRPr="00D33008">
        <w:t>in each state. ACEEE found average first-year net</w:t>
      </w:r>
      <w:r w:rsidRPr="00D33008">
        <w:rPr>
          <w:rStyle w:val="FootnoteReference"/>
        </w:rPr>
        <w:footnoteReference w:id="38"/>
      </w:r>
      <w:r w:rsidRPr="00D33008">
        <w:t xml:space="preserve"> </w:t>
      </w:r>
      <w:r>
        <w:t xml:space="preserve">program </w:t>
      </w:r>
      <w:r w:rsidRPr="00D33008">
        <w:t xml:space="preserve">costs of $275/MWh (2011$). Two </w:t>
      </w:r>
      <w:r>
        <w:t xml:space="preserve">newer </w:t>
      </w:r>
      <w:r w:rsidRPr="00D33008">
        <w:t>national analyses have found lower program costs than the 2009 ACEEE study.</w:t>
      </w:r>
      <w:r>
        <w:t xml:space="preserve"> </w:t>
      </w:r>
      <w:r w:rsidRPr="00D33008">
        <w:t>In 2014, ACEEE updated their analysis from 2009, expanding the number of states to 20, and including a greater number of program administrators and years</w:t>
      </w:r>
      <w:r>
        <w:t xml:space="preserve"> (ACEEE 2014d)</w:t>
      </w:r>
      <w:r w:rsidRPr="00D33008">
        <w:t xml:space="preserve">. In this analysis ACEEE found average first-year net </w:t>
      </w:r>
      <w:r>
        <w:t xml:space="preserve">program </w:t>
      </w:r>
      <w:r w:rsidRPr="00D33008">
        <w:t>costs of $230/MWh (2011$). In 2014, an LBNL study presented results from a uniquely comprehensive study of EE program costs</w:t>
      </w:r>
      <w:r>
        <w:t xml:space="preserve"> (LBNL 2014b)</w:t>
      </w:r>
      <w:r w:rsidRPr="00D33008">
        <w:t xml:space="preserve">. The LBNL analysis reviewed program-level data from over 100 program administrators in 31 states. Data were </w:t>
      </w:r>
      <w:r w:rsidRPr="00D33008">
        <w:lastRenderedPageBreak/>
        <w:t>collected from over 1,700 individual programs for up to three years (2009-2011), covering more than 4,000 individual program</w:t>
      </w:r>
      <w:r>
        <w:t>-</w:t>
      </w:r>
      <w:r w:rsidRPr="00D33008">
        <w:t>years data points. Because of the broad scope of their study and the lack of net savings information for many programs, LBNL focused on gross</w:t>
      </w:r>
      <w:r>
        <w:t>,</w:t>
      </w:r>
      <w:r w:rsidRPr="00D33008">
        <w:t xml:space="preserve"> rather than net, savings values.</w:t>
      </w:r>
      <w:r w:rsidRPr="00D33008">
        <w:rPr>
          <w:rStyle w:val="FootnoteReference"/>
        </w:rPr>
        <w:footnoteReference w:id="39"/>
      </w:r>
      <w:r w:rsidRPr="00D33008">
        <w:t xml:space="preserve">  LBNL found national average first-year </w:t>
      </w:r>
      <w:r>
        <w:t xml:space="preserve">program </w:t>
      </w:r>
      <w:r w:rsidRPr="00D33008">
        <w:t xml:space="preserve">cost of gross savings of $162/MWh (2012$). Applying an average net-to-gross ratio of 0.9 and deflating costs at </w:t>
      </w:r>
      <w:r>
        <w:t>1.8</w:t>
      </w:r>
      <w:r w:rsidRPr="00D33008">
        <w:t>%, results in an estimated national average first-year cost of net savings of $17</w:t>
      </w:r>
      <w:r>
        <w:t>7</w:t>
      </w:r>
      <w:r w:rsidRPr="00D33008">
        <w:t xml:space="preserve"> (2011$).</w:t>
      </w:r>
      <w:r>
        <w:rPr>
          <w:rStyle w:val="FootnoteReference"/>
        </w:rPr>
        <w:footnoteReference w:id="40"/>
      </w:r>
      <w:r>
        <w:t xml:space="preserve"> The results cited from these three studies represent average first-year costs from program administrators across the U.S.</w:t>
      </w:r>
    </w:p>
    <w:p w14:paraId="1D192A8A" w14:textId="04B7834F" w:rsidR="00810FAC" w:rsidRDefault="00896D15" w:rsidP="00311E15">
      <w:pPr>
        <w:pStyle w:val="CH5BodyText"/>
      </w:pPr>
      <w:r>
        <w:t xml:space="preserve">There are two factors </w:t>
      </w:r>
      <w:r w:rsidR="00810FAC" w:rsidRPr="00D33008">
        <w:t xml:space="preserve">that would </w:t>
      </w:r>
      <w:r>
        <w:t xml:space="preserve">influence </w:t>
      </w:r>
      <w:r w:rsidR="00810FAC">
        <w:t xml:space="preserve">first-year </w:t>
      </w:r>
      <w:r w:rsidR="00810FAC" w:rsidRPr="00D33008">
        <w:t>EE costs as higher levels of performance are achieved. Economies of scale in the operation of larger EE programs and larger portfolios of EE programs, and learning and expertise gained over time from the continued implementation of programs, are two factors that would lower costs as programs scale up and expand to realize higher levels of performance</w:t>
      </w:r>
      <w:r w:rsidR="00810FAC">
        <w:t xml:space="preserve"> (Jaffe et al. 2003)</w:t>
      </w:r>
      <w:r w:rsidR="00810FAC" w:rsidRPr="00D33008">
        <w:t xml:space="preserve">. However, the limited supply of EE abatement measures and the need to employ higher cost measures, over time, to reach higher levels of performance, and to sustain high levels of performance, are factors that would increase costs as higher levels of performance are achieved. </w:t>
      </w:r>
      <w:r w:rsidR="00810FAC">
        <w:t>Several analyses of EE program costs and savings based on empirical data are consistent with th</w:t>
      </w:r>
      <w:r w:rsidR="00E44F68">
        <w:t>is</w:t>
      </w:r>
      <w:r w:rsidR="00810FAC">
        <w:t>, indicating significantly declining costs up to incremental savings levels of 1.0% or higher, and then level or increasing costs as higher savings levels are achieved (Synapse 2008; GEEG 2012; LBNL 2015b). Based on analysis like these, a recent LBNL study adopted an approach that generically represented declining costs at lower savings levels and increasing costs at higher savings levels (</w:t>
      </w:r>
      <w:r w:rsidR="001A7D56">
        <w:t>Barbose et al. 2013</w:t>
      </w:r>
      <w:r w:rsidR="00810FAC">
        <w:t>). Counter to these studies, other analysis of empirical data has indicated only steadily rising costs as savings levels increase even from levels below 0.5% (ACEEE 2014d).</w:t>
      </w:r>
    </w:p>
    <w:p w14:paraId="6981C2B4" w14:textId="77777777" w:rsidR="00810FAC" w:rsidRDefault="00810FAC" w:rsidP="00810FAC">
      <w:pPr>
        <w:pStyle w:val="CH5BodyText"/>
      </w:pPr>
      <w:r w:rsidRPr="00D33008">
        <w:t xml:space="preserve">In consideration of the above discussion, the EPA has chosen to </w:t>
      </w:r>
      <w:r>
        <w:t xml:space="preserve">use a three-tier approach to generically represent declining first-year program costs through the maximum savings level of 1.0% represented in the EE plan scenario. The first tier is used for incremental savings levels less than 0.5%; the second tier is used for incremental savings levels equal to or greater than 0.5% and less than 1.0%; and the third tier is used for incremental savings levels of 1.0% (the highest </w:t>
      </w:r>
      <w:r>
        <w:lastRenderedPageBreak/>
        <w:t>level assumed for demand-side EE plan scenario). To reflect the significantly higher costs found at the lowest savings levels, program costs for the first tier are set at two times the level found in the 2009 ACEEE study. This results in first-year program costs of $550/MWh ($2011) for the first tier. For the second and third tiers, these costs are reduced by 20% and 40%, respectively, resulting in first-year program costs of $440/MWh and $330/MWh. The approach results in reasonable but conservative cost assumptions for analyzing the demand-side EE plan scenario.</w:t>
      </w:r>
    </w:p>
    <w:p w14:paraId="321753AD" w14:textId="77777777" w:rsidR="00810FAC" w:rsidRPr="00D33008" w:rsidRDefault="00810FAC" w:rsidP="006E6A19">
      <w:pPr>
        <w:pStyle w:val="Heading3"/>
      </w:pPr>
      <w:bookmarkStart w:id="144" w:name="_Toc424721600"/>
      <w:r w:rsidRPr="00D33008">
        <w:t>Step 3: Determine the Ratio of Program to Participant Costs</w:t>
      </w:r>
      <w:bookmarkEnd w:id="144"/>
    </w:p>
    <w:p w14:paraId="43F1D6FC" w14:textId="474DE846" w:rsidR="00810FAC" w:rsidRDefault="00810FAC" w:rsidP="00810FAC">
      <w:pPr>
        <w:pStyle w:val="CH5BodyText"/>
      </w:pPr>
      <w:r w:rsidRPr="00D33008">
        <w:t xml:space="preserve">As noted above, while program costs are readily known and consistently </w:t>
      </w:r>
      <w:r>
        <w:t xml:space="preserve">tracked and </w:t>
      </w:r>
      <w:r w:rsidRPr="00D33008">
        <w:t>reported by program administrator</w:t>
      </w:r>
      <w:r>
        <w:t>s</w:t>
      </w:r>
      <w:r w:rsidRPr="00D33008">
        <w:t xml:space="preserve">, participant costs </w:t>
      </w:r>
      <w:r>
        <w:t>are not easily known</w:t>
      </w:r>
      <w:r w:rsidRPr="00D33008">
        <w:t xml:space="preserve">, and are less consistently estimated and reported. The ratio between program and participant costs will vary significantly from one program to the next within a utility’s portfolio. </w:t>
      </w:r>
      <w:r>
        <w:t xml:space="preserve">To determine an appropriate ratio for the impacts assessment of the CPP proposed rule, EPA conducted research and analysis of industry data (annual EE program reports from administrators in 22 states) and found that on average program costs represented 53% of total </w:t>
      </w:r>
      <w:r w:rsidR="00F86F10">
        <w:t xml:space="preserve">measured </w:t>
      </w:r>
      <w:r>
        <w:t xml:space="preserve">costs (with </w:t>
      </w:r>
      <w:r w:rsidR="00F86F10">
        <w:t xml:space="preserve">direct </w:t>
      </w:r>
      <w:r>
        <w:t>participant costs representing the remaining 47%) (EPA 2014a). Based on this analysis, the EPA used a ratio of 1-to-1 for program to participant costs for the EE cost estimates contained in the CPP proposed rule. In April 2015 the Lawrence Berkeley National Laboratory (LBNL) published a technical brief that analyzed program and participant costs for EE programs based on their extensive LBNL DSM Program Database (LBNL 2015b). The database contains information on approximately 1,700 individual EE programs across multiple years from 34 states. The LBNL summary findings indicate a ratio of program to participant costs of 51% to 49%.  These results are consistent with the earlier analysis and support the use of the 1-to-1 ratio for the current analysis. This ratio is used to</w:t>
      </w:r>
      <w:r w:rsidRPr="00D33008">
        <w:t xml:space="preserve"> derive participant and total costs based upon program costs. </w:t>
      </w:r>
    </w:p>
    <w:p w14:paraId="2FD151CC" w14:textId="77777777" w:rsidR="00810FAC" w:rsidRPr="00D33008" w:rsidRDefault="00810FAC" w:rsidP="006E6A19">
      <w:pPr>
        <w:pStyle w:val="Heading3"/>
      </w:pPr>
      <w:bookmarkStart w:id="145" w:name="_Toc424721601"/>
      <w:r w:rsidRPr="00D33008">
        <w:t xml:space="preserve">Summary of Inputs for </w:t>
      </w:r>
      <w:r>
        <w:t xml:space="preserve">Demand-Side EE </w:t>
      </w:r>
      <w:r w:rsidRPr="00D33008">
        <w:t>Cost Analysis</w:t>
      </w:r>
      <w:bookmarkEnd w:id="145"/>
    </w:p>
    <w:p w14:paraId="0C3BC732" w14:textId="77777777" w:rsidR="00810FAC" w:rsidRPr="00D33008" w:rsidRDefault="00810FAC" w:rsidP="00810FAC">
      <w:pPr>
        <w:pStyle w:val="CH5BodyText"/>
      </w:pPr>
      <w:r w:rsidRPr="00D33008">
        <w:t>Table 2</w:t>
      </w:r>
      <w:r>
        <w:t>7</w:t>
      </w:r>
      <w:r w:rsidRPr="00D33008">
        <w:t xml:space="preserve"> provides a summary of inputs for the EE cost analysis including</w:t>
      </w:r>
      <w:r>
        <w:t xml:space="preserve"> incremental electricity savings, </w:t>
      </w:r>
      <w:r w:rsidRPr="00D33008">
        <w:t>first-year costs</w:t>
      </w:r>
      <w:r>
        <w:t xml:space="preserve"> and cost factors</w:t>
      </w:r>
      <w:r w:rsidRPr="00D33008">
        <w:t xml:space="preserve">, </w:t>
      </w:r>
      <w:r>
        <w:t xml:space="preserve">and </w:t>
      </w:r>
      <w:r w:rsidRPr="00D33008">
        <w:t xml:space="preserve">ratio of program to participant costs. </w:t>
      </w:r>
    </w:p>
    <w:p w14:paraId="6C557299" w14:textId="77777777" w:rsidR="00810FAC" w:rsidRPr="00D33008" w:rsidRDefault="00810FAC" w:rsidP="00311E15">
      <w:pPr>
        <w:pStyle w:val="CH5TableTitle"/>
      </w:pPr>
      <w:bookmarkStart w:id="146" w:name="_Toc424720277"/>
      <w:r w:rsidRPr="00D33008">
        <w:lastRenderedPageBreak/>
        <w:t>Table 2</w:t>
      </w:r>
      <w:r>
        <w:t xml:space="preserve">7. </w:t>
      </w:r>
      <w:r w:rsidRPr="00D33008">
        <w:t xml:space="preserve">Summary of </w:t>
      </w:r>
      <w:r>
        <w:t>EE</w:t>
      </w:r>
      <w:r w:rsidRPr="00D33008">
        <w:t xml:space="preserve"> Cost Analysis Inputs</w:t>
      </w:r>
      <w:bookmarkEnd w:id="146"/>
    </w:p>
    <w:tbl>
      <w:tblPr>
        <w:tblStyle w:val="TableGrid"/>
        <w:tblW w:w="9540" w:type="dxa"/>
        <w:tblInd w:w="-5" w:type="dxa"/>
        <w:tblLayout w:type="fixed"/>
        <w:tblLook w:val="04A0" w:firstRow="1" w:lastRow="0" w:firstColumn="1" w:lastColumn="0" w:noHBand="0" w:noVBand="1"/>
      </w:tblPr>
      <w:tblGrid>
        <w:gridCol w:w="2250"/>
        <w:gridCol w:w="2554"/>
        <w:gridCol w:w="2368"/>
        <w:gridCol w:w="2368"/>
      </w:tblGrid>
      <w:tr w:rsidR="00810FAC" w:rsidRPr="00D33008" w14:paraId="6E72CFA1" w14:textId="77777777" w:rsidTr="00810FAC">
        <w:trPr>
          <w:tblHeader/>
        </w:trPr>
        <w:tc>
          <w:tcPr>
            <w:tcW w:w="2250" w:type="dxa"/>
            <w:shd w:val="clear" w:color="auto" w:fill="D9D9D9" w:themeFill="background1" w:themeFillShade="D9"/>
          </w:tcPr>
          <w:p w14:paraId="251A4295" w14:textId="77777777" w:rsidR="00810FAC" w:rsidRPr="00BF5472" w:rsidRDefault="00810FAC" w:rsidP="00BF5472">
            <w:pPr>
              <w:pStyle w:val="TableText"/>
              <w:rPr>
                <w:b/>
              </w:rPr>
            </w:pPr>
            <w:r w:rsidRPr="00BF5472">
              <w:rPr>
                <w:b/>
              </w:rPr>
              <w:t>Input</w:t>
            </w:r>
          </w:p>
        </w:tc>
        <w:tc>
          <w:tcPr>
            <w:tcW w:w="7290" w:type="dxa"/>
            <w:gridSpan w:val="3"/>
            <w:shd w:val="clear" w:color="auto" w:fill="D9D9D9" w:themeFill="background1" w:themeFillShade="D9"/>
          </w:tcPr>
          <w:p w14:paraId="7B79104A" w14:textId="77777777" w:rsidR="00810FAC" w:rsidRPr="00BF5472" w:rsidRDefault="00810FAC" w:rsidP="00BF5472">
            <w:pPr>
              <w:pStyle w:val="TableText"/>
              <w:rPr>
                <w:b/>
              </w:rPr>
            </w:pPr>
            <w:r w:rsidRPr="00BF5472">
              <w:rPr>
                <w:b/>
              </w:rPr>
              <w:t>Source or Value</w:t>
            </w:r>
          </w:p>
        </w:tc>
      </w:tr>
      <w:tr w:rsidR="00810FAC" w:rsidRPr="00D33008" w14:paraId="16589338" w14:textId="77777777" w:rsidTr="00810FAC">
        <w:tc>
          <w:tcPr>
            <w:tcW w:w="2250" w:type="dxa"/>
            <w:vAlign w:val="center"/>
          </w:tcPr>
          <w:p w14:paraId="4594514B" w14:textId="77777777" w:rsidR="00810FAC" w:rsidRPr="00885ACB" w:rsidRDefault="00810FAC" w:rsidP="00BF5472">
            <w:pPr>
              <w:pStyle w:val="TableText"/>
            </w:pPr>
            <w:r w:rsidRPr="00885ACB">
              <w:t>Incremental  Electricity Savings</w:t>
            </w:r>
          </w:p>
        </w:tc>
        <w:tc>
          <w:tcPr>
            <w:tcW w:w="7290" w:type="dxa"/>
            <w:gridSpan w:val="3"/>
            <w:vAlign w:val="center"/>
          </w:tcPr>
          <w:p w14:paraId="65FF832F" w14:textId="77777777" w:rsidR="00810FAC" w:rsidRPr="00885ACB" w:rsidRDefault="00810FAC" w:rsidP="00BF5472">
            <w:pPr>
              <w:pStyle w:val="TableText"/>
            </w:pPr>
            <w:r w:rsidRPr="00885ACB">
              <w:t>Results from demand-side EE plan scenario</w:t>
            </w:r>
          </w:p>
        </w:tc>
      </w:tr>
      <w:tr w:rsidR="00810FAC" w:rsidRPr="00D33008" w14:paraId="0249E63C" w14:textId="77777777" w:rsidTr="00810FAC">
        <w:tc>
          <w:tcPr>
            <w:tcW w:w="2250" w:type="dxa"/>
            <w:vAlign w:val="center"/>
          </w:tcPr>
          <w:p w14:paraId="5F148975" w14:textId="77777777" w:rsidR="00810FAC" w:rsidRPr="00885ACB" w:rsidRDefault="00810FAC" w:rsidP="00BF5472">
            <w:pPr>
              <w:pStyle w:val="TableText"/>
            </w:pPr>
            <w:r w:rsidRPr="00885ACB">
              <w:t>First-Year Program Cost</w:t>
            </w:r>
          </w:p>
        </w:tc>
        <w:tc>
          <w:tcPr>
            <w:tcW w:w="7290" w:type="dxa"/>
            <w:gridSpan w:val="3"/>
            <w:vAlign w:val="center"/>
          </w:tcPr>
          <w:p w14:paraId="31EA3D99" w14:textId="77777777" w:rsidR="00810FAC" w:rsidRPr="00885ACB" w:rsidRDefault="00810FAC" w:rsidP="00BF5472">
            <w:pPr>
              <w:pStyle w:val="TableText"/>
            </w:pPr>
            <w:r w:rsidRPr="00885ACB">
              <w:t>$550/MWh (2011$)</w:t>
            </w:r>
          </w:p>
        </w:tc>
      </w:tr>
      <w:tr w:rsidR="00810FAC" w:rsidRPr="00D33008" w14:paraId="1DECC923" w14:textId="77777777" w:rsidTr="00810FAC">
        <w:trPr>
          <w:trHeight w:val="287"/>
        </w:trPr>
        <w:tc>
          <w:tcPr>
            <w:tcW w:w="2250" w:type="dxa"/>
            <w:vAlign w:val="center"/>
          </w:tcPr>
          <w:p w14:paraId="6812427E" w14:textId="77777777" w:rsidR="00810FAC" w:rsidRPr="00885ACB" w:rsidRDefault="00810FAC" w:rsidP="00BF5472">
            <w:pPr>
              <w:pStyle w:val="TableText"/>
            </w:pPr>
            <w:r w:rsidRPr="00885ACB">
              <w:t>Ratio of Program to Participant Costs</w:t>
            </w:r>
          </w:p>
        </w:tc>
        <w:tc>
          <w:tcPr>
            <w:tcW w:w="7290" w:type="dxa"/>
            <w:gridSpan w:val="3"/>
            <w:vAlign w:val="center"/>
          </w:tcPr>
          <w:p w14:paraId="1F8DCC8C" w14:textId="77777777" w:rsidR="00810FAC" w:rsidRPr="00885ACB" w:rsidRDefault="00810FAC" w:rsidP="00BF5472">
            <w:pPr>
              <w:pStyle w:val="TableText"/>
            </w:pPr>
            <w:r w:rsidRPr="00885ACB">
              <w:t>1:1</w:t>
            </w:r>
          </w:p>
        </w:tc>
      </w:tr>
      <w:tr w:rsidR="00810FAC" w:rsidRPr="00D33008" w14:paraId="01FD5C0A" w14:textId="77777777" w:rsidTr="00810FAC">
        <w:tc>
          <w:tcPr>
            <w:tcW w:w="2250" w:type="dxa"/>
            <w:vAlign w:val="center"/>
          </w:tcPr>
          <w:p w14:paraId="1FED18FC" w14:textId="77777777" w:rsidR="00810FAC" w:rsidRPr="00885ACB" w:rsidRDefault="00810FAC" w:rsidP="00BF5472">
            <w:pPr>
              <w:pStyle w:val="TableText"/>
            </w:pPr>
            <w:r w:rsidRPr="00885ACB">
              <w:t>First-Year Participant Cost</w:t>
            </w:r>
          </w:p>
        </w:tc>
        <w:tc>
          <w:tcPr>
            <w:tcW w:w="7290" w:type="dxa"/>
            <w:gridSpan w:val="3"/>
            <w:vAlign w:val="center"/>
          </w:tcPr>
          <w:p w14:paraId="65E44A25" w14:textId="77777777" w:rsidR="00810FAC" w:rsidRPr="00885ACB" w:rsidRDefault="00810FAC" w:rsidP="00BF5472">
            <w:pPr>
              <w:pStyle w:val="TableText"/>
            </w:pPr>
            <w:r w:rsidRPr="00885ACB">
              <w:t>$550/MWh (2011$)</w:t>
            </w:r>
          </w:p>
        </w:tc>
      </w:tr>
      <w:tr w:rsidR="00810FAC" w:rsidRPr="00D33008" w14:paraId="71BABF3F" w14:textId="77777777" w:rsidTr="00810FAC">
        <w:tc>
          <w:tcPr>
            <w:tcW w:w="2250" w:type="dxa"/>
            <w:vAlign w:val="center"/>
          </w:tcPr>
          <w:p w14:paraId="6FC0A301" w14:textId="77777777" w:rsidR="00810FAC" w:rsidRPr="00885ACB" w:rsidRDefault="00810FAC" w:rsidP="00BF5472">
            <w:pPr>
              <w:pStyle w:val="TableText"/>
            </w:pPr>
            <w:r w:rsidRPr="00885ACB">
              <w:t>First-Year Total Cost</w:t>
            </w:r>
          </w:p>
        </w:tc>
        <w:tc>
          <w:tcPr>
            <w:tcW w:w="7290" w:type="dxa"/>
            <w:gridSpan w:val="3"/>
            <w:vAlign w:val="center"/>
          </w:tcPr>
          <w:p w14:paraId="4C3A401F" w14:textId="77777777" w:rsidR="00810FAC" w:rsidRPr="00885ACB" w:rsidRDefault="00810FAC" w:rsidP="00BF5472">
            <w:pPr>
              <w:pStyle w:val="TableText"/>
            </w:pPr>
            <w:r w:rsidRPr="00885ACB">
              <w:t>$1100/MWh (2011$)</w:t>
            </w:r>
          </w:p>
        </w:tc>
      </w:tr>
      <w:tr w:rsidR="00810FAC" w:rsidRPr="00D33008" w14:paraId="3525E784" w14:textId="77777777" w:rsidTr="005753E4">
        <w:trPr>
          <w:trHeight w:val="413"/>
        </w:trPr>
        <w:tc>
          <w:tcPr>
            <w:tcW w:w="2250" w:type="dxa"/>
            <w:vMerge w:val="restart"/>
            <w:shd w:val="clear" w:color="auto" w:fill="FFFFFF" w:themeFill="background1"/>
            <w:vAlign w:val="center"/>
          </w:tcPr>
          <w:p w14:paraId="2447D9DC" w14:textId="77777777" w:rsidR="00810FAC" w:rsidRPr="00885ACB" w:rsidRDefault="00810FAC" w:rsidP="00BF5472">
            <w:pPr>
              <w:pStyle w:val="TableText"/>
            </w:pPr>
            <w:r w:rsidRPr="00885ACB">
              <w:t>Cost Factors and Total Costs by Level of Incremental Savings</w:t>
            </w:r>
          </w:p>
        </w:tc>
        <w:tc>
          <w:tcPr>
            <w:tcW w:w="7290" w:type="dxa"/>
            <w:gridSpan w:val="3"/>
            <w:shd w:val="clear" w:color="auto" w:fill="D9D9D9" w:themeFill="background1" w:themeFillShade="D9"/>
            <w:vAlign w:val="center"/>
          </w:tcPr>
          <w:p w14:paraId="737D9E11" w14:textId="77777777" w:rsidR="00810FAC" w:rsidRPr="00885ACB" w:rsidRDefault="00810FAC" w:rsidP="00BF5472">
            <w:pPr>
              <w:pStyle w:val="TableText"/>
            </w:pPr>
            <w:r w:rsidRPr="00885ACB">
              <w:t>Incremental Savings Rate</w:t>
            </w:r>
          </w:p>
        </w:tc>
      </w:tr>
      <w:tr w:rsidR="00810FAC" w:rsidRPr="00D33008" w14:paraId="59C05E1C" w14:textId="77777777" w:rsidTr="00810FAC">
        <w:trPr>
          <w:trHeight w:val="413"/>
        </w:trPr>
        <w:tc>
          <w:tcPr>
            <w:tcW w:w="2250" w:type="dxa"/>
            <w:vMerge/>
            <w:shd w:val="clear" w:color="auto" w:fill="FFFFFF" w:themeFill="background1"/>
            <w:vAlign w:val="center"/>
          </w:tcPr>
          <w:p w14:paraId="0A2F77D1" w14:textId="77777777" w:rsidR="00810FAC" w:rsidRPr="00885ACB" w:rsidRDefault="00810FAC" w:rsidP="00BF5472">
            <w:pPr>
              <w:pStyle w:val="TableText"/>
            </w:pPr>
          </w:p>
        </w:tc>
        <w:tc>
          <w:tcPr>
            <w:tcW w:w="2554" w:type="dxa"/>
            <w:shd w:val="clear" w:color="auto" w:fill="FFFFFF" w:themeFill="background1"/>
            <w:vAlign w:val="center"/>
          </w:tcPr>
          <w:p w14:paraId="5A143DA1" w14:textId="77777777" w:rsidR="00810FAC" w:rsidRPr="00885ACB" w:rsidRDefault="00810FAC" w:rsidP="00BF5472">
            <w:pPr>
              <w:pStyle w:val="TableText"/>
            </w:pPr>
            <w:r w:rsidRPr="00885ACB">
              <w:t>&lt; 0.5%</w:t>
            </w:r>
          </w:p>
        </w:tc>
        <w:tc>
          <w:tcPr>
            <w:tcW w:w="2368" w:type="dxa"/>
            <w:shd w:val="clear" w:color="auto" w:fill="FFFFFF" w:themeFill="background1"/>
            <w:vAlign w:val="center"/>
          </w:tcPr>
          <w:p w14:paraId="558D25E0" w14:textId="77777777" w:rsidR="00810FAC" w:rsidRPr="00885ACB" w:rsidRDefault="00810FAC" w:rsidP="00BF5472">
            <w:pPr>
              <w:pStyle w:val="TableText"/>
            </w:pPr>
            <w:r w:rsidRPr="00885ACB">
              <w:t>0.5% to &lt; 1.0%</w:t>
            </w:r>
          </w:p>
        </w:tc>
        <w:tc>
          <w:tcPr>
            <w:tcW w:w="2368" w:type="dxa"/>
            <w:shd w:val="clear" w:color="auto" w:fill="FFFFFF" w:themeFill="background1"/>
            <w:vAlign w:val="center"/>
          </w:tcPr>
          <w:p w14:paraId="22F2DACB" w14:textId="77777777" w:rsidR="00810FAC" w:rsidRPr="00885ACB" w:rsidRDefault="00810FAC" w:rsidP="00BF5472">
            <w:pPr>
              <w:pStyle w:val="TableText"/>
            </w:pPr>
            <w:r w:rsidRPr="00885ACB">
              <w:t>1.0%</w:t>
            </w:r>
          </w:p>
        </w:tc>
      </w:tr>
      <w:tr w:rsidR="00810FAC" w:rsidRPr="00D33008" w14:paraId="26C16D80" w14:textId="77777777" w:rsidTr="00810FAC">
        <w:trPr>
          <w:trHeight w:val="467"/>
        </w:trPr>
        <w:tc>
          <w:tcPr>
            <w:tcW w:w="2250" w:type="dxa"/>
            <w:vMerge/>
            <w:shd w:val="clear" w:color="auto" w:fill="FFFFFF" w:themeFill="background1"/>
            <w:vAlign w:val="center"/>
          </w:tcPr>
          <w:p w14:paraId="43E73323" w14:textId="77777777" w:rsidR="00810FAC" w:rsidRPr="00885ACB" w:rsidRDefault="00810FAC" w:rsidP="00BF5472">
            <w:pPr>
              <w:pStyle w:val="TableText"/>
              <w:rPr>
                <w:u w:val="single"/>
              </w:rPr>
            </w:pPr>
          </w:p>
        </w:tc>
        <w:tc>
          <w:tcPr>
            <w:tcW w:w="2554" w:type="dxa"/>
            <w:shd w:val="clear" w:color="auto" w:fill="FFFFFF" w:themeFill="background1"/>
            <w:vAlign w:val="center"/>
          </w:tcPr>
          <w:p w14:paraId="17A18CD3" w14:textId="77777777" w:rsidR="00810FAC" w:rsidRPr="00885ACB" w:rsidRDefault="00810FAC" w:rsidP="00BF5472">
            <w:pPr>
              <w:pStyle w:val="TableText"/>
            </w:pPr>
            <w:r w:rsidRPr="00885ACB">
              <w:t>100% of first-year costs</w:t>
            </w:r>
          </w:p>
          <w:p w14:paraId="2BA43C97" w14:textId="77777777" w:rsidR="00810FAC" w:rsidRPr="00885ACB" w:rsidRDefault="00810FAC" w:rsidP="00BF5472">
            <w:pPr>
              <w:pStyle w:val="TableText"/>
            </w:pPr>
            <w:r w:rsidRPr="00885ACB">
              <w:t>$1100/MWh (2011$)</w:t>
            </w:r>
          </w:p>
        </w:tc>
        <w:tc>
          <w:tcPr>
            <w:tcW w:w="2368" w:type="dxa"/>
            <w:shd w:val="clear" w:color="auto" w:fill="FFFFFF" w:themeFill="background1"/>
            <w:vAlign w:val="center"/>
          </w:tcPr>
          <w:p w14:paraId="56B540B3" w14:textId="77777777" w:rsidR="00810FAC" w:rsidRPr="00885ACB" w:rsidRDefault="00810FAC" w:rsidP="00BF5472">
            <w:pPr>
              <w:pStyle w:val="TableText"/>
            </w:pPr>
            <w:r w:rsidRPr="00885ACB">
              <w:t>80% of base costs:</w:t>
            </w:r>
          </w:p>
          <w:p w14:paraId="027FF6B0" w14:textId="77777777" w:rsidR="00810FAC" w:rsidRPr="00885ACB" w:rsidRDefault="00810FAC" w:rsidP="00BF5472">
            <w:pPr>
              <w:pStyle w:val="TableText"/>
            </w:pPr>
            <w:r w:rsidRPr="00885ACB">
              <w:t>$880/MWh (2011$)</w:t>
            </w:r>
          </w:p>
        </w:tc>
        <w:tc>
          <w:tcPr>
            <w:tcW w:w="2368" w:type="dxa"/>
            <w:shd w:val="clear" w:color="auto" w:fill="FFFFFF" w:themeFill="background1"/>
            <w:vAlign w:val="center"/>
          </w:tcPr>
          <w:p w14:paraId="02276162" w14:textId="77777777" w:rsidR="00810FAC" w:rsidRPr="00885ACB" w:rsidRDefault="00810FAC" w:rsidP="00BF5472">
            <w:pPr>
              <w:pStyle w:val="TableText"/>
            </w:pPr>
            <w:r w:rsidRPr="00885ACB">
              <w:t>60% of base costs:</w:t>
            </w:r>
          </w:p>
          <w:p w14:paraId="3BCF9CDC" w14:textId="77777777" w:rsidR="00810FAC" w:rsidRPr="00885ACB" w:rsidRDefault="00810FAC" w:rsidP="00BF5472">
            <w:pPr>
              <w:pStyle w:val="TableText"/>
            </w:pPr>
            <w:r w:rsidRPr="00885ACB">
              <w:t>$660/MWh (2011$)</w:t>
            </w:r>
          </w:p>
        </w:tc>
      </w:tr>
    </w:tbl>
    <w:p w14:paraId="65928191" w14:textId="2C032B6B" w:rsidR="00810FAC" w:rsidRPr="00D33008" w:rsidRDefault="00810FAC" w:rsidP="00CF0D49">
      <w:pPr>
        <w:pStyle w:val="CH5TableSource"/>
      </w:pPr>
      <w:r>
        <w:t>Source: Section 9.2</w:t>
      </w:r>
    </w:p>
    <w:p w14:paraId="40818F1D" w14:textId="77777777" w:rsidR="00810FAC" w:rsidRPr="00D33008" w:rsidRDefault="00810FAC" w:rsidP="006E6A19">
      <w:pPr>
        <w:pStyle w:val="Heading2"/>
      </w:pPr>
      <w:bookmarkStart w:id="147" w:name="_Toc424675678"/>
      <w:bookmarkStart w:id="148" w:name="_Toc424721602"/>
      <w:r w:rsidRPr="00D33008">
        <w:t>Calculations</w:t>
      </w:r>
      <w:bookmarkEnd w:id="147"/>
      <w:bookmarkEnd w:id="148"/>
    </w:p>
    <w:p w14:paraId="455C138B" w14:textId="02991E7C" w:rsidR="00810FAC" w:rsidRPr="00D33008" w:rsidRDefault="00810FAC" w:rsidP="00810FAC">
      <w:pPr>
        <w:pStyle w:val="CH5BodyText"/>
      </w:pPr>
      <w:r w:rsidRPr="00D33008">
        <w:t xml:space="preserve">This section addresses the </w:t>
      </w:r>
      <w:r w:rsidR="00F76C38">
        <w:t xml:space="preserve">methodology for </w:t>
      </w:r>
      <w:r w:rsidRPr="00D33008">
        <w:t>calculati</w:t>
      </w:r>
      <w:r w:rsidR="00F76C38">
        <w:t>ng</w:t>
      </w:r>
      <w:r w:rsidRPr="00D33008">
        <w:t xml:space="preserve"> the cost associated with the</w:t>
      </w:r>
      <w:r>
        <w:t xml:space="preserve"> EE</w:t>
      </w:r>
      <w:r w:rsidR="00F76C38">
        <w:t xml:space="preserve"> levels included in the illustrative</w:t>
      </w:r>
      <w:r>
        <w:t xml:space="preserve"> plan scenario</w:t>
      </w:r>
      <w:r w:rsidR="00F76C38">
        <w:t>s</w:t>
      </w:r>
      <w:r w:rsidRPr="00D33008">
        <w:t xml:space="preserve">. Specifically, three values are calculated (annual first-year costs, levelized cost of saved energy (LCSE), and annualized costs); for each, program and participant components are then calculated using the 1:1 ratio (i.e., 50% of total for each) derived above. Specific results from prior sections on </w:t>
      </w:r>
      <w:r>
        <w:t>timing and magnitude of savings,</w:t>
      </w:r>
      <w:r w:rsidRPr="00D33008">
        <w:t xml:space="preserve"> </w:t>
      </w:r>
      <w:r>
        <w:t>and costs</w:t>
      </w:r>
      <w:r w:rsidRPr="00D33008">
        <w:t xml:space="preserve"> inputs are used for these calculations. For each state, the following steps are taken for </w:t>
      </w:r>
      <w:r w:rsidRPr="005D44D4">
        <w:t>each year</w:t>
      </w:r>
      <w:r w:rsidRPr="00D33008">
        <w:t>:</w:t>
      </w:r>
    </w:p>
    <w:p w14:paraId="78668453" w14:textId="77777777" w:rsidR="00810FAC" w:rsidRPr="00D33008" w:rsidRDefault="00810FAC" w:rsidP="00810FAC">
      <w:pPr>
        <w:pStyle w:val="CH5NumberedList1"/>
        <w:numPr>
          <w:ilvl w:val="0"/>
          <w:numId w:val="28"/>
        </w:numPr>
      </w:pPr>
      <w:r w:rsidRPr="00D33008">
        <w:t>Calculate annual first-year costs</w:t>
      </w:r>
      <w:r>
        <w:t xml:space="preserve"> of saved energy</w:t>
      </w:r>
    </w:p>
    <w:p w14:paraId="0FEF5346" w14:textId="77777777" w:rsidR="00810FAC" w:rsidRPr="00D33008" w:rsidRDefault="00810FAC" w:rsidP="00810FAC">
      <w:pPr>
        <w:pStyle w:val="CH5NumberedList1"/>
      </w:pPr>
      <w:r w:rsidRPr="00D33008">
        <w:t>Calculate levelized cost of saved energy (LCSE)</w:t>
      </w:r>
    </w:p>
    <w:p w14:paraId="6B5A664A" w14:textId="77777777" w:rsidR="00810FAC" w:rsidRPr="00D33008" w:rsidRDefault="00810FAC" w:rsidP="00810FAC">
      <w:pPr>
        <w:pStyle w:val="CH5NumberedList1"/>
      </w:pPr>
      <w:r w:rsidRPr="00D33008">
        <w:t>Calculate annualized costs</w:t>
      </w:r>
    </w:p>
    <w:p w14:paraId="06131820" w14:textId="77777777" w:rsidR="00810FAC" w:rsidRPr="00D33008" w:rsidRDefault="00810FAC" w:rsidP="00810FAC">
      <w:pPr>
        <w:pStyle w:val="CH5BodyText"/>
      </w:pPr>
      <w:r w:rsidRPr="00D33008">
        <w:t xml:space="preserve">To illustrate these calculations, each step is described and results are provided for one state (using South Carolina as an example) for </w:t>
      </w:r>
      <w:r w:rsidRPr="00336B98">
        <w:t>2020 t</w:t>
      </w:r>
      <w:r w:rsidRPr="00D33008">
        <w:t xml:space="preserve">hrough </w:t>
      </w:r>
      <w:r>
        <w:t>2027 (truncated for simplicity)</w:t>
      </w:r>
      <w:r w:rsidRPr="00D33008">
        <w:t xml:space="preserve">. </w:t>
      </w:r>
      <w:r w:rsidRPr="00B05F85">
        <w:t xml:space="preserve"> </w:t>
      </w:r>
      <w:r>
        <w:t xml:space="preserve">The </w:t>
      </w:r>
      <w:r w:rsidRPr="005476DC">
        <w:t>full national results (</w:t>
      </w:r>
      <w:r>
        <w:t xml:space="preserve">for 2020, 2025, and </w:t>
      </w:r>
      <w:r w:rsidRPr="005476DC">
        <w:t xml:space="preserve">2030) are presented </w:t>
      </w:r>
      <w:r>
        <w:t>following the step-by-step example for South Carolina</w:t>
      </w:r>
      <w:r w:rsidRPr="005476DC">
        <w:t>.</w:t>
      </w:r>
    </w:p>
    <w:p w14:paraId="25914530" w14:textId="77777777" w:rsidR="00810FAC" w:rsidRPr="00D33008" w:rsidRDefault="00810FAC" w:rsidP="006E6A19">
      <w:pPr>
        <w:pStyle w:val="Heading3"/>
      </w:pPr>
      <w:bookmarkStart w:id="149" w:name="_Toc424721603"/>
      <w:r w:rsidRPr="00D33008">
        <w:t>Step 1: Calculate Annual First-Year Costs</w:t>
      </w:r>
      <w:bookmarkEnd w:id="149"/>
    </w:p>
    <w:p w14:paraId="511819CE" w14:textId="45D2C31A" w:rsidR="00810FAC" w:rsidRPr="00D33008" w:rsidRDefault="00810FAC" w:rsidP="00810FAC">
      <w:pPr>
        <w:pStyle w:val="CH5BodyText"/>
      </w:pPr>
      <w:r w:rsidRPr="00D33008">
        <w:t>Annual total first-year costs are calculated by multiplying annual total incremental savings (MWh) (from Table 1</w:t>
      </w:r>
      <w:r>
        <w:t>9</w:t>
      </w:r>
      <w:r w:rsidRPr="00D33008">
        <w:t xml:space="preserve">) by the first-year total </w:t>
      </w:r>
      <w:r>
        <w:t xml:space="preserve">cost of saved energy </w:t>
      </w:r>
      <w:r w:rsidRPr="00D33008">
        <w:t>(from Table 2</w:t>
      </w:r>
      <w:r>
        <w:t xml:space="preserve">7, using </w:t>
      </w:r>
      <w:r>
        <w:lastRenderedPageBreak/>
        <w:t>the corresponding incremental savings rate</w:t>
      </w:r>
      <w:r w:rsidRPr="00D33008">
        <w:t>). Program and participant portions of the first-year costs are then calculated as 50% of total first-year costs for each per Table 2</w:t>
      </w:r>
      <w:r>
        <w:t>7</w:t>
      </w:r>
      <w:r w:rsidRPr="00D33008">
        <w:t>.</w:t>
      </w:r>
    </w:p>
    <w:p w14:paraId="24A2C5BC" w14:textId="77777777" w:rsidR="00810FAC" w:rsidRPr="00196931" w:rsidRDefault="00810FAC" w:rsidP="00311E15">
      <w:pPr>
        <w:pStyle w:val="CH5BodyText"/>
      </w:pPr>
      <w:r w:rsidRPr="00196931">
        <w:t>The resulting values are summarized for South Carolina in Table 28.</w:t>
      </w:r>
    </w:p>
    <w:p w14:paraId="1388853B" w14:textId="10A57653" w:rsidR="00810FAC" w:rsidRPr="00D33008" w:rsidRDefault="00810FAC" w:rsidP="00311E15">
      <w:pPr>
        <w:pStyle w:val="CH5TableTitle"/>
      </w:pPr>
      <w:bookmarkStart w:id="150" w:name="_Toc424720278"/>
      <w:r w:rsidRPr="00D33008">
        <w:t>T</w:t>
      </w:r>
      <w:r>
        <w:t>able</w:t>
      </w:r>
      <w:r w:rsidRPr="00D33008">
        <w:t xml:space="preserve"> 2</w:t>
      </w:r>
      <w:r>
        <w:t xml:space="preserve">8. </w:t>
      </w:r>
      <w:r w:rsidRPr="00D33008">
        <w:t>Calculation of Annual First-Year Costs for South Carolina</w:t>
      </w:r>
      <w:bookmarkEnd w:id="150"/>
    </w:p>
    <w:tbl>
      <w:tblPr>
        <w:tblStyle w:val="TableGrid"/>
        <w:tblW w:w="5000" w:type="pct"/>
        <w:jc w:val="center"/>
        <w:tblLook w:val="04A0" w:firstRow="1" w:lastRow="0" w:firstColumn="1" w:lastColumn="0" w:noHBand="0" w:noVBand="1"/>
      </w:tblPr>
      <w:tblGrid>
        <w:gridCol w:w="1405"/>
        <w:gridCol w:w="987"/>
        <w:gridCol w:w="993"/>
        <w:gridCol w:w="993"/>
        <w:gridCol w:w="993"/>
        <w:gridCol w:w="993"/>
        <w:gridCol w:w="1000"/>
        <w:gridCol w:w="995"/>
        <w:gridCol w:w="991"/>
      </w:tblGrid>
      <w:tr w:rsidR="00810FAC" w:rsidRPr="00D33008" w14:paraId="0F85A6FA" w14:textId="77777777" w:rsidTr="005753E4">
        <w:trPr>
          <w:cantSplit/>
          <w:tblHeader/>
          <w:jc w:val="center"/>
        </w:trPr>
        <w:tc>
          <w:tcPr>
            <w:tcW w:w="751" w:type="pct"/>
            <w:vMerge w:val="restart"/>
            <w:shd w:val="clear" w:color="auto" w:fill="D9D9D9" w:themeFill="background1" w:themeFillShade="D9"/>
            <w:vAlign w:val="center"/>
          </w:tcPr>
          <w:p w14:paraId="776BEA4B" w14:textId="77777777" w:rsidR="00810FAC" w:rsidRPr="00D33008" w:rsidRDefault="00810FAC" w:rsidP="00810FAC">
            <w:pPr>
              <w:pStyle w:val="CH5TableText"/>
            </w:pPr>
          </w:p>
        </w:tc>
        <w:tc>
          <w:tcPr>
            <w:tcW w:w="4249" w:type="pct"/>
            <w:gridSpan w:val="8"/>
            <w:shd w:val="clear" w:color="auto" w:fill="D9D9D9" w:themeFill="background1" w:themeFillShade="D9"/>
          </w:tcPr>
          <w:p w14:paraId="0208327D" w14:textId="77777777" w:rsidR="00810FAC" w:rsidRPr="00D33008" w:rsidRDefault="00810FAC" w:rsidP="00810FAC">
            <w:pPr>
              <w:pStyle w:val="CH5TableText"/>
              <w:rPr>
                <w:b/>
              </w:rPr>
            </w:pPr>
            <w:r w:rsidRPr="00D33008">
              <w:rPr>
                <w:b/>
              </w:rPr>
              <w:t>Year</w:t>
            </w:r>
          </w:p>
        </w:tc>
      </w:tr>
      <w:tr w:rsidR="00810FAC" w:rsidRPr="00D33008" w14:paraId="1E14418D" w14:textId="77777777" w:rsidTr="005753E4">
        <w:trPr>
          <w:cantSplit/>
          <w:tblHeader/>
          <w:jc w:val="center"/>
        </w:trPr>
        <w:tc>
          <w:tcPr>
            <w:tcW w:w="751" w:type="pct"/>
            <w:vMerge/>
            <w:shd w:val="clear" w:color="auto" w:fill="D9D9D9" w:themeFill="background1" w:themeFillShade="D9"/>
            <w:vAlign w:val="center"/>
          </w:tcPr>
          <w:p w14:paraId="156375D4" w14:textId="77777777" w:rsidR="00810FAC" w:rsidRPr="00D33008" w:rsidRDefault="00810FAC" w:rsidP="00810FAC">
            <w:pPr>
              <w:pStyle w:val="CH5TableText"/>
            </w:pPr>
          </w:p>
        </w:tc>
        <w:tc>
          <w:tcPr>
            <w:tcW w:w="528" w:type="pct"/>
            <w:shd w:val="clear" w:color="auto" w:fill="D9D9D9" w:themeFill="background1" w:themeFillShade="D9"/>
            <w:vAlign w:val="center"/>
          </w:tcPr>
          <w:p w14:paraId="23AC088E" w14:textId="77777777" w:rsidR="00810FAC" w:rsidRPr="00D33008" w:rsidRDefault="00810FAC" w:rsidP="00810FAC">
            <w:pPr>
              <w:pStyle w:val="CH5TableText"/>
              <w:rPr>
                <w:b/>
              </w:rPr>
            </w:pPr>
            <w:r w:rsidRPr="00D33008">
              <w:rPr>
                <w:b/>
              </w:rPr>
              <w:t>2020</w:t>
            </w:r>
          </w:p>
        </w:tc>
        <w:tc>
          <w:tcPr>
            <w:tcW w:w="531" w:type="pct"/>
            <w:shd w:val="clear" w:color="auto" w:fill="D9D9D9" w:themeFill="background1" w:themeFillShade="D9"/>
            <w:vAlign w:val="center"/>
          </w:tcPr>
          <w:p w14:paraId="19D0EE74" w14:textId="77777777" w:rsidR="00810FAC" w:rsidRPr="00D33008" w:rsidRDefault="00810FAC" w:rsidP="00810FAC">
            <w:pPr>
              <w:pStyle w:val="CH5TableText"/>
              <w:rPr>
                <w:b/>
              </w:rPr>
            </w:pPr>
            <w:r w:rsidRPr="00D33008">
              <w:rPr>
                <w:b/>
              </w:rPr>
              <w:t>2021</w:t>
            </w:r>
          </w:p>
        </w:tc>
        <w:tc>
          <w:tcPr>
            <w:tcW w:w="531" w:type="pct"/>
            <w:shd w:val="clear" w:color="auto" w:fill="D9D9D9" w:themeFill="background1" w:themeFillShade="D9"/>
            <w:vAlign w:val="center"/>
          </w:tcPr>
          <w:p w14:paraId="7F589AD3" w14:textId="77777777" w:rsidR="00810FAC" w:rsidRPr="00D33008" w:rsidRDefault="00810FAC" w:rsidP="00810FAC">
            <w:pPr>
              <w:pStyle w:val="CH5TableText"/>
              <w:rPr>
                <w:b/>
              </w:rPr>
            </w:pPr>
            <w:r w:rsidRPr="00D33008">
              <w:rPr>
                <w:b/>
              </w:rPr>
              <w:t>2022</w:t>
            </w:r>
          </w:p>
        </w:tc>
        <w:tc>
          <w:tcPr>
            <w:tcW w:w="531" w:type="pct"/>
            <w:shd w:val="clear" w:color="auto" w:fill="D9D9D9" w:themeFill="background1" w:themeFillShade="D9"/>
          </w:tcPr>
          <w:p w14:paraId="053883D2" w14:textId="77777777" w:rsidR="00810FAC" w:rsidRPr="00D33008" w:rsidRDefault="00810FAC" w:rsidP="00810FAC">
            <w:pPr>
              <w:pStyle w:val="CH5TableText"/>
              <w:rPr>
                <w:b/>
              </w:rPr>
            </w:pPr>
            <w:r w:rsidRPr="00D33008">
              <w:rPr>
                <w:b/>
              </w:rPr>
              <w:t>2023</w:t>
            </w:r>
          </w:p>
        </w:tc>
        <w:tc>
          <w:tcPr>
            <w:tcW w:w="531" w:type="pct"/>
            <w:shd w:val="clear" w:color="auto" w:fill="D9D9D9" w:themeFill="background1" w:themeFillShade="D9"/>
          </w:tcPr>
          <w:p w14:paraId="6425C9CE" w14:textId="77777777" w:rsidR="00810FAC" w:rsidRPr="00D33008" w:rsidRDefault="00810FAC" w:rsidP="00810FAC">
            <w:pPr>
              <w:pStyle w:val="CH5TableText"/>
              <w:rPr>
                <w:b/>
              </w:rPr>
            </w:pPr>
            <w:r w:rsidRPr="00D33008">
              <w:rPr>
                <w:b/>
              </w:rPr>
              <w:t>2024</w:t>
            </w:r>
          </w:p>
        </w:tc>
        <w:tc>
          <w:tcPr>
            <w:tcW w:w="535" w:type="pct"/>
            <w:shd w:val="clear" w:color="auto" w:fill="D9D9D9" w:themeFill="background1" w:themeFillShade="D9"/>
          </w:tcPr>
          <w:p w14:paraId="18BBDEB9" w14:textId="77777777" w:rsidR="00810FAC" w:rsidRPr="00D33008" w:rsidRDefault="00810FAC" w:rsidP="00810FAC">
            <w:pPr>
              <w:pStyle w:val="CH5TableText"/>
              <w:rPr>
                <w:b/>
              </w:rPr>
            </w:pPr>
            <w:r w:rsidRPr="00D33008">
              <w:rPr>
                <w:b/>
              </w:rPr>
              <w:t>2025</w:t>
            </w:r>
          </w:p>
        </w:tc>
        <w:tc>
          <w:tcPr>
            <w:tcW w:w="532" w:type="pct"/>
            <w:shd w:val="clear" w:color="auto" w:fill="D9D9D9" w:themeFill="background1" w:themeFillShade="D9"/>
          </w:tcPr>
          <w:p w14:paraId="7A5C0E7C" w14:textId="77777777" w:rsidR="00810FAC" w:rsidRPr="00D33008" w:rsidRDefault="00810FAC" w:rsidP="00810FAC">
            <w:pPr>
              <w:pStyle w:val="CH5TableText"/>
              <w:rPr>
                <w:b/>
              </w:rPr>
            </w:pPr>
            <w:r>
              <w:rPr>
                <w:b/>
              </w:rPr>
              <w:t>2026</w:t>
            </w:r>
          </w:p>
        </w:tc>
        <w:tc>
          <w:tcPr>
            <w:tcW w:w="530" w:type="pct"/>
            <w:shd w:val="clear" w:color="auto" w:fill="D9D9D9" w:themeFill="background1" w:themeFillShade="D9"/>
          </w:tcPr>
          <w:p w14:paraId="38A49C7D" w14:textId="77777777" w:rsidR="00810FAC" w:rsidRPr="00D33008" w:rsidRDefault="00810FAC" w:rsidP="00810FAC">
            <w:pPr>
              <w:pStyle w:val="CH5TableText"/>
              <w:rPr>
                <w:b/>
              </w:rPr>
            </w:pPr>
            <w:r>
              <w:rPr>
                <w:b/>
              </w:rPr>
              <w:t>2027</w:t>
            </w:r>
          </w:p>
        </w:tc>
      </w:tr>
      <w:tr w:rsidR="00810FAC" w:rsidRPr="00D33008" w14:paraId="07AF321D" w14:textId="77777777" w:rsidTr="00810FAC">
        <w:tblPrEx>
          <w:jc w:val="left"/>
        </w:tblPrEx>
        <w:trPr>
          <w:cantSplit/>
        </w:trPr>
        <w:tc>
          <w:tcPr>
            <w:tcW w:w="751" w:type="pct"/>
            <w:vAlign w:val="center"/>
          </w:tcPr>
          <w:p w14:paraId="0A238568" w14:textId="77777777" w:rsidR="00810FAC" w:rsidRPr="00D33008" w:rsidRDefault="00810FAC" w:rsidP="00810FAC">
            <w:pPr>
              <w:pStyle w:val="CH5TableText"/>
              <w:rPr>
                <w:b/>
              </w:rPr>
            </w:pPr>
            <w:r w:rsidRPr="00D33008">
              <w:rPr>
                <w:b/>
              </w:rPr>
              <w:t>Annual Incremental Savings (GWh)</w:t>
            </w:r>
          </w:p>
        </w:tc>
        <w:tc>
          <w:tcPr>
            <w:tcW w:w="528" w:type="pct"/>
            <w:vAlign w:val="center"/>
          </w:tcPr>
          <w:p w14:paraId="0FC1AFB1" w14:textId="77777777" w:rsidR="00810FAC" w:rsidRPr="00D33008" w:rsidRDefault="00810FAC" w:rsidP="00810FAC">
            <w:pPr>
              <w:pStyle w:val="CH5TableText"/>
            </w:pPr>
            <w:r w:rsidRPr="00D76252">
              <w:t>385</w:t>
            </w:r>
          </w:p>
        </w:tc>
        <w:tc>
          <w:tcPr>
            <w:tcW w:w="531" w:type="pct"/>
            <w:vAlign w:val="center"/>
          </w:tcPr>
          <w:p w14:paraId="147DC2AA" w14:textId="77777777" w:rsidR="00810FAC" w:rsidRPr="00D33008" w:rsidRDefault="00810FAC" w:rsidP="00810FAC">
            <w:pPr>
              <w:pStyle w:val="CH5TableText"/>
            </w:pPr>
            <w:r w:rsidRPr="00D76252">
              <w:t>553</w:t>
            </w:r>
          </w:p>
        </w:tc>
        <w:tc>
          <w:tcPr>
            <w:tcW w:w="531" w:type="pct"/>
            <w:vAlign w:val="center"/>
          </w:tcPr>
          <w:p w14:paraId="37A1B16D" w14:textId="77777777" w:rsidR="00810FAC" w:rsidRPr="00D33008" w:rsidRDefault="00810FAC" w:rsidP="00810FAC">
            <w:pPr>
              <w:pStyle w:val="CH5TableText"/>
            </w:pPr>
            <w:r w:rsidRPr="00D76252">
              <w:t>721</w:t>
            </w:r>
          </w:p>
        </w:tc>
        <w:tc>
          <w:tcPr>
            <w:tcW w:w="531" w:type="pct"/>
            <w:vAlign w:val="center"/>
          </w:tcPr>
          <w:p w14:paraId="512068E1" w14:textId="77777777" w:rsidR="00810FAC" w:rsidRPr="00D33008" w:rsidRDefault="00810FAC" w:rsidP="00810FAC">
            <w:pPr>
              <w:pStyle w:val="CH5TableText"/>
            </w:pPr>
            <w:r w:rsidRPr="00D76252">
              <w:t>834</w:t>
            </w:r>
          </w:p>
        </w:tc>
        <w:tc>
          <w:tcPr>
            <w:tcW w:w="531" w:type="pct"/>
            <w:vAlign w:val="center"/>
          </w:tcPr>
          <w:p w14:paraId="6364681D" w14:textId="77777777" w:rsidR="00810FAC" w:rsidRPr="00D33008" w:rsidRDefault="00810FAC" w:rsidP="00810FAC">
            <w:pPr>
              <w:pStyle w:val="CH5TableText"/>
            </w:pPr>
            <w:r w:rsidRPr="00D76252">
              <w:t>833</w:t>
            </w:r>
          </w:p>
        </w:tc>
        <w:tc>
          <w:tcPr>
            <w:tcW w:w="535" w:type="pct"/>
            <w:vAlign w:val="center"/>
          </w:tcPr>
          <w:p w14:paraId="1DFAFB5A" w14:textId="77777777" w:rsidR="00810FAC" w:rsidRPr="00D33008" w:rsidRDefault="00810FAC" w:rsidP="00810FAC">
            <w:pPr>
              <w:pStyle w:val="CH5TableText"/>
            </w:pPr>
            <w:r w:rsidRPr="00D76252">
              <w:t>833</w:t>
            </w:r>
          </w:p>
        </w:tc>
        <w:tc>
          <w:tcPr>
            <w:tcW w:w="532" w:type="pct"/>
            <w:vAlign w:val="center"/>
          </w:tcPr>
          <w:p w14:paraId="408964DE" w14:textId="77777777" w:rsidR="00810FAC" w:rsidRPr="00D33008" w:rsidRDefault="00810FAC" w:rsidP="00810FAC">
            <w:pPr>
              <w:pStyle w:val="CH5TableText"/>
            </w:pPr>
            <w:r w:rsidRPr="00D76252">
              <w:t>832</w:t>
            </w:r>
          </w:p>
        </w:tc>
        <w:tc>
          <w:tcPr>
            <w:tcW w:w="530" w:type="pct"/>
            <w:vAlign w:val="center"/>
          </w:tcPr>
          <w:p w14:paraId="71EF62D3" w14:textId="77777777" w:rsidR="00810FAC" w:rsidRPr="00D33008" w:rsidRDefault="00810FAC" w:rsidP="00810FAC">
            <w:pPr>
              <w:pStyle w:val="CH5TableText"/>
            </w:pPr>
            <w:r w:rsidRPr="00D76252">
              <w:t>832</w:t>
            </w:r>
          </w:p>
        </w:tc>
      </w:tr>
      <w:tr w:rsidR="00810FAC" w:rsidRPr="00D33008" w14:paraId="014FFF96" w14:textId="77777777" w:rsidTr="00810FAC">
        <w:tblPrEx>
          <w:jc w:val="left"/>
        </w:tblPrEx>
        <w:trPr>
          <w:cantSplit/>
        </w:trPr>
        <w:tc>
          <w:tcPr>
            <w:tcW w:w="751" w:type="pct"/>
          </w:tcPr>
          <w:p w14:paraId="672246F1" w14:textId="77777777" w:rsidR="00810FAC" w:rsidRPr="00D33008" w:rsidRDefault="00810FAC" w:rsidP="00810FAC">
            <w:pPr>
              <w:pStyle w:val="CH5TableText"/>
              <w:rPr>
                <w:b/>
              </w:rPr>
            </w:pPr>
            <w:r w:rsidRPr="00D33008">
              <w:rPr>
                <w:b/>
              </w:rPr>
              <w:t>First-Year Total Cost of Saved Energy (2011$/MWh)</w:t>
            </w:r>
          </w:p>
        </w:tc>
        <w:tc>
          <w:tcPr>
            <w:tcW w:w="528" w:type="pct"/>
            <w:vAlign w:val="center"/>
          </w:tcPr>
          <w:p w14:paraId="29088589" w14:textId="77777777" w:rsidR="00810FAC" w:rsidRPr="00D33008" w:rsidRDefault="00810FAC" w:rsidP="00810FAC">
            <w:pPr>
              <w:pStyle w:val="CH5TableText"/>
            </w:pPr>
            <w:r>
              <w:t>1100</w:t>
            </w:r>
          </w:p>
        </w:tc>
        <w:tc>
          <w:tcPr>
            <w:tcW w:w="531" w:type="pct"/>
            <w:vAlign w:val="center"/>
          </w:tcPr>
          <w:p w14:paraId="46F7A785" w14:textId="77777777" w:rsidR="00810FAC" w:rsidRPr="00D33008" w:rsidRDefault="00810FAC" w:rsidP="00810FAC">
            <w:pPr>
              <w:pStyle w:val="CH5TableText"/>
            </w:pPr>
            <w:r>
              <w:t>880</w:t>
            </w:r>
          </w:p>
        </w:tc>
        <w:tc>
          <w:tcPr>
            <w:tcW w:w="531" w:type="pct"/>
            <w:vAlign w:val="center"/>
          </w:tcPr>
          <w:p w14:paraId="25E26F7C" w14:textId="77777777" w:rsidR="00810FAC" w:rsidRPr="00D33008" w:rsidRDefault="00810FAC" w:rsidP="00810FAC">
            <w:pPr>
              <w:pStyle w:val="CH5TableText"/>
            </w:pPr>
            <w:r>
              <w:t>880</w:t>
            </w:r>
          </w:p>
        </w:tc>
        <w:tc>
          <w:tcPr>
            <w:tcW w:w="531" w:type="pct"/>
            <w:vAlign w:val="center"/>
          </w:tcPr>
          <w:p w14:paraId="7ADBBD89" w14:textId="77777777" w:rsidR="00810FAC" w:rsidRPr="00D33008" w:rsidRDefault="00810FAC" w:rsidP="00810FAC">
            <w:pPr>
              <w:pStyle w:val="CH5TableText"/>
            </w:pPr>
            <w:r>
              <w:t>660</w:t>
            </w:r>
          </w:p>
        </w:tc>
        <w:tc>
          <w:tcPr>
            <w:tcW w:w="531" w:type="pct"/>
            <w:vAlign w:val="center"/>
          </w:tcPr>
          <w:p w14:paraId="5B033AA3" w14:textId="77777777" w:rsidR="00810FAC" w:rsidRPr="00D33008" w:rsidRDefault="00810FAC" w:rsidP="00810FAC">
            <w:pPr>
              <w:pStyle w:val="CH5TableText"/>
            </w:pPr>
            <w:r>
              <w:t>660</w:t>
            </w:r>
          </w:p>
        </w:tc>
        <w:tc>
          <w:tcPr>
            <w:tcW w:w="535" w:type="pct"/>
            <w:vAlign w:val="center"/>
          </w:tcPr>
          <w:p w14:paraId="25ED6173" w14:textId="77777777" w:rsidR="00810FAC" w:rsidRPr="00D33008" w:rsidRDefault="00810FAC" w:rsidP="00810FAC">
            <w:pPr>
              <w:pStyle w:val="CH5TableText"/>
            </w:pPr>
            <w:r>
              <w:t>660</w:t>
            </w:r>
          </w:p>
        </w:tc>
        <w:tc>
          <w:tcPr>
            <w:tcW w:w="532" w:type="pct"/>
            <w:vAlign w:val="center"/>
          </w:tcPr>
          <w:p w14:paraId="1EC03147" w14:textId="77777777" w:rsidR="00810FAC" w:rsidRPr="00D33008" w:rsidRDefault="00810FAC" w:rsidP="00810FAC">
            <w:pPr>
              <w:pStyle w:val="CH5TableText"/>
            </w:pPr>
            <w:r>
              <w:t>660</w:t>
            </w:r>
          </w:p>
        </w:tc>
        <w:tc>
          <w:tcPr>
            <w:tcW w:w="530" w:type="pct"/>
            <w:vAlign w:val="center"/>
          </w:tcPr>
          <w:p w14:paraId="4E2F229F" w14:textId="77777777" w:rsidR="00810FAC" w:rsidRPr="00D33008" w:rsidRDefault="00810FAC" w:rsidP="00810FAC">
            <w:pPr>
              <w:pStyle w:val="CH5TableText"/>
            </w:pPr>
            <w:r>
              <w:t>660</w:t>
            </w:r>
          </w:p>
        </w:tc>
      </w:tr>
      <w:tr w:rsidR="00810FAC" w:rsidRPr="00D33008" w14:paraId="12A99AB6" w14:textId="77777777" w:rsidTr="00810FAC">
        <w:tblPrEx>
          <w:jc w:val="left"/>
        </w:tblPrEx>
        <w:trPr>
          <w:cantSplit/>
        </w:trPr>
        <w:tc>
          <w:tcPr>
            <w:tcW w:w="751" w:type="pct"/>
            <w:shd w:val="clear" w:color="auto" w:fill="F2F2F2" w:themeFill="background1" w:themeFillShade="F2"/>
          </w:tcPr>
          <w:p w14:paraId="750CDE74" w14:textId="77777777" w:rsidR="00810FAC" w:rsidRPr="00D33008" w:rsidRDefault="00810FAC" w:rsidP="00810FAC">
            <w:pPr>
              <w:pStyle w:val="CH5TableText"/>
              <w:rPr>
                <w:b/>
              </w:rPr>
            </w:pPr>
            <w:r w:rsidRPr="00D33008">
              <w:rPr>
                <w:b/>
              </w:rPr>
              <w:t>First-Year Total Cost</w:t>
            </w:r>
          </w:p>
          <w:p w14:paraId="09BEF47E" w14:textId="77777777" w:rsidR="00810FAC" w:rsidRPr="00D33008" w:rsidRDefault="00810FAC" w:rsidP="00810FAC">
            <w:pPr>
              <w:pStyle w:val="CH5TableText"/>
              <w:rPr>
                <w:b/>
              </w:rPr>
            </w:pPr>
            <w:r w:rsidRPr="00D33008">
              <w:rPr>
                <w:b/>
              </w:rPr>
              <w:t>(millions 2011$)</w:t>
            </w:r>
          </w:p>
        </w:tc>
        <w:tc>
          <w:tcPr>
            <w:tcW w:w="528" w:type="pct"/>
            <w:shd w:val="clear" w:color="auto" w:fill="F2F2F2" w:themeFill="background1" w:themeFillShade="F2"/>
            <w:vAlign w:val="center"/>
          </w:tcPr>
          <w:p w14:paraId="7DB63773" w14:textId="77777777" w:rsidR="00810FAC" w:rsidRPr="00D33008" w:rsidRDefault="00810FAC" w:rsidP="00810FAC">
            <w:pPr>
              <w:pStyle w:val="CH5TableText"/>
            </w:pPr>
            <w:r w:rsidRPr="00A3687B">
              <w:t>423.4</w:t>
            </w:r>
          </w:p>
        </w:tc>
        <w:tc>
          <w:tcPr>
            <w:tcW w:w="531" w:type="pct"/>
            <w:shd w:val="clear" w:color="auto" w:fill="F2F2F2" w:themeFill="background1" w:themeFillShade="F2"/>
            <w:vAlign w:val="center"/>
          </w:tcPr>
          <w:p w14:paraId="527A2106" w14:textId="77777777" w:rsidR="00810FAC" w:rsidRPr="00D33008" w:rsidRDefault="00810FAC" w:rsidP="00810FAC">
            <w:pPr>
              <w:pStyle w:val="CH5TableText"/>
            </w:pPr>
            <w:r w:rsidRPr="00A3687B">
              <w:t>486.6</w:t>
            </w:r>
          </w:p>
        </w:tc>
        <w:tc>
          <w:tcPr>
            <w:tcW w:w="531" w:type="pct"/>
            <w:shd w:val="clear" w:color="auto" w:fill="F2F2F2" w:themeFill="background1" w:themeFillShade="F2"/>
            <w:vAlign w:val="center"/>
          </w:tcPr>
          <w:p w14:paraId="3251D2E6" w14:textId="77777777" w:rsidR="00810FAC" w:rsidRPr="00D33008" w:rsidRDefault="00810FAC" w:rsidP="00810FAC">
            <w:pPr>
              <w:pStyle w:val="CH5TableText"/>
            </w:pPr>
            <w:r w:rsidRPr="00A3687B">
              <w:t>634.5</w:t>
            </w:r>
          </w:p>
        </w:tc>
        <w:tc>
          <w:tcPr>
            <w:tcW w:w="531" w:type="pct"/>
            <w:shd w:val="clear" w:color="auto" w:fill="F2F2F2" w:themeFill="background1" w:themeFillShade="F2"/>
            <w:vAlign w:val="center"/>
          </w:tcPr>
          <w:p w14:paraId="081494BB" w14:textId="77777777" w:rsidR="00810FAC" w:rsidRPr="00D33008" w:rsidRDefault="00810FAC" w:rsidP="00810FAC">
            <w:pPr>
              <w:pStyle w:val="CH5TableText"/>
            </w:pPr>
            <w:r w:rsidRPr="00A3687B">
              <w:t>550.6</w:t>
            </w:r>
          </w:p>
        </w:tc>
        <w:tc>
          <w:tcPr>
            <w:tcW w:w="531" w:type="pct"/>
            <w:shd w:val="clear" w:color="auto" w:fill="F2F2F2" w:themeFill="background1" w:themeFillShade="F2"/>
            <w:vAlign w:val="center"/>
          </w:tcPr>
          <w:p w14:paraId="189A6EE0" w14:textId="77777777" w:rsidR="00810FAC" w:rsidRPr="00D33008" w:rsidRDefault="00810FAC" w:rsidP="00810FAC">
            <w:pPr>
              <w:pStyle w:val="CH5TableText"/>
            </w:pPr>
            <w:r w:rsidRPr="00A3687B">
              <w:t>550.1</w:t>
            </w:r>
          </w:p>
        </w:tc>
        <w:tc>
          <w:tcPr>
            <w:tcW w:w="535" w:type="pct"/>
            <w:shd w:val="clear" w:color="auto" w:fill="F2F2F2" w:themeFill="background1" w:themeFillShade="F2"/>
            <w:vAlign w:val="center"/>
          </w:tcPr>
          <w:p w14:paraId="779C4FE7" w14:textId="77777777" w:rsidR="00810FAC" w:rsidRPr="00D33008" w:rsidRDefault="00810FAC" w:rsidP="00810FAC">
            <w:pPr>
              <w:pStyle w:val="CH5TableText"/>
            </w:pPr>
            <w:r w:rsidRPr="00A3687B">
              <w:t>549.6</w:t>
            </w:r>
          </w:p>
        </w:tc>
        <w:tc>
          <w:tcPr>
            <w:tcW w:w="532" w:type="pct"/>
            <w:shd w:val="clear" w:color="auto" w:fill="F2F2F2" w:themeFill="background1" w:themeFillShade="F2"/>
            <w:vAlign w:val="center"/>
          </w:tcPr>
          <w:p w14:paraId="42B24A87" w14:textId="77777777" w:rsidR="00810FAC" w:rsidRPr="00D33008" w:rsidRDefault="00810FAC" w:rsidP="00810FAC">
            <w:pPr>
              <w:pStyle w:val="CH5TableText"/>
            </w:pPr>
            <w:r w:rsidRPr="00A3687B">
              <w:t>549.2</w:t>
            </w:r>
          </w:p>
        </w:tc>
        <w:tc>
          <w:tcPr>
            <w:tcW w:w="530" w:type="pct"/>
            <w:shd w:val="clear" w:color="auto" w:fill="F2F2F2" w:themeFill="background1" w:themeFillShade="F2"/>
            <w:vAlign w:val="center"/>
          </w:tcPr>
          <w:p w14:paraId="4CE1EF64" w14:textId="77777777" w:rsidR="00810FAC" w:rsidRPr="00D33008" w:rsidRDefault="00810FAC" w:rsidP="00810FAC">
            <w:pPr>
              <w:pStyle w:val="CH5TableText"/>
            </w:pPr>
            <w:r w:rsidRPr="00A3687B">
              <w:t>549.2</w:t>
            </w:r>
          </w:p>
        </w:tc>
      </w:tr>
      <w:tr w:rsidR="00810FAC" w:rsidRPr="00D33008" w14:paraId="309F645D" w14:textId="77777777" w:rsidTr="00810FAC">
        <w:trPr>
          <w:cantSplit/>
          <w:jc w:val="center"/>
        </w:trPr>
        <w:tc>
          <w:tcPr>
            <w:tcW w:w="751" w:type="pct"/>
            <w:vAlign w:val="center"/>
          </w:tcPr>
          <w:p w14:paraId="0FA0E142" w14:textId="77777777" w:rsidR="00810FAC" w:rsidRPr="00D33008" w:rsidRDefault="00810FAC" w:rsidP="00810FAC">
            <w:pPr>
              <w:pStyle w:val="CH5TableText"/>
              <w:rPr>
                <w:b/>
              </w:rPr>
            </w:pPr>
            <w:r w:rsidRPr="00D33008">
              <w:rPr>
                <w:b/>
              </w:rPr>
              <w:t>First-Year Program (millions of 2011$)</w:t>
            </w:r>
          </w:p>
        </w:tc>
        <w:tc>
          <w:tcPr>
            <w:tcW w:w="528" w:type="pct"/>
            <w:vAlign w:val="center"/>
          </w:tcPr>
          <w:p w14:paraId="29EE49BD" w14:textId="77777777" w:rsidR="00810FAC" w:rsidRPr="00D33008" w:rsidRDefault="00810FAC" w:rsidP="00810FAC">
            <w:pPr>
              <w:pStyle w:val="CH5TableText"/>
            </w:pPr>
            <w:r>
              <w:t>211.7</w:t>
            </w:r>
          </w:p>
        </w:tc>
        <w:tc>
          <w:tcPr>
            <w:tcW w:w="531" w:type="pct"/>
            <w:vAlign w:val="center"/>
          </w:tcPr>
          <w:p w14:paraId="358FAA4F" w14:textId="77777777" w:rsidR="00810FAC" w:rsidRPr="00D33008" w:rsidRDefault="00810FAC" w:rsidP="00810FAC">
            <w:pPr>
              <w:pStyle w:val="CH5TableText"/>
            </w:pPr>
            <w:r>
              <w:t>243.3</w:t>
            </w:r>
          </w:p>
        </w:tc>
        <w:tc>
          <w:tcPr>
            <w:tcW w:w="531" w:type="pct"/>
            <w:vAlign w:val="center"/>
          </w:tcPr>
          <w:p w14:paraId="63855996" w14:textId="77777777" w:rsidR="00810FAC" w:rsidRPr="00D33008" w:rsidRDefault="00810FAC" w:rsidP="00810FAC">
            <w:pPr>
              <w:pStyle w:val="CH5TableText"/>
            </w:pPr>
            <w:r>
              <w:t>317.3</w:t>
            </w:r>
          </w:p>
        </w:tc>
        <w:tc>
          <w:tcPr>
            <w:tcW w:w="531" w:type="pct"/>
            <w:vAlign w:val="center"/>
          </w:tcPr>
          <w:p w14:paraId="0DCAB4E0" w14:textId="77777777" w:rsidR="00810FAC" w:rsidRPr="00D33008" w:rsidRDefault="00810FAC" w:rsidP="00810FAC">
            <w:pPr>
              <w:pStyle w:val="CH5TableText"/>
            </w:pPr>
            <w:r>
              <w:t>275.3</w:t>
            </w:r>
          </w:p>
        </w:tc>
        <w:tc>
          <w:tcPr>
            <w:tcW w:w="531" w:type="pct"/>
            <w:vAlign w:val="center"/>
          </w:tcPr>
          <w:p w14:paraId="34899FA3" w14:textId="77777777" w:rsidR="00810FAC" w:rsidRPr="00D33008" w:rsidRDefault="00810FAC" w:rsidP="00810FAC">
            <w:pPr>
              <w:pStyle w:val="CH5TableText"/>
            </w:pPr>
            <w:r>
              <w:t>275.0</w:t>
            </w:r>
          </w:p>
        </w:tc>
        <w:tc>
          <w:tcPr>
            <w:tcW w:w="535" w:type="pct"/>
            <w:vAlign w:val="center"/>
          </w:tcPr>
          <w:p w14:paraId="1EBDF4C7" w14:textId="77777777" w:rsidR="00810FAC" w:rsidRPr="00D33008" w:rsidRDefault="00810FAC" w:rsidP="00810FAC">
            <w:pPr>
              <w:pStyle w:val="CH5TableText"/>
            </w:pPr>
            <w:r>
              <w:t>274.8</w:t>
            </w:r>
          </w:p>
        </w:tc>
        <w:tc>
          <w:tcPr>
            <w:tcW w:w="532" w:type="pct"/>
            <w:vAlign w:val="center"/>
          </w:tcPr>
          <w:p w14:paraId="7864317C" w14:textId="77777777" w:rsidR="00810FAC" w:rsidRPr="00D33008" w:rsidRDefault="00810FAC" w:rsidP="00810FAC">
            <w:pPr>
              <w:pStyle w:val="CH5TableText"/>
            </w:pPr>
            <w:r>
              <w:t>274.6</w:t>
            </w:r>
          </w:p>
        </w:tc>
        <w:tc>
          <w:tcPr>
            <w:tcW w:w="530" w:type="pct"/>
            <w:vAlign w:val="center"/>
          </w:tcPr>
          <w:p w14:paraId="36CB4EEB" w14:textId="77777777" w:rsidR="00810FAC" w:rsidRPr="00D33008" w:rsidRDefault="00810FAC" w:rsidP="00810FAC">
            <w:pPr>
              <w:pStyle w:val="CH5TableText"/>
            </w:pPr>
            <w:r>
              <w:t>274.6</w:t>
            </w:r>
          </w:p>
        </w:tc>
      </w:tr>
      <w:tr w:rsidR="00810FAC" w:rsidRPr="00D33008" w14:paraId="0FE27EE5" w14:textId="77777777" w:rsidTr="00810FAC">
        <w:tblPrEx>
          <w:jc w:val="left"/>
        </w:tblPrEx>
        <w:trPr>
          <w:cantSplit/>
        </w:trPr>
        <w:tc>
          <w:tcPr>
            <w:tcW w:w="751" w:type="pct"/>
          </w:tcPr>
          <w:p w14:paraId="6DDA1933" w14:textId="77777777" w:rsidR="00810FAC" w:rsidRPr="00D33008" w:rsidRDefault="00810FAC" w:rsidP="00810FAC">
            <w:pPr>
              <w:pStyle w:val="CH5TableText"/>
              <w:rPr>
                <w:b/>
              </w:rPr>
            </w:pPr>
            <w:r w:rsidRPr="00D33008">
              <w:rPr>
                <w:b/>
              </w:rPr>
              <w:t>First-Year Participant (millions of 2011$)</w:t>
            </w:r>
          </w:p>
        </w:tc>
        <w:tc>
          <w:tcPr>
            <w:tcW w:w="528" w:type="pct"/>
            <w:vAlign w:val="center"/>
          </w:tcPr>
          <w:p w14:paraId="6305BC6D" w14:textId="77777777" w:rsidR="00810FAC" w:rsidRPr="00D33008" w:rsidRDefault="00810FAC" w:rsidP="00810FAC">
            <w:pPr>
              <w:pStyle w:val="CH5TableText"/>
            </w:pPr>
            <w:r w:rsidRPr="0084744D">
              <w:t>211.7</w:t>
            </w:r>
          </w:p>
        </w:tc>
        <w:tc>
          <w:tcPr>
            <w:tcW w:w="531" w:type="pct"/>
            <w:vAlign w:val="center"/>
          </w:tcPr>
          <w:p w14:paraId="6E1A8806" w14:textId="77777777" w:rsidR="00810FAC" w:rsidRPr="00D33008" w:rsidRDefault="00810FAC" w:rsidP="00810FAC">
            <w:pPr>
              <w:pStyle w:val="CH5TableText"/>
            </w:pPr>
            <w:r w:rsidRPr="0084744D">
              <w:t>243.3</w:t>
            </w:r>
          </w:p>
        </w:tc>
        <w:tc>
          <w:tcPr>
            <w:tcW w:w="531" w:type="pct"/>
            <w:vAlign w:val="center"/>
          </w:tcPr>
          <w:p w14:paraId="0AE133A3" w14:textId="77777777" w:rsidR="00810FAC" w:rsidRPr="00D33008" w:rsidRDefault="00810FAC" w:rsidP="00810FAC">
            <w:pPr>
              <w:pStyle w:val="CH5TableText"/>
            </w:pPr>
            <w:r w:rsidRPr="0084744D">
              <w:t>317.3</w:t>
            </w:r>
          </w:p>
        </w:tc>
        <w:tc>
          <w:tcPr>
            <w:tcW w:w="531" w:type="pct"/>
            <w:vAlign w:val="center"/>
          </w:tcPr>
          <w:p w14:paraId="7C86A597" w14:textId="77777777" w:rsidR="00810FAC" w:rsidRPr="00D33008" w:rsidRDefault="00810FAC" w:rsidP="00810FAC">
            <w:pPr>
              <w:pStyle w:val="CH5TableText"/>
            </w:pPr>
            <w:r w:rsidRPr="0084744D">
              <w:t>275.3</w:t>
            </w:r>
          </w:p>
        </w:tc>
        <w:tc>
          <w:tcPr>
            <w:tcW w:w="531" w:type="pct"/>
            <w:vAlign w:val="center"/>
          </w:tcPr>
          <w:p w14:paraId="548B8698" w14:textId="77777777" w:rsidR="00810FAC" w:rsidRPr="00D33008" w:rsidRDefault="00810FAC" w:rsidP="00810FAC">
            <w:pPr>
              <w:pStyle w:val="CH5TableText"/>
            </w:pPr>
            <w:r w:rsidRPr="0084744D">
              <w:t>275.0</w:t>
            </w:r>
          </w:p>
        </w:tc>
        <w:tc>
          <w:tcPr>
            <w:tcW w:w="535" w:type="pct"/>
            <w:vAlign w:val="center"/>
          </w:tcPr>
          <w:p w14:paraId="07B74F10" w14:textId="77777777" w:rsidR="00810FAC" w:rsidRPr="00D33008" w:rsidRDefault="00810FAC" w:rsidP="00810FAC">
            <w:pPr>
              <w:pStyle w:val="CH5TableText"/>
            </w:pPr>
            <w:r w:rsidRPr="0084744D">
              <w:t>274.8</w:t>
            </w:r>
          </w:p>
        </w:tc>
        <w:tc>
          <w:tcPr>
            <w:tcW w:w="532" w:type="pct"/>
            <w:vAlign w:val="center"/>
          </w:tcPr>
          <w:p w14:paraId="1E60C420" w14:textId="77777777" w:rsidR="00810FAC" w:rsidRPr="00D33008" w:rsidRDefault="00810FAC" w:rsidP="00810FAC">
            <w:pPr>
              <w:pStyle w:val="CH5TableText"/>
            </w:pPr>
            <w:r w:rsidRPr="0084744D">
              <w:t>274.6</w:t>
            </w:r>
          </w:p>
        </w:tc>
        <w:tc>
          <w:tcPr>
            <w:tcW w:w="530" w:type="pct"/>
            <w:vAlign w:val="center"/>
          </w:tcPr>
          <w:p w14:paraId="0150B2A8" w14:textId="77777777" w:rsidR="00810FAC" w:rsidRPr="00D33008" w:rsidRDefault="00810FAC" w:rsidP="00810FAC">
            <w:pPr>
              <w:pStyle w:val="CH5TableText"/>
            </w:pPr>
            <w:r w:rsidRPr="0084744D">
              <w:t>274.6</w:t>
            </w:r>
          </w:p>
        </w:tc>
      </w:tr>
    </w:tbl>
    <w:p w14:paraId="7F2AE2F1" w14:textId="77777777" w:rsidR="00810FAC" w:rsidRPr="00D33008" w:rsidRDefault="00810FAC" w:rsidP="006E6A19">
      <w:pPr>
        <w:pStyle w:val="Heading3"/>
      </w:pPr>
      <w:bookmarkStart w:id="151" w:name="_Toc424721604"/>
      <w:r w:rsidRPr="00D33008">
        <w:t>Step 2: Calculate Levelized Cost of Saved Energy</w:t>
      </w:r>
      <w:bookmarkEnd w:id="151"/>
    </w:p>
    <w:p w14:paraId="2B513565" w14:textId="77777777" w:rsidR="00810FAC" w:rsidRPr="00D33008" w:rsidRDefault="00810FAC" w:rsidP="00810FAC">
      <w:pPr>
        <w:pStyle w:val="CH5BodyText"/>
      </w:pPr>
      <w:r w:rsidRPr="00D33008">
        <w:t xml:space="preserve">The </w:t>
      </w:r>
      <w:r>
        <w:t xml:space="preserve">LCSE calculation </w:t>
      </w:r>
      <w:r w:rsidRPr="00D33008">
        <w:t>algorithm is based on the 2002 California Standard Practice Manual</w:t>
      </w:r>
      <w:r>
        <w:t xml:space="preserve"> (California GOPR 2002)</w:t>
      </w:r>
      <w:r w:rsidRPr="00D33008">
        <w:t xml:space="preserve">. </w:t>
      </w:r>
      <w:r>
        <w:t>T</w:t>
      </w:r>
      <w:r w:rsidRPr="006341C9">
        <w:t xml:space="preserve">his approach was adopted in order to appropriately allocate the cost of a single year EE program over declining </w:t>
      </w:r>
      <w:r>
        <w:t xml:space="preserve">lifetime </w:t>
      </w:r>
      <w:r w:rsidRPr="006341C9">
        <w:t>savings.</w:t>
      </w:r>
      <w:r>
        <w:t xml:space="preserve"> </w:t>
      </w:r>
      <w:r w:rsidRPr="00D33008">
        <w:t>The net present value of all savings from a single year’s EE activities (i.e., over the entire distribution of program lifetimes) is calculated using the real discount rate</w:t>
      </w:r>
      <w:r w:rsidRPr="006341C9">
        <w:t xml:space="preserve"> </w:t>
      </w:r>
      <w:r w:rsidRPr="005476DC">
        <w:t>rate</w:t>
      </w:r>
      <w:r>
        <w:t>s of 3% and 7%</w:t>
      </w:r>
      <w:r w:rsidRPr="00D33008">
        <w:t>. The levelized cost of saved energy is then calculated by dividing the annual first-year costs (from Table 2</w:t>
      </w:r>
      <w:r>
        <w:t>8</w:t>
      </w:r>
      <w:r w:rsidRPr="00D33008">
        <w:t xml:space="preserve">) by the </w:t>
      </w:r>
      <w:r>
        <w:t xml:space="preserve">net present value of the </w:t>
      </w:r>
      <w:r w:rsidRPr="00D33008">
        <w:t>savings. The resulting values are summarized for South Carolina in Table 2</w:t>
      </w:r>
      <w:r>
        <w:t>9</w:t>
      </w:r>
      <w:r w:rsidRPr="00D33008">
        <w:t>.</w:t>
      </w:r>
    </w:p>
    <w:p w14:paraId="657A2CE5" w14:textId="36B90873" w:rsidR="00810FAC" w:rsidRPr="00D33008" w:rsidRDefault="00810FAC" w:rsidP="00311E15">
      <w:pPr>
        <w:pStyle w:val="CH5TableTitle"/>
      </w:pPr>
      <w:bookmarkStart w:id="152" w:name="_Toc424720279"/>
      <w:r w:rsidRPr="00D33008">
        <w:lastRenderedPageBreak/>
        <w:t>T</w:t>
      </w:r>
      <w:r>
        <w:t>able</w:t>
      </w:r>
      <w:r w:rsidRPr="00D33008">
        <w:t xml:space="preserve"> 2</w:t>
      </w:r>
      <w:r>
        <w:t xml:space="preserve">9. </w:t>
      </w:r>
      <w:r w:rsidRPr="00D33008">
        <w:t>Levelized Cost of Saved Energy for South Carolina (at 3% discount rate)</w:t>
      </w:r>
      <w:bookmarkEnd w:id="152"/>
    </w:p>
    <w:tbl>
      <w:tblPr>
        <w:tblStyle w:val="TableGrid"/>
        <w:tblW w:w="5000" w:type="pct"/>
        <w:jc w:val="center"/>
        <w:tblLayout w:type="fixed"/>
        <w:tblLook w:val="04A0" w:firstRow="1" w:lastRow="0" w:firstColumn="1" w:lastColumn="0" w:noHBand="0" w:noVBand="1"/>
      </w:tblPr>
      <w:tblGrid>
        <w:gridCol w:w="1976"/>
        <w:gridCol w:w="922"/>
        <w:gridCol w:w="922"/>
        <w:gridCol w:w="922"/>
        <w:gridCol w:w="922"/>
        <w:gridCol w:w="922"/>
        <w:gridCol w:w="922"/>
        <w:gridCol w:w="922"/>
        <w:gridCol w:w="920"/>
      </w:tblGrid>
      <w:tr w:rsidR="00810FAC" w:rsidRPr="00D33008" w14:paraId="0C8D223F" w14:textId="77777777" w:rsidTr="005753E4">
        <w:trPr>
          <w:tblHeader/>
          <w:jc w:val="center"/>
        </w:trPr>
        <w:tc>
          <w:tcPr>
            <w:tcW w:w="1057" w:type="pct"/>
            <w:vMerge w:val="restart"/>
            <w:shd w:val="clear" w:color="auto" w:fill="D9D9D9" w:themeFill="background1" w:themeFillShade="D9"/>
            <w:vAlign w:val="center"/>
          </w:tcPr>
          <w:p w14:paraId="1B1938CA" w14:textId="77777777" w:rsidR="00810FAC" w:rsidRPr="00D33008" w:rsidRDefault="00810FAC" w:rsidP="00810FAC">
            <w:pPr>
              <w:pStyle w:val="CH5TableText"/>
            </w:pPr>
          </w:p>
        </w:tc>
        <w:tc>
          <w:tcPr>
            <w:tcW w:w="3943" w:type="pct"/>
            <w:gridSpan w:val="8"/>
            <w:shd w:val="clear" w:color="auto" w:fill="D9D9D9" w:themeFill="background1" w:themeFillShade="D9"/>
          </w:tcPr>
          <w:p w14:paraId="31A470EE" w14:textId="77777777" w:rsidR="00810FAC" w:rsidRPr="00D33008" w:rsidRDefault="00810FAC" w:rsidP="00810FAC">
            <w:pPr>
              <w:pStyle w:val="CH5TableText"/>
              <w:rPr>
                <w:b/>
              </w:rPr>
            </w:pPr>
            <w:r w:rsidRPr="00D33008">
              <w:rPr>
                <w:b/>
              </w:rPr>
              <w:t>Year</w:t>
            </w:r>
          </w:p>
        </w:tc>
      </w:tr>
      <w:tr w:rsidR="00810FAC" w:rsidRPr="00D33008" w14:paraId="2F765139" w14:textId="77777777" w:rsidTr="005753E4">
        <w:trPr>
          <w:tblHeader/>
          <w:jc w:val="center"/>
        </w:trPr>
        <w:tc>
          <w:tcPr>
            <w:tcW w:w="1057" w:type="pct"/>
            <w:vMerge/>
            <w:shd w:val="clear" w:color="auto" w:fill="D9D9D9" w:themeFill="background1" w:themeFillShade="D9"/>
            <w:vAlign w:val="center"/>
          </w:tcPr>
          <w:p w14:paraId="1D677ED1" w14:textId="77777777" w:rsidR="00810FAC" w:rsidRPr="00D33008" w:rsidRDefault="00810FAC" w:rsidP="00810FAC">
            <w:pPr>
              <w:pStyle w:val="CH5TableText"/>
            </w:pPr>
          </w:p>
        </w:tc>
        <w:tc>
          <w:tcPr>
            <w:tcW w:w="493" w:type="pct"/>
            <w:shd w:val="clear" w:color="auto" w:fill="D9D9D9" w:themeFill="background1" w:themeFillShade="D9"/>
            <w:vAlign w:val="center"/>
          </w:tcPr>
          <w:p w14:paraId="2678C6AF" w14:textId="77777777" w:rsidR="00810FAC" w:rsidRPr="00D33008" w:rsidRDefault="00810FAC" w:rsidP="00810FAC">
            <w:pPr>
              <w:pStyle w:val="CH5TableText"/>
              <w:rPr>
                <w:b/>
              </w:rPr>
            </w:pPr>
            <w:r w:rsidRPr="00D33008">
              <w:rPr>
                <w:b/>
              </w:rPr>
              <w:t>2020</w:t>
            </w:r>
          </w:p>
        </w:tc>
        <w:tc>
          <w:tcPr>
            <w:tcW w:w="493" w:type="pct"/>
            <w:shd w:val="clear" w:color="auto" w:fill="D9D9D9" w:themeFill="background1" w:themeFillShade="D9"/>
            <w:vAlign w:val="center"/>
          </w:tcPr>
          <w:p w14:paraId="026AE83E" w14:textId="77777777" w:rsidR="00810FAC" w:rsidRPr="00D33008" w:rsidRDefault="00810FAC" w:rsidP="00810FAC">
            <w:pPr>
              <w:pStyle w:val="CH5TableText"/>
              <w:rPr>
                <w:b/>
              </w:rPr>
            </w:pPr>
            <w:r w:rsidRPr="00D33008">
              <w:rPr>
                <w:b/>
              </w:rPr>
              <w:t>2021</w:t>
            </w:r>
          </w:p>
        </w:tc>
        <w:tc>
          <w:tcPr>
            <w:tcW w:w="493" w:type="pct"/>
            <w:shd w:val="clear" w:color="auto" w:fill="D9D9D9" w:themeFill="background1" w:themeFillShade="D9"/>
            <w:vAlign w:val="center"/>
          </w:tcPr>
          <w:p w14:paraId="5A5C3CA2" w14:textId="77777777" w:rsidR="00810FAC" w:rsidRPr="00D33008" w:rsidRDefault="00810FAC" w:rsidP="00810FAC">
            <w:pPr>
              <w:pStyle w:val="CH5TableText"/>
              <w:rPr>
                <w:b/>
              </w:rPr>
            </w:pPr>
            <w:r w:rsidRPr="00D33008">
              <w:rPr>
                <w:b/>
              </w:rPr>
              <w:t>2022</w:t>
            </w:r>
          </w:p>
        </w:tc>
        <w:tc>
          <w:tcPr>
            <w:tcW w:w="493" w:type="pct"/>
            <w:shd w:val="clear" w:color="auto" w:fill="D9D9D9" w:themeFill="background1" w:themeFillShade="D9"/>
          </w:tcPr>
          <w:p w14:paraId="1F8EEFD8" w14:textId="77777777" w:rsidR="00810FAC" w:rsidRPr="00D33008" w:rsidRDefault="00810FAC" w:rsidP="00810FAC">
            <w:pPr>
              <w:pStyle w:val="CH5TableText"/>
              <w:rPr>
                <w:b/>
              </w:rPr>
            </w:pPr>
            <w:r w:rsidRPr="00D33008">
              <w:rPr>
                <w:b/>
              </w:rPr>
              <w:t>2023</w:t>
            </w:r>
          </w:p>
        </w:tc>
        <w:tc>
          <w:tcPr>
            <w:tcW w:w="493" w:type="pct"/>
            <w:shd w:val="clear" w:color="auto" w:fill="D9D9D9" w:themeFill="background1" w:themeFillShade="D9"/>
          </w:tcPr>
          <w:p w14:paraId="4993E58B" w14:textId="77777777" w:rsidR="00810FAC" w:rsidRPr="00D33008" w:rsidRDefault="00810FAC" w:rsidP="00810FAC">
            <w:pPr>
              <w:pStyle w:val="CH5TableText"/>
              <w:rPr>
                <w:b/>
              </w:rPr>
            </w:pPr>
            <w:r w:rsidRPr="00D33008">
              <w:rPr>
                <w:b/>
              </w:rPr>
              <w:t>2024</w:t>
            </w:r>
          </w:p>
        </w:tc>
        <w:tc>
          <w:tcPr>
            <w:tcW w:w="493" w:type="pct"/>
            <w:shd w:val="clear" w:color="auto" w:fill="D9D9D9" w:themeFill="background1" w:themeFillShade="D9"/>
          </w:tcPr>
          <w:p w14:paraId="49D9E88D" w14:textId="77777777" w:rsidR="00810FAC" w:rsidRPr="00D33008" w:rsidRDefault="00810FAC" w:rsidP="00810FAC">
            <w:pPr>
              <w:pStyle w:val="CH5TableText"/>
              <w:rPr>
                <w:b/>
              </w:rPr>
            </w:pPr>
            <w:r w:rsidRPr="00D33008">
              <w:rPr>
                <w:b/>
              </w:rPr>
              <w:t>2025</w:t>
            </w:r>
          </w:p>
        </w:tc>
        <w:tc>
          <w:tcPr>
            <w:tcW w:w="493" w:type="pct"/>
            <w:shd w:val="clear" w:color="auto" w:fill="D9D9D9" w:themeFill="background1" w:themeFillShade="D9"/>
          </w:tcPr>
          <w:p w14:paraId="47BB4802" w14:textId="77777777" w:rsidR="00810FAC" w:rsidRPr="00D33008" w:rsidRDefault="00810FAC" w:rsidP="00810FAC">
            <w:pPr>
              <w:pStyle w:val="CH5TableText"/>
              <w:rPr>
                <w:b/>
              </w:rPr>
            </w:pPr>
            <w:r>
              <w:rPr>
                <w:b/>
              </w:rPr>
              <w:t>2026</w:t>
            </w:r>
          </w:p>
        </w:tc>
        <w:tc>
          <w:tcPr>
            <w:tcW w:w="492" w:type="pct"/>
            <w:shd w:val="clear" w:color="auto" w:fill="D9D9D9" w:themeFill="background1" w:themeFillShade="D9"/>
          </w:tcPr>
          <w:p w14:paraId="76C645F2" w14:textId="77777777" w:rsidR="00810FAC" w:rsidRPr="00D33008" w:rsidRDefault="00810FAC" w:rsidP="00810FAC">
            <w:pPr>
              <w:pStyle w:val="CH5TableText"/>
              <w:rPr>
                <w:b/>
              </w:rPr>
            </w:pPr>
            <w:r>
              <w:rPr>
                <w:b/>
              </w:rPr>
              <w:t>2027</w:t>
            </w:r>
          </w:p>
        </w:tc>
      </w:tr>
      <w:tr w:rsidR="00810FAC" w:rsidRPr="00D33008" w14:paraId="56CE06B4" w14:textId="77777777" w:rsidTr="00810FAC">
        <w:trPr>
          <w:jc w:val="center"/>
        </w:trPr>
        <w:tc>
          <w:tcPr>
            <w:tcW w:w="1057" w:type="pct"/>
            <w:vAlign w:val="center"/>
          </w:tcPr>
          <w:p w14:paraId="6916B85E" w14:textId="77777777" w:rsidR="00810FAC" w:rsidRPr="00D33008" w:rsidRDefault="00810FAC" w:rsidP="00810FAC">
            <w:pPr>
              <w:pStyle w:val="CH5TableText"/>
              <w:rPr>
                <w:b/>
              </w:rPr>
            </w:pPr>
            <w:r w:rsidRPr="00D33008">
              <w:rPr>
                <w:b/>
              </w:rPr>
              <w:t>Levelized Savings (GWh)</w:t>
            </w:r>
          </w:p>
        </w:tc>
        <w:tc>
          <w:tcPr>
            <w:tcW w:w="493" w:type="pct"/>
            <w:vAlign w:val="center"/>
          </w:tcPr>
          <w:p w14:paraId="27ABE4FD" w14:textId="77777777" w:rsidR="00810FAC" w:rsidRPr="00580D91" w:rsidRDefault="00810FAC" w:rsidP="00810FAC">
            <w:pPr>
              <w:pStyle w:val="CH5TableText"/>
              <w:rPr>
                <w:highlight w:val="yellow"/>
              </w:rPr>
            </w:pPr>
            <w:r w:rsidRPr="007A4E82">
              <w:t>3,279</w:t>
            </w:r>
          </w:p>
        </w:tc>
        <w:tc>
          <w:tcPr>
            <w:tcW w:w="493" w:type="pct"/>
            <w:vAlign w:val="center"/>
          </w:tcPr>
          <w:p w14:paraId="087C7489" w14:textId="77777777" w:rsidR="00810FAC" w:rsidRPr="00580D91" w:rsidRDefault="00810FAC" w:rsidP="00810FAC">
            <w:pPr>
              <w:pStyle w:val="CH5TableText"/>
              <w:rPr>
                <w:highlight w:val="yellow"/>
              </w:rPr>
            </w:pPr>
            <w:r w:rsidRPr="007A4E82">
              <w:t>4,710</w:t>
            </w:r>
          </w:p>
        </w:tc>
        <w:tc>
          <w:tcPr>
            <w:tcW w:w="493" w:type="pct"/>
            <w:vAlign w:val="center"/>
          </w:tcPr>
          <w:p w14:paraId="298F6F35" w14:textId="77777777" w:rsidR="00810FAC" w:rsidRPr="00580D91" w:rsidRDefault="00810FAC" w:rsidP="00810FAC">
            <w:pPr>
              <w:pStyle w:val="CH5TableText"/>
              <w:rPr>
                <w:highlight w:val="yellow"/>
              </w:rPr>
            </w:pPr>
            <w:r w:rsidRPr="007A4E82">
              <w:t>6,141</w:t>
            </w:r>
          </w:p>
        </w:tc>
        <w:tc>
          <w:tcPr>
            <w:tcW w:w="493" w:type="pct"/>
            <w:vAlign w:val="center"/>
          </w:tcPr>
          <w:p w14:paraId="7EAA0A02" w14:textId="77777777" w:rsidR="00810FAC" w:rsidRPr="00580D91" w:rsidRDefault="00810FAC" w:rsidP="00810FAC">
            <w:pPr>
              <w:pStyle w:val="CH5TableText"/>
              <w:rPr>
                <w:highlight w:val="yellow"/>
              </w:rPr>
            </w:pPr>
            <w:r w:rsidRPr="007A4E82">
              <w:t>7,105</w:t>
            </w:r>
          </w:p>
        </w:tc>
        <w:tc>
          <w:tcPr>
            <w:tcW w:w="493" w:type="pct"/>
            <w:vAlign w:val="center"/>
          </w:tcPr>
          <w:p w14:paraId="5C4EF30C" w14:textId="77777777" w:rsidR="00810FAC" w:rsidRPr="00580D91" w:rsidRDefault="00810FAC" w:rsidP="00810FAC">
            <w:pPr>
              <w:pStyle w:val="CH5TableText"/>
              <w:rPr>
                <w:highlight w:val="yellow"/>
              </w:rPr>
            </w:pPr>
            <w:r w:rsidRPr="007A4E82">
              <w:t>7,099</w:t>
            </w:r>
          </w:p>
        </w:tc>
        <w:tc>
          <w:tcPr>
            <w:tcW w:w="493" w:type="pct"/>
            <w:vAlign w:val="center"/>
          </w:tcPr>
          <w:p w14:paraId="5BCF0B2B" w14:textId="77777777" w:rsidR="00810FAC" w:rsidRPr="00580D91" w:rsidRDefault="00810FAC" w:rsidP="00810FAC">
            <w:pPr>
              <w:pStyle w:val="CH5TableText"/>
              <w:rPr>
                <w:highlight w:val="yellow"/>
              </w:rPr>
            </w:pPr>
            <w:r w:rsidRPr="007A4E82">
              <w:t>7,092</w:t>
            </w:r>
          </w:p>
        </w:tc>
        <w:tc>
          <w:tcPr>
            <w:tcW w:w="493" w:type="pct"/>
            <w:vAlign w:val="center"/>
          </w:tcPr>
          <w:p w14:paraId="30EC5B78" w14:textId="77777777" w:rsidR="00810FAC" w:rsidRPr="00580D91" w:rsidRDefault="00810FAC" w:rsidP="00810FAC">
            <w:pPr>
              <w:pStyle w:val="CH5TableText"/>
              <w:rPr>
                <w:highlight w:val="yellow"/>
              </w:rPr>
            </w:pPr>
            <w:r w:rsidRPr="007A4E82">
              <w:t>7,087</w:t>
            </w:r>
          </w:p>
        </w:tc>
        <w:tc>
          <w:tcPr>
            <w:tcW w:w="492" w:type="pct"/>
            <w:vAlign w:val="center"/>
          </w:tcPr>
          <w:p w14:paraId="767DE52E" w14:textId="77777777" w:rsidR="00810FAC" w:rsidRPr="00580D91" w:rsidRDefault="00810FAC" w:rsidP="00810FAC">
            <w:pPr>
              <w:pStyle w:val="CH5TableText"/>
              <w:rPr>
                <w:highlight w:val="yellow"/>
              </w:rPr>
            </w:pPr>
            <w:r w:rsidRPr="007A4E82">
              <w:t>7,087</w:t>
            </w:r>
          </w:p>
        </w:tc>
      </w:tr>
      <w:tr w:rsidR="00810FAC" w:rsidRPr="00D33008" w14:paraId="4FCE31B6" w14:textId="77777777" w:rsidTr="00810FAC">
        <w:trPr>
          <w:jc w:val="center"/>
        </w:trPr>
        <w:tc>
          <w:tcPr>
            <w:tcW w:w="1057" w:type="pct"/>
            <w:vAlign w:val="center"/>
          </w:tcPr>
          <w:p w14:paraId="38E3FDEF" w14:textId="77777777" w:rsidR="00810FAC" w:rsidRPr="00D33008" w:rsidRDefault="00810FAC" w:rsidP="00810FAC">
            <w:pPr>
              <w:pStyle w:val="CH5TableText"/>
              <w:rPr>
                <w:b/>
              </w:rPr>
            </w:pPr>
            <w:r w:rsidRPr="00D33008">
              <w:rPr>
                <w:b/>
              </w:rPr>
              <w:t>First-Year Total Cost</w:t>
            </w:r>
            <w:r>
              <w:rPr>
                <w:b/>
              </w:rPr>
              <w:t xml:space="preserve"> </w:t>
            </w:r>
            <w:r w:rsidRPr="00D33008">
              <w:rPr>
                <w:b/>
              </w:rPr>
              <w:t>(millions 2011$)</w:t>
            </w:r>
          </w:p>
        </w:tc>
        <w:tc>
          <w:tcPr>
            <w:tcW w:w="493" w:type="pct"/>
            <w:vAlign w:val="center"/>
          </w:tcPr>
          <w:p w14:paraId="1D918BCC" w14:textId="77777777" w:rsidR="00810FAC" w:rsidRPr="00D33008" w:rsidRDefault="00810FAC" w:rsidP="00810FAC">
            <w:pPr>
              <w:pStyle w:val="CH5TableText"/>
            </w:pPr>
            <w:r w:rsidRPr="000F5B4A">
              <w:t>423.4</w:t>
            </w:r>
          </w:p>
        </w:tc>
        <w:tc>
          <w:tcPr>
            <w:tcW w:w="493" w:type="pct"/>
            <w:vAlign w:val="center"/>
          </w:tcPr>
          <w:p w14:paraId="73ACE002" w14:textId="77777777" w:rsidR="00810FAC" w:rsidRPr="00D33008" w:rsidRDefault="00810FAC" w:rsidP="00810FAC">
            <w:pPr>
              <w:pStyle w:val="CH5TableText"/>
            </w:pPr>
            <w:r w:rsidRPr="000F5B4A">
              <w:t>486.6</w:t>
            </w:r>
          </w:p>
        </w:tc>
        <w:tc>
          <w:tcPr>
            <w:tcW w:w="493" w:type="pct"/>
            <w:vAlign w:val="center"/>
          </w:tcPr>
          <w:p w14:paraId="4A1A90D5" w14:textId="77777777" w:rsidR="00810FAC" w:rsidRPr="00D33008" w:rsidRDefault="00810FAC" w:rsidP="00810FAC">
            <w:pPr>
              <w:pStyle w:val="CH5TableText"/>
            </w:pPr>
            <w:r w:rsidRPr="000F5B4A">
              <w:t>634.5</w:t>
            </w:r>
          </w:p>
        </w:tc>
        <w:tc>
          <w:tcPr>
            <w:tcW w:w="493" w:type="pct"/>
            <w:vAlign w:val="center"/>
          </w:tcPr>
          <w:p w14:paraId="783308A0" w14:textId="77777777" w:rsidR="00810FAC" w:rsidRPr="00D33008" w:rsidRDefault="00810FAC" w:rsidP="00810FAC">
            <w:pPr>
              <w:pStyle w:val="CH5TableText"/>
            </w:pPr>
            <w:r w:rsidRPr="000F5B4A">
              <w:t>550.6</w:t>
            </w:r>
          </w:p>
        </w:tc>
        <w:tc>
          <w:tcPr>
            <w:tcW w:w="493" w:type="pct"/>
            <w:vAlign w:val="center"/>
          </w:tcPr>
          <w:p w14:paraId="58DEECBE" w14:textId="77777777" w:rsidR="00810FAC" w:rsidRPr="00D33008" w:rsidRDefault="00810FAC" w:rsidP="00810FAC">
            <w:pPr>
              <w:pStyle w:val="CH5TableText"/>
            </w:pPr>
            <w:r w:rsidRPr="000F5B4A">
              <w:t>550.1</w:t>
            </w:r>
          </w:p>
        </w:tc>
        <w:tc>
          <w:tcPr>
            <w:tcW w:w="493" w:type="pct"/>
            <w:vAlign w:val="center"/>
          </w:tcPr>
          <w:p w14:paraId="7B2D105C" w14:textId="77777777" w:rsidR="00810FAC" w:rsidRPr="00D33008" w:rsidRDefault="00810FAC" w:rsidP="00810FAC">
            <w:pPr>
              <w:pStyle w:val="CH5TableText"/>
            </w:pPr>
            <w:r w:rsidRPr="000F5B4A">
              <w:t>549.6</w:t>
            </w:r>
          </w:p>
        </w:tc>
        <w:tc>
          <w:tcPr>
            <w:tcW w:w="493" w:type="pct"/>
            <w:vAlign w:val="center"/>
          </w:tcPr>
          <w:p w14:paraId="0AD98360" w14:textId="77777777" w:rsidR="00810FAC" w:rsidRPr="00D33008" w:rsidRDefault="00810FAC" w:rsidP="00810FAC">
            <w:pPr>
              <w:pStyle w:val="CH5TableText"/>
            </w:pPr>
            <w:r w:rsidRPr="000F5B4A">
              <w:t>549.2</w:t>
            </w:r>
          </w:p>
        </w:tc>
        <w:tc>
          <w:tcPr>
            <w:tcW w:w="492" w:type="pct"/>
            <w:vAlign w:val="center"/>
          </w:tcPr>
          <w:p w14:paraId="5591A75B" w14:textId="77777777" w:rsidR="00810FAC" w:rsidRPr="00D33008" w:rsidRDefault="00810FAC" w:rsidP="00810FAC">
            <w:pPr>
              <w:pStyle w:val="CH5TableText"/>
            </w:pPr>
            <w:r w:rsidRPr="000F5B4A">
              <w:t>549.2</w:t>
            </w:r>
          </w:p>
        </w:tc>
      </w:tr>
      <w:tr w:rsidR="00810FAC" w:rsidRPr="00D33008" w14:paraId="602DEFDE" w14:textId="77777777" w:rsidTr="00810FAC">
        <w:trPr>
          <w:jc w:val="center"/>
        </w:trPr>
        <w:tc>
          <w:tcPr>
            <w:tcW w:w="1057" w:type="pct"/>
            <w:shd w:val="clear" w:color="auto" w:fill="F2F2F2" w:themeFill="background1" w:themeFillShade="F2"/>
            <w:vAlign w:val="center"/>
          </w:tcPr>
          <w:p w14:paraId="34560349" w14:textId="77777777" w:rsidR="00810FAC" w:rsidRPr="00D33008" w:rsidRDefault="00810FAC" w:rsidP="00810FAC">
            <w:pPr>
              <w:pStyle w:val="CH5TableText"/>
              <w:rPr>
                <w:b/>
              </w:rPr>
            </w:pPr>
            <w:r w:rsidRPr="00D33008">
              <w:rPr>
                <w:b/>
              </w:rPr>
              <w:t>Total LCSE (</w:t>
            </w:r>
            <w:r>
              <w:rPr>
                <w:b/>
              </w:rPr>
              <w:t>2011$/MWh</w:t>
            </w:r>
            <w:r w:rsidRPr="00D33008">
              <w:rPr>
                <w:b/>
              </w:rPr>
              <w:t>)</w:t>
            </w:r>
          </w:p>
        </w:tc>
        <w:tc>
          <w:tcPr>
            <w:tcW w:w="493" w:type="pct"/>
            <w:shd w:val="clear" w:color="auto" w:fill="F2F2F2" w:themeFill="background1" w:themeFillShade="F2"/>
            <w:vAlign w:val="center"/>
          </w:tcPr>
          <w:p w14:paraId="62C8DE23" w14:textId="77777777" w:rsidR="00810FAC" w:rsidRPr="00D33008" w:rsidRDefault="00810FAC" w:rsidP="00810FAC">
            <w:pPr>
              <w:pStyle w:val="CH5TableText"/>
            </w:pPr>
            <w:r w:rsidRPr="004D2B30">
              <w:t>129.2</w:t>
            </w:r>
          </w:p>
        </w:tc>
        <w:tc>
          <w:tcPr>
            <w:tcW w:w="493" w:type="pct"/>
            <w:shd w:val="clear" w:color="auto" w:fill="F2F2F2" w:themeFill="background1" w:themeFillShade="F2"/>
            <w:vAlign w:val="center"/>
          </w:tcPr>
          <w:p w14:paraId="4EFEBDA7" w14:textId="77777777" w:rsidR="00810FAC" w:rsidRPr="00D33008" w:rsidRDefault="00810FAC" w:rsidP="00810FAC">
            <w:pPr>
              <w:pStyle w:val="CH5TableText"/>
            </w:pPr>
            <w:r w:rsidRPr="004D2B30">
              <w:t>103.3</w:t>
            </w:r>
          </w:p>
        </w:tc>
        <w:tc>
          <w:tcPr>
            <w:tcW w:w="493" w:type="pct"/>
            <w:shd w:val="clear" w:color="auto" w:fill="F2F2F2" w:themeFill="background1" w:themeFillShade="F2"/>
            <w:vAlign w:val="center"/>
          </w:tcPr>
          <w:p w14:paraId="1DBEA0D0" w14:textId="77777777" w:rsidR="00810FAC" w:rsidRPr="00D33008" w:rsidRDefault="00810FAC" w:rsidP="00810FAC">
            <w:pPr>
              <w:pStyle w:val="CH5TableText"/>
            </w:pPr>
            <w:r w:rsidRPr="004D2B30">
              <w:t>103.3</w:t>
            </w:r>
          </w:p>
        </w:tc>
        <w:tc>
          <w:tcPr>
            <w:tcW w:w="493" w:type="pct"/>
            <w:shd w:val="clear" w:color="auto" w:fill="F2F2F2" w:themeFill="background1" w:themeFillShade="F2"/>
            <w:vAlign w:val="center"/>
          </w:tcPr>
          <w:p w14:paraId="352C09AE" w14:textId="77777777" w:rsidR="00810FAC" w:rsidRPr="00D33008" w:rsidRDefault="00810FAC" w:rsidP="00810FAC">
            <w:pPr>
              <w:pStyle w:val="CH5TableText"/>
            </w:pPr>
            <w:r w:rsidRPr="004D2B30">
              <w:t>77.5</w:t>
            </w:r>
          </w:p>
        </w:tc>
        <w:tc>
          <w:tcPr>
            <w:tcW w:w="493" w:type="pct"/>
            <w:shd w:val="clear" w:color="auto" w:fill="F2F2F2" w:themeFill="background1" w:themeFillShade="F2"/>
            <w:vAlign w:val="center"/>
          </w:tcPr>
          <w:p w14:paraId="757C21F0" w14:textId="77777777" w:rsidR="00810FAC" w:rsidRPr="00D33008" w:rsidRDefault="00810FAC" w:rsidP="00810FAC">
            <w:pPr>
              <w:pStyle w:val="CH5TableText"/>
            </w:pPr>
            <w:r w:rsidRPr="004D2B30">
              <w:t>77.5</w:t>
            </w:r>
          </w:p>
        </w:tc>
        <w:tc>
          <w:tcPr>
            <w:tcW w:w="493" w:type="pct"/>
            <w:shd w:val="clear" w:color="auto" w:fill="F2F2F2" w:themeFill="background1" w:themeFillShade="F2"/>
            <w:vAlign w:val="center"/>
          </w:tcPr>
          <w:p w14:paraId="362EEA33" w14:textId="77777777" w:rsidR="00810FAC" w:rsidRPr="00D33008" w:rsidRDefault="00810FAC" w:rsidP="00810FAC">
            <w:pPr>
              <w:pStyle w:val="CH5TableText"/>
            </w:pPr>
            <w:r w:rsidRPr="004D2B30">
              <w:t>77.5</w:t>
            </w:r>
          </w:p>
        </w:tc>
        <w:tc>
          <w:tcPr>
            <w:tcW w:w="493" w:type="pct"/>
            <w:shd w:val="clear" w:color="auto" w:fill="F2F2F2" w:themeFill="background1" w:themeFillShade="F2"/>
            <w:vAlign w:val="center"/>
          </w:tcPr>
          <w:p w14:paraId="40DB83AA" w14:textId="77777777" w:rsidR="00810FAC" w:rsidRPr="00D33008" w:rsidRDefault="00810FAC" w:rsidP="00810FAC">
            <w:pPr>
              <w:pStyle w:val="CH5TableText"/>
            </w:pPr>
            <w:r w:rsidRPr="004D2B30">
              <w:t>77.5</w:t>
            </w:r>
          </w:p>
        </w:tc>
        <w:tc>
          <w:tcPr>
            <w:tcW w:w="492" w:type="pct"/>
            <w:shd w:val="clear" w:color="auto" w:fill="F2F2F2" w:themeFill="background1" w:themeFillShade="F2"/>
            <w:vAlign w:val="center"/>
          </w:tcPr>
          <w:p w14:paraId="4056E221" w14:textId="77777777" w:rsidR="00810FAC" w:rsidRPr="00D33008" w:rsidRDefault="00810FAC" w:rsidP="00810FAC">
            <w:pPr>
              <w:pStyle w:val="CH5TableText"/>
            </w:pPr>
            <w:r w:rsidRPr="004D2B30">
              <w:t>77.5</w:t>
            </w:r>
          </w:p>
        </w:tc>
      </w:tr>
      <w:tr w:rsidR="00810FAC" w:rsidRPr="00D33008" w14:paraId="675F619C" w14:textId="77777777" w:rsidTr="00810FAC">
        <w:trPr>
          <w:jc w:val="center"/>
        </w:trPr>
        <w:tc>
          <w:tcPr>
            <w:tcW w:w="1057" w:type="pct"/>
            <w:vAlign w:val="center"/>
          </w:tcPr>
          <w:p w14:paraId="5D57F65B" w14:textId="77777777" w:rsidR="00810FAC" w:rsidRPr="00D33008" w:rsidRDefault="00810FAC" w:rsidP="00810FAC">
            <w:pPr>
              <w:pStyle w:val="CH5TableText"/>
              <w:rPr>
                <w:b/>
              </w:rPr>
            </w:pPr>
            <w:r w:rsidRPr="00D33008">
              <w:rPr>
                <w:b/>
              </w:rPr>
              <w:t>Program LCSE (</w:t>
            </w:r>
            <w:r w:rsidRPr="00336B98">
              <w:rPr>
                <w:b/>
              </w:rPr>
              <w:t>2011$/MWh</w:t>
            </w:r>
            <w:r w:rsidRPr="00D33008">
              <w:rPr>
                <w:b/>
              </w:rPr>
              <w:t>)</w:t>
            </w:r>
          </w:p>
        </w:tc>
        <w:tc>
          <w:tcPr>
            <w:tcW w:w="493" w:type="pct"/>
            <w:vAlign w:val="center"/>
          </w:tcPr>
          <w:p w14:paraId="1292F1AE" w14:textId="77777777" w:rsidR="00810FAC" w:rsidRPr="00D33008" w:rsidRDefault="00810FAC" w:rsidP="00810FAC">
            <w:pPr>
              <w:pStyle w:val="CH5TableText"/>
            </w:pPr>
            <w:r>
              <w:t>64.6</w:t>
            </w:r>
          </w:p>
        </w:tc>
        <w:tc>
          <w:tcPr>
            <w:tcW w:w="493" w:type="pct"/>
            <w:vAlign w:val="center"/>
          </w:tcPr>
          <w:p w14:paraId="2A4E53EA" w14:textId="77777777" w:rsidR="00810FAC" w:rsidRPr="00D33008" w:rsidRDefault="00810FAC" w:rsidP="00810FAC">
            <w:pPr>
              <w:pStyle w:val="CH5TableText"/>
            </w:pPr>
            <w:r>
              <w:t>51.7</w:t>
            </w:r>
          </w:p>
        </w:tc>
        <w:tc>
          <w:tcPr>
            <w:tcW w:w="493" w:type="pct"/>
            <w:vAlign w:val="center"/>
          </w:tcPr>
          <w:p w14:paraId="19F5F839" w14:textId="77777777" w:rsidR="00810FAC" w:rsidRPr="00D33008" w:rsidRDefault="00810FAC" w:rsidP="00810FAC">
            <w:pPr>
              <w:pStyle w:val="CH5TableText"/>
            </w:pPr>
            <w:r>
              <w:t>51.7</w:t>
            </w:r>
          </w:p>
        </w:tc>
        <w:tc>
          <w:tcPr>
            <w:tcW w:w="493" w:type="pct"/>
            <w:vAlign w:val="center"/>
          </w:tcPr>
          <w:p w14:paraId="0C406FBD" w14:textId="77777777" w:rsidR="00810FAC" w:rsidRPr="00D33008" w:rsidRDefault="00810FAC" w:rsidP="00810FAC">
            <w:pPr>
              <w:pStyle w:val="CH5TableText"/>
            </w:pPr>
            <w:r>
              <w:t>38.7</w:t>
            </w:r>
          </w:p>
        </w:tc>
        <w:tc>
          <w:tcPr>
            <w:tcW w:w="493" w:type="pct"/>
            <w:vAlign w:val="center"/>
          </w:tcPr>
          <w:p w14:paraId="1F0B4EA6" w14:textId="77777777" w:rsidR="00810FAC" w:rsidRPr="00D33008" w:rsidRDefault="00810FAC" w:rsidP="00810FAC">
            <w:pPr>
              <w:pStyle w:val="CH5TableText"/>
            </w:pPr>
            <w:r w:rsidRPr="0098389C">
              <w:t>38.7</w:t>
            </w:r>
          </w:p>
        </w:tc>
        <w:tc>
          <w:tcPr>
            <w:tcW w:w="493" w:type="pct"/>
            <w:vAlign w:val="center"/>
          </w:tcPr>
          <w:p w14:paraId="0FD4F77F" w14:textId="77777777" w:rsidR="00810FAC" w:rsidRPr="00D33008" w:rsidRDefault="00810FAC" w:rsidP="00810FAC">
            <w:pPr>
              <w:pStyle w:val="CH5TableText"/>
            </w:pPr>
            <w:r w:rsidRPr="00291655">
              <w:t>38.7</w:t>
            </w:r>
          </w:p>
        </w:tc>
        <w:tc>
          <w:tcPr>
            <w:tcW w:w="493" w:type="pct"/>
            <w:vAlign w:val="center"/>
          </w:tcPr>
          <w:p w14:paraId="782777A9" w14:textId="77777777" w:rsidR="00810FAC" w:rsidRPr="00D33008" w:rsidRDefault="00810FAC" w:rsidP="00810FAC">
            <w:pPr>
              <w:pStyle w:val="CH5TableText"/>
            </w:pPr>
            <w:r w:rsidRPr="00291655">
              <w:t>38.7</w:t>
            </w:r>
          </w:p>
        </w:tc>
        <w:tc>
          <w:tcPr>
            <w:tcW w:w="492" w:type="pct"/>
            <w:vAlign w:val="center"/>
          </w:tcPr>
          <w:p w14:paraId="1D2674E6" w14:textId="77777777" w:rsidR="00810FAC" w:rsidRPr="00D33008" w:rsidRDefault="00810FAC" w:rsidP="00810FAC">
            <w:pPr>
              <w:pStyle w:val="CH5TableText"/>
            </w:pPr>
            <w:r w:rsidRPr="00291655">
              <w:t>38.7</w:t>
            </w:r>
          </w:p>
        </w:tc>
      </w:tr>
      <w:tr w:rsidR="00810FAC" w:rsidRPr="00D33008" w14:paraId="69CB8594" w14:textId="77777777" w:rsidTr="00810FAC">
        <w:trPr>
          <w:jc w:val="center"/>
        </w:trPr>
        <w:tc>
          <w:tcPr>
            <w:tcW w:w="1057" w:type="pct"/>
            <w:vAlign w:val="center"/>
          </w:tcPr>
          <w:p w14:paraId="51309781" w14:textId="77777777" w:rsidR="00810FAC" w:rsidRPr="00D33008" w:rsidRDefault="00810FAC" w:rsidP="00810FAC">
            <w:pPr>
              <w:pStyle w:val="CH5TableText"/>
              <w:rPr>
                <w:b/>
              </w:rPr>
            </w:pPr>
            <w:r w:rsidRPr="00D33008">
              <w:rPr>
                <w:b/>
              </w:rPr>
              <w:t>Participant LCSE (</w:t>
            </w:r>
            <w:r w:rsidRPr="00336B98">
              <w:rPr>
                <w:b/>
              </w:rPr>
              <w:t>2011$/MWh</w:t>
            </w:r>
            <w:r w:rsidRPr="00D33008">
              <w:rPr>
                <w:b/>
              </w:rPr>
              <w:t>)</w:t>
            </w:r>
          </w:p>
        </w:tc>
        <w:tc>
          <w:tcPr>
            <w:tcW w:w="493" w:type="pct"/>
            <w:vAlign w:val="center"/>
          </w:tcPr>
          <w:p w14:paraId="5031170A" w14:textId="77777777" w:rsidR="00810FAC" w:rsidRPr="00D33008" w:rsidRDefault="00810FAC" w:rsidP="00810FAC">
            <w:pPr>
              <w:pStyle w:val="CH5TableText"/>
            </w:pPr>
            <w:r w:rsidRPr="00725177">
              <w:t>64.6</w:t>
            </w:r>
          </w:p>
        </w:tc>
        <w:tc>
          <w:tcPr>
            <w:tcW w:w="493" w:type="pct"/>
            <w:vAlign w:val="center"/>
          </w:tcPr>
          <w:p w14:paraId="064DB90C" w14:textId="77777777" w:rsidR="00810FAC" w:rsidRPr="00D33008" w:rsidRDefault="00810FAC" w:rsidP="00810FAC">
            <w:pPr>
              <w:pStyle w:val="CH5TableText"/>
            </w:pPr>
            <w:r w:rsidRPr="00725177">
              <w:t>51.7</w:t>
            </w:r>
          </w:p>
        </w:tc>
        <w:tc>
          <w:tcPr>
            <w:tcW w:w="493" w:type="pct"/>
            <w:vAlign w:val="center"/>
          </w:tcPr>
          <w:p w14:paraId="6EC0AFBD" w14:textId="77777777" w:rsidR="00810FAC" w:rsidRPr="00D33008" w:rsidRDefault="00810FAC" w:rsidP="00810FAC">
            <w:pPr>
              <w:pStyle w:val="CH5TableText"/>
            </w:pPr>
            <w:r w:rsidRPr="00725177">
              <w:t>51.7</w:t>
            </w:r>
          </w:p>
        </w:tc>
        <w:tc>
          <w:tcPr>
            <w:tcW w:w="493" w:type="pct"/>
            <w:vAlign w:val="center"/>
          </w:tcPr>
          <w:p w14:paraId="7122D035" w14:textId="77777777" w:rsidR="00810FAC" w:rsidRPr="00D33008" w:rsidRDefault="00810FAC" w:rsidP="00810FAC">
            <w:pPr>
              <w:pStyle w:val="CH5TableText"/>
            </w:pPr>
            <w:r w:rsidRPr="00725177">
              <w:t>38.7</w:t>
            </w:r>
          </w:p>
        </w:tc>
        <w:tc>
          <w:tcPr>
            <w:tcW w:w="493" w:type="pct"/>
            <w:vAlign w:val="center"/>
          </w:tcPr>
          <w:p w14:paraId="5F9A667B" w14:textId="77777777" w:rsidR="00810FAC" w:rsidRPr="00D33008" w:rsidRDefault="00810FAC" w:rsidP="00810FAC">
            <w:pPr>
              <w:pStyle w:val="CH5TableText"/>
            </w:pPr>
            <w:r w:rsidRPr="00725177">
              <w:t>38.7</w:t>
            </w:r>
          </w:p>
        </w:tc>
        <w:tc>
          <w:tcPr>
            <w:tcW w:w="493" w:type="pct"/>
            <w:vAlign w:val="center"/>
          </w:tcPr>
          <w:p w14:paraId="415A65CF" w14:textId="77777777" w:rsidR="00810FAC" w:rsidRPr="00D33008" w:rsidRDefault="00810FAC" w:rsidP="00810FAC">
            <w:pPr>
              <w:pStyle w:val="CH5TableText"/>
            </w:pPr>
            <w:r w:rsidRPr="00725177">
              <w:t>38.7</w:t>
            </w:r>
          </w:p>
        </w:tc>
        <w:tc>
          <w:tcPr>
            <w:tcW w:w="493" w:type="pct"/>
            <w:vAlign w:val="center"/>
          </w:tcPr>
          <w:p w14:paraId="440089F8" w14:textId="77777777" w:rsidR="00810FAC" w:rsidRPr="00D33008" w:rsidRDefault="00810FAC" w:rsidP="00810FAC">
            <w:pPr>
              <w:pStyle w:val="CH5TableText"/>
            </w:pPr>
            <w:r w:rsidRPr="00725177">
              <w:t>38.7</w:t>
            </w:r>
          </w:p>
        </w:tc>
        <w:tc>
          <w:tcPr>
            <w:tcW w:w="492" w:type="pct"/>
            <w:vAlign w:val="center"/>
          </w:tcPr>
          <w:p w14:paraId="63B9CBC7" w14:textId="77777777" w:rsidR="00810FAC" w:rsidRPr="00D33008" w:rsidRDefault="00810FAC" w:rsidP="00810FAC">
            <w:pPr>
              <w:pStyle w:val="CH5TableText"/>
            </w:pPr>
            <w:r w:rsidRPr="00725177">
              <w:t>38.7</w:t>
            </w:r>
          </w:p>
        </w:tc>
      </w:tr>
    </w:tbl>
    <w:p w14:paraId="3FD07B5F" w14:textId="77777777" w:rsidR="00810FAC" w:rsidRPr="00311E15" w:rsidRDefault="00810FAC" w:rsidP="00311E15"/>
    <w:p w14:paraId="3C19C7F9" w14:textId="77777777" w:rsidR="00810FAC" w:rsidRPr="00D33008" w:rsidRDefault="00810FAC" w:rsidP="006E6A19">
      <w:pPr>
        <w:pStyle w:val="Heading3"/>
      </w:pPr>
      <w:bookmarkStart w:id="153" w:name="_Toc424721605"/>
      <w:r w:rsidRPr="00D33008">
        <w:t>Step 3: Calculate Annualized Costs</w:t>
      </w:r>
      <w:bookmarkEnd w:id="153"/>
    </w:p>
    <w:p w14:paraId="44197AD7" w14:textId="77777777" w:rsidR="00810FAC" w:rsidRPr="00D33008" w:rsidRDefault="00810FAC" w:rsidP="00810FAC">
      <w:pPr>
        <w:pStyle w:val="CH5BodyText"/>
      </w:pPr>
      <w:r w:rsidRPr="00D33008">
        <w:t xml:space="preserve">Annualized costs are calculated by multiplying the LCSE for each year by the estimated savings </w:t>
      </w:r>
      <w:r>
        <w:t xml:space="preserve">of the demand-side EE plan scenario </w:t>
      </w:r>
      <w:r w:rsidRPr="00D33008">
        <w:t xml:space="preserve">in </w:t>
      </w:r>
      <w:r>
        <w:t xml:space="preserve">that </w:t>
      </w:r>
      <w:r w:rsidRPr="00D33008">
        <w:t xml:space="preserve">year through the full distribution of measure lifetimes. For </w:t>
      </w:r>
      <w:r>
        <w:t xml:space="preserve">a given </w:t>
      </w:r>
      <w:r w:rsidRPr="00D33008">
        <w:t xml:space="preserve">year in the analysis, the </w:t>
      </w:r>
      <w:r>
        <w:t xml:space="preserve">total </w:t>
      </w:r>
      <w:r w:rsidRPr="00D33008">
        <w:t xml:space="preserve">annualized costs resulting from all current and past investments are summed to calculate the total annualized costs </w:t>
      </w:r>
      <w:r>
        <w:t xml:space="preserve">for </w:t>
      </w:r>
      <w:r w:rsidRPr="00D33008">
        <w:t xml:space="preserve">that year. The resulting values are summarized for South Carolina in Table </w:t>
      </w:r>
      <w:r>
        <w:t>30</w:t>
      </w:r>
      <w:r w:rsidRPr="00D33008">
        <w:t>.</w:t>
      </w:r>
    </w:p>
    <w:p w14:paraId="208A6CB7" w14:textId="7385E363" w:rsidR="00810FAC" w:rsidRPr="00D33008" w:rsidRDefault="00810FAC" w:rsidP="00311E15">
      <w:pPr>
        <w:pStyle w:val="CH5TableTitle"/>
      </w:pPr>
      <w:bookmarkStart w:id="154" w:name="_Toc424720280"/>
      <w:r w:rsidRPr="00D33008">
        <w:t>T</w:t>
      </w:r>
      <w:r>
        <w:t>able</w:t>
      </w:r>
      <w:r w:rsidRPr="00D33008">
        <w:t xml:space="preserve"> </w:t>
      </w:r>
      <w:r>
        <w:t xml:space="preserve">30. </w:t>
      </w:r>
      <w:r w:rsidRPr="00D33008">
        <w:t>Annualized Costs for South Carolina</w:t>
      </w:r>
      <w:bookmarkEnd w:id="154"/>
    </w:p>
    <w:tbl>
      <w:tblPr>
        <w:tblStyle w:val="TableGrid"/>
        <w:tblW w:w="5000" w:type="pct"/>
        <w:jc w:val="center"/>
        <w:tblLayout w:type="fixed"/>
        <w:tblLook w:val="04A0" w:firstRow="1" w:lastRow="0" w:firstColumn="1" w:lastColumn="0" w:noHBand="0" w:noVBand="1"/>
      </w:tblPr>
      <w:tblGrid>
        <w:gridCol w:w="1254"/>
        <w:gridCol w:w="1011"/>
        <w:gridCol w:w="1011"/>
        <w:gridCol w:w="1012"/>
        <w:gridCol w:w="1012"/>
        <w:gridCol w:w="1012"/>
        <w:gridCol w:w="1012"/>
        <w:gridCol w:w="1012"/>
        <w:gridCol w:w="1014"/>
      </w:tblGrid>
      <w:tr w:rsidR="00810FAC" w:rsidRPr="00D33008" w14:paraId="514CE733" w14:textId="77777777" w:rsidTr="005753E4">
        <w:trPr>
          <w:tblHeader/>
          <w:jc w:val="center"/>
        </w:trPr>
        <w:tc>
          <w:tcPr>
            <w:tcW w:w="671" w:type="pct"/>
            <w:vMerge w:val="restart"/>
            <w:shd w:val="clear" w:color="auto" w:fill="D9D9D9" w:themeFill="background1" w:themeFillShade="D9"/>
            <w:vAlign w:val="center"/>
          </w:tcPr>
          <w:p w14:paraId="79795D74" w14:textId="77777777" w:rsidR="00810FAC" w:rsidRPr="00D33008" w:rsidRDefault="00810FAC" w:rsidP="00810FAC">
            <w:pPr>
              <w:pStyle w:val="CH5TableText"/>
            </w:pPr>
          </w:p>
        </w:tc>
        <w:tc>
          <w:tcPr>
            <w:tcW w:w="4329" w:type="pct"/>
            <w:gridSpan w:val="8"/>
            <w:shd w:val="clear" w:color="auto" w:fill="D9D9D9" w:themeFill="background1" w:themeFillShade="D9"/>
            <w:vAlign w:val="center"/>
          </w:tcPr>
          <w:p w14:paraId="40031517" w14:textId="77777777" w:rsidR="00810FAC" w:rsidRPr="00D33008" w:rsidRDefault="00810FAC" w:rsidP="00810FAC">
            <w:pPr>
              <w:pStyle w:val="CH5TableText"/>
              <w:rPr>
                <w:b/>
              </w:rPr>
            </w:pPr>
            <w:r w:rsidRPr="00D33008">
              <w:rPr>
                <w:b/>
              </w:rPr>
              <w:t>Year</w:t>
            </w:r>
          </w:p>
        </w:tc>
      </w:tr>
      <w:tr w:rsidR="00810FAC" w:rsidRPr="00D33008" w14:paraId="0DFB39DB" w14:textId="77777777" w:rsidTr="005753E4">
        <w:trPr>
          <w:tblHeader/>
          <w:jc w:val="center"/>
        </w:trPr>
        <w:tc>
          <w:tcPr>
            <w:tcW w:w="671" w:type="pct"/>
            <w:vMerge/>
            <w:tcBorders>
              <w:bottom w:val="single" w:sz="4" w:space="0" w:color="auto"/>
            </w:tcBorders>
            <w:shd w:val="clear" w:color="auto" w:fill="D9D9D9" w:themeFill="background1" w:themeFillShade="D9"/>
            <w:vAlign w:val="center"/>
          </w:tcPr>
          <w:p w14:paraId="0E4E732F" w14:textId="77777777" w:rsidR="00810FAC" w:rsidRPr="00D33008" w:rsidRDefault="00810FAC" w:rsidP="00810FAC">
            <w:pPr>
              <w:pStyle w:val="CH5TableText"/>
            </w:pPr>
          </w:p>
        </w:tc>
        <w:tc>
          <w:tcPr>
            <w:tcW w:w="541" w:type="pct"/>
            <w:tcBorders>
              <w:bottom w:val="single" w:sz="4" w:space="0" w:color="auto"/>
            </w:tcBorders>
            <w:shd w:val="clear" w:color="auto" w:fill="D9D9D9" w:themeFill="background1" w:themeFillShade="D9"/>
            <w:vAlign w:val="center"/>
          </w:tcPr>
          <w:p w14:paraId="72A59BE0" w14:textId="77777777" w:rsidR="00810FAC" w:rsidRPr="00D33008" w:rsidRDefault="00810FAC" w:rsidP="00810FAC">
            <w:pPr>
              <w:pStyle w:val="CH5TableText"/>
              <w:rPr>
                <w:b/>
              </w:rPr>
            </w:pPr>
            <w:r w:rsidRPr="00D33008">
              <w:rPr>
                <w:b/>
              </w:rPr>
              <w:t>2020</w:t>
            </w:r>
          </w:p>
        </w:tc>
        <w:tc>
          <w:tcPr>
            <w:tcW w:w="541" w:type="pct"/>
            <w:tcBorders>
              <w:bottom w:val="single" w:sz="4" w:space="0" w:color="auto"/>
            </w:tcBorders>
            <w:shd w:val="clear" w:color="auto" w:fill="D9D9D9" w:themeFill="background1" w:themeFillShade="D9"/>
            <w:vAlign w:val="center"/>
          </w:tcPr>
          <w:p w14:paraId="5659DD5B" w14:textId="77777777" w:rsidR="00810FAC" w:rsidRPr="00D33008" w:rsidRDefault="00810FAC" w:rsidP="00810FAC">
            <w:pPr>
              <w:pStyle w:val="CH5TableText"/>
              <w:rPr>
                <w:b/>
              </w:rPr>
            </w:pPr>
            <w:r w:rsidRPr="00D33008">
              <w:rPr>
                <w:b/>
              </w:rPr>
              <w:t>2021</w:t>
            </w:r>
          </w:p>
        </w:tc>
        <w:tc>
          <w:tcPr>
            <w:tcW w:w="541" w:type="pct"/>
            <w:tcBorders>
              <w:bottom w:val="single" w:sz="4" w:space="0" w:color="auto"/>
            </w:tcBorders>
            <w:shd w:val="clear" w:color="auto" w:fill="D9D9D9" w:themeFill="background1" w:themeFillShade="D9"/>
            <w:vAlign w:val="center"/>
          </w:tcPr>
          <w:p w14:paraId="508DC4FF" w14:textId="77777777" w:rsidR="00810FAC" w:rsidRPr="00D33008" w:rsidRDefault="00810FAC" w:rsidP="00810FAC">
            <w:pPr>
              <w:pStyle w:val="CH5TableText"/>
              <w:rPr>
                <w:b/>
              </w:rPr>
            </w:pPr>
            <w:r w:rsidRPr="00D33008">
              <w:rPr>
                <w:b/>
              </w:rPr>
              <w:t>2022</w:t>
            </w:r>
          </w:p>
        </w:tc>
        <w:tc>
          <w:tcPr>
            <w:tcW w:w="541" w:type="pct"/>
            <w:tcBorders>
              <w:bottom w:val="single" w:sz="4" w:space="0" w:color="auto"/>
            </w:tcBorders>
            <w:shd w:val="clear" w:color="auto" w:fill="D9D9D9" w:themeFill="background1" w:themeFillShade="D9"/>
            <w:vAlign w:val="center"/>
          </w:tcPr>
          <w:p w14:paraId="69CB5BC7" w14:textId="77777777" w:rsidR="00810FAC" w:rsidRPr="00D33008" w:rsidRDefault="00810FAC" w:rsidP="00810FAC">
            <w:pPr>
              <w:pStyle w:val="CH5TableText"/>
              <w:rPr>
                <w:b/>
              </w:rPr>
            </w:pPr>
            <w:r w:rsidRPr="00D33008">
              <w:rPr>
                <w:b/>
              </w:rPr>
              <w:t>2023</w:t>
            </w:r>
          </w:p>
        </w:tc>
        <w:tc>
          <w:tcPr>
            <w:tcW w:w="541" w:type="pct"/>
            <w:tcBorders>
              <w:bottom w:val="single" w:sz="4" w:space="0" w:color="auto"/>
            </w:tcBorders>
            <w:shd w:val="clear" w:color="auto" w:fill="D9D9D9" w:themeFill="background1" w:themeFillShade="D9"/>
            <w:vAlign w:val="center"/>
          </w:tcPr>
          <w:p w14:paraId="398CC5C6" w14:textId="77777777" w:rsidR="00810FAC" w:rsidRPr="00D33008" w:rsidRDefault="00810FAC" w:rsidP="00810FAC">
            <w:pPr>
              <w:pStyle w:val="CH5TableText"/>
              <w:rPr>
                <w:b/>
              </w:rPr>
            </w:pPr>
            <w:r w:rsidRPr="00D33008">
              <w:rPr>
                <w:b/>
              </w:rPr>
              <w:t>2024</w:t>
            </w:r>
          </w:p>
        </w:tc>
        <w:tc>
          <w:tcPr>
            <w:tcW w:w="541" w:type="pct"/>
            <w:tcBorders>
              <w:bottom w:val="single" w:sz="4" w:space="0" w:color="auto"/>
            </w:tcBorders>
            <w:shd w:val="clear" w:color="auto" w:fill="D9D9D9" w:themeFill="background1" w:themeFillShade="D9"/>
            <w:vAlign w:val="center"/>
          </w:tcPr>
          <w:p w14:paraId="688C06A8" w14:textId="77777777" w:rsidR="00810FAC" w:rsidRPr="00D33008" w:rsidRDefault="00810FAC" w:rsidP="00810FAC">
            <w:pPr>
              <w:pStyle w:val="CH5TableText"/>
              <w:rPr>
                <w:b/>
              </w:rPr>
            </w:pPr>
            <w:r w:rsidRPr="00D33008">
              <w:rPr>
                <w:b/>
              </w:rPr>
              <w:t>2025</w:t>
            </w:r>
          </w:p>
        </w:tc>
        <w:tc>
          <w:tcPr>
            <w:tcW w:w="541" w:type="pct"/>
            <w:tcBorders>
              <w:bottom w:val="single" w:sz="4" w:space="0" w:color="auto"/>
            </w:tcBorders>
            <w:shd w:val="clear" w:color="auto" w:fill="D9D9D9" w:themeFill="background1" w:themeFillShade="D9"/>
          </w:tcPr>
          <w:p w14:paraId="5EE8510B" w14:textId="77777777" w:rsidR="00810FAC" w:rsidRPr="00D33008" w:rsidRDefault="00810FAC" w:rsidP="00810FAC">
            <w:pPr>
              <w:pStyle w:val="CH5TableText"/>
              <w:rPr>
                <w:b/>
              </w:rPr>
            </w:pPr>
            <w:r>
              <w:rPr>
                <w:b/>
              </w:rPr>
              <w:t>2026</w:t>
            </w:r>
          </w:p>
        </w:tc>
        <w:tc>
          <w:tcPr>
            <w:tcW w:w="541" w:type="pct"/>
            <w:tcBorders>
              <w:bottom w:val="single" w:sz="4" w:space="0" w:color="auto"/>
            </w:tcBorders>
            <w:shd w:val="clear" w:color="auto" w:fill="D9D9D9" w:themeFill="background1" w:themeFillShade="D9"/>
          </w:tcPr>
          <w:p w14:paraId="1179F00F" w14:textId="77777777" w:rsidR="00810FAC" w:rsidRPr="00D33008" w:rsidRDefault="00810FAC" w:rsidP="00810FAC">
            <w:pPr>
              <w:pStyle w:val="CH5TableText"/>
              <w:rPr>
                <w:b/>
              </w:rPr>
            </w:pPr>
            <w:r>
              <w:rPr>
                <w:b/>
              </w:rPr>
              <w:t>2027</w:t>
            </w:r>
          </w:p>
        </w:tc>
      </w:tr>
      <w:tr w:rsidR="00810FAC" w:rsidRPr="00D33008" w14:paraId="462E3F7D" w14:textId="77777777" w:rsidTr="00810FAC">
        <w:tblPrEx>
          <w:jc w:val="left"/>
        </w:tblPrEx>
        <w:tc>
          <w:tcPr>
            <w:tcW w:w="671" w:type="pct"/>
            <w:shd w:val="clear" w:color="auto" w:fill="auto"/>
            <w:vAlign w:val="center"/>
          </w:tcPr>
          <w:p w14:paraId="79E74831" w14:textId="77777777" w:rsidR="00810FAC" w:rsidRPr="00D33008" w:rsidRDefault="00810FAC" w:rsidP="00810FAC">
            <w:pPr>
              <w:pStyle w:val="CH5TableText"/>
              <w:rPr>
                <w:b/>
              </w:rPr>
            </w:pPr>
            <w:r w:rsidRPr="00D33008">
              <w:rPr>
                <w:b/>
              </w:rPr>
              <w:t>Annualized Total Costs</w:t>
            </w:r>
          </w:p>
          <w:p w14:paraId="38C98480" w14:textId="77777777" w:rsidR="00810FAC" w:rsidRPr="00D33008" w:rsidRDefault="00810FAC" w:rsidP="00810FAC">
            <w:pPr>
              <w:pStyle w:val="CH5TableText"/>
              <w:rPr>
                <w:b/>
              </w:rPr>
            </w:pPr>
            <w:r w:rsidRPr="00D33008">
              <w:rPr>
                <w:b/>
              </w:rPr>
              <w:t>(millions 2011$)</w:t>
            </w:r>
          </w:p>
        </w:tc>
        <w:tc>
          <w:tcPr>
            <w:tcW w:w="541" w:type="pct"/>
            <w:shd w:val="clear" w:color="auto" w:fill="auto"/>
            <w:vAlign w:val="center"/>
          </w:tcPr>
          <w:p w14:paraId="25ECF05A" w14:textId="77777777" w:rsidR="00810FAC" w:rsidRPr="00D33008" w:rsidRDefault="00810FAC" w:rsidP="00810FAC">
            <w:pPr>
              <w:pStyle w:val="CH5TableText"/>
            </w:pPr>
            <w:r w:rsidRPr="002628B2">
              <w:t>49.7</w:t>
            </w:r>
          </w:p>
        </w:tc>
        <w:tc>
          <w:tcPr>
            <w:tcW w:w="541" w:type="pct"/>
            <w:shd w:val="clear" w:color="auto" w:fill="auto"/>
            <w:vAlign w:val="center"/>
          </w:tcPr>
          <w:p w14:paraId="0DCD7BF9" w14:textId="77777777" w:rsidR="00810FAC" w:rsidRPr="00D33008" w:rsidRDefault="00810FAC" w:rsidP="00810FAC">
            <w:pPr>
              <w:pStyle w:val="CH5TableText"/>
            </w:pPr>
            <w:r w:rsidRPr="002628B2">
              <w:t>106.9</w:t>
            </w:r>
          </w:p>
        </w:tc>
        <w:tc>
          <w:tcPr>
            <w:tcW w:w="541" w:type="pct"/>
            <w:shd w:val="clear" w:color="auto" w:fill="auto"/>
            <w:vAlign w:val="center"/>
          </w:tcPr>
          <w:p w14:paraId="1F19B9AE" w14:textId="77777777" w:rsidR="00810FAC" w:rsidRPr="00D33008" w:rsidRDefault="00810FAC" w:rsidP="00810FAC">
            <w:pPr>
              <w:pStyle w:val="CH5TableText"/>
            </w:pPr>
            <w:r w:rsidRPr="002628B2">
              <w:t>181.4</w:t>
            </w:r>
          </w:p>
        </w:tc>
        <w:tc>
          <w:tcPr>
            <w:tcW w:w="541" w:type="pct"/>
            <w:shd w:val="clear" w:color="auto" w:fill="auto"/>
            <w:vAlign w:val="center"/>
          </w:tcPr>
          <w:p w14:paraId="38F500DC" w14:textId="77777777" w:rsidR="00810FAC" w:rsidRPr="00D33008" w:rsidRDefault="00810FAC" w:rsidP="00810FAC">
            <w:pPr>
              <w:pStyle w:val="CH5TableText"/>
            </w:pPr>
            <w:r w:rsidRPr="002628B2">
              <w:t>246.0</w:t>
            </w:r>
          </w:p>
        </w:tc>
        <w:tc>
          <w:tcPr>
            <w:tcW w:w="541" w:type="pct"/>
            <w:shd w:val="clear" w:color="auto" w:fill="auto"/>
            <w:vAlign w:val="center"/>
          </w:tcPr>
          <w:p w14:paraId="2A2EB7B0" w14:textId="77777777" w:rsidR="00810FAC" w:rsidRPr="00D33008" w:rsidRDefault="00810FAC" w:rsidP="00810FAC">
            <w:pPr>
              <w:pStyle w:val="CH5TableText"/>
            </w:pPr>
            <w:r w:rsidRPr="002628B2">
              <w:t>310.6</w:t>
            </w:r>
          </w:p>
        </w:tc>
        <w:tc>
          <w:tcPr>
            <w:tcW w:w="541" w:type="pct"/>
            <w:shd w:val="clear" w:color="auto" w:fill="auto"/>
            <w:vAlign w:val="center"/>
          </w:tcPr>
          <w:p w14:paraId="5D49A484" w14:textId="77777777" w:rsidR="00810FAC" w:rsidRPr="00D33008" w:rsidRDefault="00810FAC" w:rsidP="00810FAC">
            <w:pPr>
              <w:pStyle w:val="CH5TableText"/>
            </w:pPr>
            <w:r w:rsidRPr="002628B2">
              <w:t>375.1</w:t>
            </w:r>
          </w:p>
        </w:tc>
        <w:tc>
          <w:tcPr>
            <w:tcW w:w="541" w:type="pct"/>
            <w:vAlign w:val="center"/>
          </w:tcPr>
          <w:p w14:paraId="6D394407" w14:textId="77777777" w:rsidR="00810FAC" w:rsidRPr="002628B2" w:rsidRDefault="00810FAC" w:rsidP="00810FAC">
            <w:pPr>
              <w:pStyle w:val="CH5TableText"/>
            </w:pPr>
            <w:r>
              <w:t>430.7</w:t>
            </w:r>
          </w:p>
        </w:tc>
        <w:tc>
          <w:tcPr>
            <w:tcW w:w="541" w:type="pct"/>
            <w:vAlign w:val="center"/>
          </w:tcPr>
          <w:p w14:paraId="48F3A5D9" w14:textId="77777777" w:rsidR="00810FAC" w:rsidRPr="002628B2" w:rsidRDefault="00810FAC" w:rsidP="00810FAC">
            <w:pPr>
              <w:pStyle w:val="CH5TableText"/>
            </w:pPr>
            <w:r>
              <w:t>476.4</w:t>
            </w:r>
          </w:p>
        </w:tc>
      </w:tr>
      <w:tr w:rsidR="00810FAC" w:rsidRPr="00D33008" w14:paraId="5A1DA47A" w14:textId="77777777" w:rsidTr="00810FAC">
        <w:tblPrEx>
          <w:jc w:val="left"/>
        </w:tblPrEx>
        <w:tc>
          <w:tcPr>
            <w:tcW w:w="671" w:type="pct"/>
            <w:vAlign w:val="center"/>
          </w:tcPr>
          <w:p w14:paraId="77466716" w14:textId="77777777" w:rsidR="00810FAC" w:rsidRPr="00D33008" w:rsidRDefault="00810FAC" w:rsidP="00810FAC">
            <w:pPr>
              <w:pStyle w:val="CH5TableText"/>
              <w:rPr>
                <w:b/>
              </w:rPr>
            </w:pPr>
            <w:r w:rsidRPr="00D33008">
              <w:rPr>
                <w:b/>
              </w:rPr>
              <w:t>Annualized Program Costs</w:t>
            </w:r>
          </w:p>
          <w:p w14:paraId="62EDBE89" w14:textId="77777777" w:rsidR="00810FAC" w:rsidRPr="00D33008" w:rsidRDefault="00810FAC" w:rsidP="00810FAC">
            <w:pPr>
              <w:pStyle w:val="CH5TableText"/>
              <w:rPr>
                <w:b/>
              </w:rPr>
            </w:pPr>
            <w:r w:rsidRPr="00D33008">
              <w:rPr>
                <w:b/>
              </w:rPr>
              <w:t>(millions 2011$)</w:t>
            </w:r>
          </w:p>
        </w:tc>
        <w:tc>
          <w:tcPr>
            <w:tcW w:w="541" w:type="pct"/>
            <w:vAlign w:val="center"/>
          </w:tcPr>
          <w:p w14:paraId="55B37E3C" w14:textId="77777777" w:rsidR="00810FAC" w:rsidRPr="00D33008" w:rsidRDefault="00810FAC" w:rsidP="00810FAC">
            <w:pPr>
              <w:pStyle w:val="CH5TableText"/>
            </w:pPr>
            <w:r>
              <w:t>24.9</w:t>
            </w:r>
          </w:p>
        </w:tc>
        <w:tc>
          <w:tcPr>
            <w:tcW w:w="541" w:type="pct"/>
            <w:vAlign w:val="center"/>
          </w:tcPr>
          <w:p w14:paraId="61FEB649" w14:textId="77777777" w:rsidR="00810FAC" w:rsidRPr="00D33008" w:rsidRDefault="00810FAC" w:rsidP="00810FAC">
            <w:pPr>
              <w:pStyle w:val="CH5TableText"/>
            </w:pPr>
            <w:r>
              <w:t>53.4</w:t>
            </w:r>
          </w:p>
        </w:tc>
        <w:tc>
          <w:tcPr>
            <w:tcW w:w="541" w:type="pct"/>
            <w:vAlign w:val="center"/>
          </w:tcPr>
          <w:p w14:paraId="03A3FD58" w14:textId="77777777" w:rsidR="00810FAC" w:rsidRPr="00D33008" w:rsidRDefault="00810FAC" w:rsidP="00810FAC">
            <w:pPr>
              <w:pStyle w:val="CH5TableText"/>
            </w:pPr>
            <w:r>
              <w:t>90.7</w:t>
            </w:r>
          </w:p>
        </w:tc>
        <w:tc>
          <w:tcPr>
            <w:tcW w:w="541" w:type="pct"/>
            <w:vAlign w:val="center"/>
          </w:tcPr>
          <w:p w14:paraId="453ABEE2" w14:textId="77777777" w:rsidR="00810FAC" w:rsidRPr="00D33008" w:rsidRDefault="00810FAC" w:rsidP="00810FAC">
            <w:pPr>
              <w:pStyle w:val="CH5TableText"/>
            </w:pPr>
            <w:r>
              <w:t>123.0</w:t>
            </w:r>
          </w:p>
        </w:tc>
        <w:tc>
          <w:tcPr>
            <w:tcW w:w="541" w:type="pct"/>
            <w:vAlign w:val="center"/>
          </w:tcPr>
          <w:p w14:paraId="79B9BA7E" w14:textId="77777777" w:rsidR="00810FAC" w:rsidRPr="00D33008" w:rsidRDefault="00810FAC" w:rsidP="00810FAC">
            <w:pPr>
              <w:pStyle w:val="CH5TableText"/>
            </w:pPr>
            <w:r>
              <w:t>155.3</w:t>
            </w:r>
          </w:p>
        </w:tc>
        <w:tc>
          <w:tcPr>
            <w:tcW w:w="541" w:type="pct"/>
            <w:vAlign w:val="center"/>
          </w:tcPr>
          <w:p w14:paraId="65345E2B" w14:textId="77777777" w:rsidR="00810FAC" w:rsidRPr="00D33008" w:rsidRDefault="00810FAC" w:rsidP="00810FAC">
            <w:pPr>
              <w:pStyle w:val="CH5TableText"/>
            </w:pPr>
            <w:r>
              <w:t>187.6</w:t>
            </w:r>
          </w:p>
        </w:tc>
        <w:tc>
          <w:tcPr>
            <w:tcW w:w="541" w:type="pct"/>
            <w:vAlign w:val="center"/>
          </w:tcPr>
          <w:p w14:paraId="250D9521" w14:textId="77777777" w:rsidR="00810FAC" w:rsidRDefault="00810FAC" w:rsidP="00810FAC">
            <w:pPr>
              <w:pStyle w:val="CH5TableText"/>
            </w:pPr>
            <w:r>
              <w:t>215.3</w:t>
            </w:r>
          </w:p>
        </w:tc>
        <w:tc>
          <w:tcPr>
            <w:tcW w:w="541" w:type="pct"/>
            <w:vAlign w:val="center"/>
          </w:tcPr>
          <w:p w14:paraId="151ECFFC" w14:textId="77777777" w:rsidR="00810FAC" w:rsidRDefault="00810FAC" w:rsidP="00810FAC">
            <w:pPr>
              <w:pStyle w:val="CH5TableText"/>
            </w:pPr>
            <w:r>
              <w:t>238.2</w:t>
            </w:r>
          </w:p>
        </w:tc>
      </w:tr>
      <w:tr w:rsidR="00810FAC" w:rsidRPr="00D33008" w14:paraId="63E9FED7" w14:textId="77777777" w:rsidTr="00810FAC">
        <w:trPr>
          <w:jc w:val="center"/>
        </w:trPr>
        <w:tc>
          <w:tcPr>
            <w:tcW w:w="671" w:type="pct"/>
            <w:vAlign w:val="center"/>
          </w:tcPr>
          <w:p w14:paraId="3E3BC36C" w14:textId="77777777" w:rsidR="00810FAC" w:rsidRPr="00D33008" w:rsidRDefault="00810FAC" w:rsidP="00810FAC">
            <w:pPr>
              <w:pStyle w:val="CH5TableText"/>
              <w:rPr>
                <w:b/>
              </w:rPr>
            </w:pPr>
            <w:r w:rsidRPr="00D33008">
              <w:rPr>
                <w:b/>
              </w:rPr>
              <w:t>Annualized Participant Costs (millions of 2011$)</w:t>
            </w:r>
          </w:p>
        </w:tc>
        <w:tc>
          <w:tcPr>
            <w:tcW w:w="541" w:type="pct"/>
            <w:vAlign w:val="center"/>
          </w:tcPr>
          <w:p w14:paraId="15C4DDAE" w14:textId="77777777" w:rsidR="00810FAC" w:rsidRPr="00D33008" w:rsidRDefault="00810FAC" w:rsidP="00810FAC">
            <w:pPr>
              <w:pStyle w:val="CH5TableText"/>
            </w:pPr>
            <w:r w:rsidRPr="00343774">
              <w:t>24.9</w:t>
            </w:r>
          </w:p>
        </w:tc>
        <w:tc>
          <w:tcPr>
            <w:tcW w:w="541" w:type="pct"/>
            <w:vAlign w:val="center"/>
          </w:tcPr>
          <w:p w14:paraId="3C790EB7" w14:textId="77777777" w:rsidR="00810FAC" w:rsidRPr="00D33008" w:rsidRDefault="00810FAC" w:rsidP="00810FAC">
            <w:pPr>
              <w:pStyle w:val="CH5TableText"/>
            </w:pPr>
            <w:r w:rsidRPr="00343774">
              <w:t>53.4</w:t>
            </w:r>
          </w:p>
        </w:tc>
        <w:tc>
          <w:tcPr>
            <w:tcW w:w="541" w:type="pct"/>
            <w:vAlign w:val="center"/>
          </w:tcPr>
          <w:p w14:paraId="0B36464B" w14:textId="77777777" w:rsidR="00810FAC" w:rsidRPr="00D33008" w:rsidRDefault="00810FAC" w:rsidP="00810FAC">
            <w:pPr>
              <w:pStyle w:val="CH5TableText"/>
            </w:pPr>
            <w:r w:rsidRPr="00343774">
              <w:t>90.7</w:t>
            </w:r>
          </w:p>
        </w:tc>
        <w:tc>
          <w:tcPr>
            <w:tcW w:w="541" w:type="pct"/>
            <w:vAlign w:val="center"/>
          </w:tcPr>
          <w:p w14:paraId="3C336D7C" w14:textId="77777777" w:rsidR="00810FAC" w:rsidRPr="00D33008" w:rsidRDefault="00810FAC" w:rsidP="00810FAC">
            <w:pPr>
              <w:pStyle w:val="CH5TableText"/>
            </w:pPr>
            <w:r w:rsidRPr="00343774">
              <w:t>123.0</w:t>
            </w:r>
          </w:p>
        </w:tc>
        <w:tc>
          <w:tcPr>
            <w:tcW w:w="541" w:type="pct"/>
            <w:vAlign w:val="center"/>
          </w:tcPr>
          <w:p w14:paraId="1BFBF767" w14:textId="77777777" w:rsidR="00810FAC" w:rsidRPr="00D33008" w:rsidRDefault="00810FAC" w:rsidP="00810FAC">
            <w:pPr>
              <w:pStyle w:val="CH5TableText"/>
            </w:pPr>
            <w:r w:rsidRPr="00343774">
              <w:t>155.3</w:t>
            </w:r>
          </w:p>
        </w:tc>
        <w:tc>
          <w:tcPr>
            <w:tcW w:w="541" w:type="pct"/>
            <w:vAlign w:val="center"/>
          </w:tcPr>
          <w:p w14:paraId="2C4EFD97" w14:textId="77777777" w:rsidR="00810FAC" w:rsidRPr="00D33008" w:rsidRDefault="00810FAC" w:rsidP="00810FAC">
            <w:pPr>
              <w:pStyle w:val="CH5TableText"/>
            </w:pPr>
            <w:r w:rsidRPr="00343774">
              <w:t>187.6</w:t>
            </w:r>
          </w:p>
        </w:tc>
        <w:tc>
          <w:tcPr>
            <w:tcW w:w="541" w:type="pct"/>
            <w:vAlign w:val="center"/>
          </w:tcPr>
          <w:p w14:paraId="6D635528" w14:textId="77777777" w:rsidR="00810FAC" w:rsidRPr="00343774" w:rsidRDefault="00810FAC" w:rsidP="00810FAC">
            <w:pPr>
              <w:pStyle w:val="CH5TableText"/>
            </w:pPr>
            <w:r>
              <w:t>215.3</w:t>
            </w:r>
          </w:p>
        </w:tc>
        <w:tc>
          <w:tcPr>
            <w:tcW w:w="541" w:type="pct"/>
            <w:vAlign w:val="center"/>
          </w:tcPr>
          <w:p w14:paraId="16C6CE6E" w14:textId="77777777" w:rsidR="00810FAC" w:rsidRPr="00343774" w:rsidRDefault="00810FAC" w:rsidP="00810FAC">
            <w:pPr>
              <w:pStyle w:val="CH5TableText"/>
            </w:pPr>
            <w:r>
              <w:t>238.2</w:t>
            </w:r>
          </w:p>
        </w:tc>
      </w:tr>
    </w:tbl>
    <w:p w14:paraId="22E276BE" w14:textId="77777777" w:rsidR="00810FAC" w:rsidRPr="00311E15" w:rsidRDefault="00810FAC" w:rsidP="00311E15"/>
    <w:p w14:paraId="64F21B6E" w14:textId="77777777" w:rsidR="00810FAC" w:rsidRPr="00D33008" w:rsidRDefault="00810FAC" w:rsidP="006E6A19">
      <w:pPr>
        <w:pStyle w:val="Heading3"/>
      </w:pPr>
      <w:bookmarkStart w:id="155" w:name="_Toc424721606"/>
      <w:r w:rsidRPr="00D33008">
        <w:lastRenderedPageBreak/>
        <w:t>Summary of General Formulas and Results by Step for South Carolina</w:t>
      </w:r>
      <w:bookmarkEnd w:id="155"/>
    </w:p>
    <w:p w14:paraId="371344F2" w14:textId="532AA086" w:rsidR="00810FAC" w:rsidRPr="00D33008" w:rsidRDefault="00810FAC" w:rsidP="00810FAC">
      <w:pPr>
        <w:pStyle w:val="CH5BodyText"/>
      </w:pPr>
      <w:r w:rsidRPr="00D33008">
        <w:t xml:space="preserve">Table </w:t>
      </w:r>
      <w:r>
        <w:t>31</w:t>
      </w:r>
      <w:r w:rsidRPr="00D33008">
        <w:t xml:space="preserve"> provide</w:t>
      </w:r>
      <w:r>
        <w:t xml:space="preserve">s </w:t>
      </w:r>
      <w:r w:rsidRPr="00D33008">
        <w:t>results for South Carolina for each step.</w:t>
      </w:r>
    </w:p>
    <w:p w14:paraId="7948C6A9" w14:textId="72715555" w:rsidR="00810FAC" w:rsidRPr="00D33008" w:rsidRDefault="00810FAC" w:rsidP="00311E15">
      <w:pPr>
        <w:pStyle w:val="CH5TableTitle"/>
      </w:pPr>
      <w:bookmarkStart w:id="156" w:name="_Toc424720281"/>
      <w:r w:rsidRPr="00D33008">
        <w:t>T</w:t>
      </w:r>
      <w:r>
        <w:t>able</w:t>
      </w:r>
      <w:r w:rsidRPr="00D33008">
        <w:t xml:space="preserve"> </w:t>
      </w:r>
      <w:r>
        <w:t xml:space="preserve">31. </w:t>
      </w:r>
      <w:r w:rsidRPr="00D33008">
        <w:t>Summary of Results by Step for South Carolina.</w:t>
      </w:r>
      <w:bookmarkEnd w:id="156"/>
    </w:p>
    <w:tbl>
      <w:tblPr>
        <w:tblStyle w:val="TableGrid"/>
        <w:tblW w:w="5000" w:type="pct"/>
        <w:jc w:val="center"/>
        <w:tblLook w:val="04A0" w:firstRow="1" w:lastRow="0" w:firstColumn="1" w:lastColumn="0" w:noHBand="0" w:noVBand="1"/>
      </w:tblPr>
      <w:tblGrid>
        <w:gridCol w:w="1405"/>
        <w:gridCol w:w="992"/>
        <w:gridCol w:w="993"/>
        <w:gridCol w:w="993"/>
        <w:gridCol w:w="993"/>
        <w:gridCol w:w="993"/>
        <w:gridCol w:w="993"/>
        <w:gridCol w:w="993"/>
        <w:gridCol w:w="995"/>
      </w:tblGrid>
      <w:tr w:rsidR="00810FAC" w:rsidRPr="00D33008" w14:paraId="1E727E2E" w14:textId="77777777" w:rsidTr="005753E4">
        <w:trPr>
          <w:tblHeader/>
          <w:jc w:val="center"/>
        </w:trPr>
        <w:tc>
          <w:tcPr>
            <w:tcW w:w="751" w:type="pct"/>
            <w:vMerge w:val="restart"/>
            <w:shd w:val="clear" w:color="auto" w:fill="D9D9D9" w:themeFill="background1" w:themeFillShade="D9"/>
            <w:vAlign w:val="center"/>
          </w:tcPr>
          <w:p w14:paraId="77FA3DEC" w14:textId="77777777" w:rsidR="00810FAC" w:rsidRPr="00D33008" w:rsidRDefault="00810FAC" w:rsidP="00810FAC">
            <w:pPr>
              <w:pStyle w:val="CH5TableText"/>
              <w:keepNext/>
            </w:pPr>
          </w:p>
        </w:tc>
        <w:tc>
          <w:tcPr>
            <w:tcW w:w="4249" w:type="pct"/>
            <w:gridSpan w:val="8"/>
            <w:shd w:val="clear" w:color="auto" w:fill="D9D9D9" w:themeFill="background1" w:themeFillShade="D9"/>
            <w:vAlign w:val="center"/>
          </w:tcPr>
          <w:p w14:paraId="562682BD" w14:textId="77777777" w:rsidR="00810FAC" w:rsidRPr="00D33008" w:rsidRDefault="00810FAC" w:rsidP="00810FAC">
            <w:pPr>
              <w:pStyle w:val="CH5TableText"/>
              <w:keepNext/>
              <w:rPr>
                <w:b/>
              </w:rPr>
            </w:pPr>
            <w:r w:rsidRPr="00D33008">
              <w:rPr>
                <w:b/>
              </w:rPr>
              <w:t>Year</w:t>
            </w:r>
          </w:p>
        </w:tc>
      </w:tr>
      <w:tr w:rsidR="00810FAC" w:rsidRPr="00D33008" w14:paraId="303CB347" w14:textId="77777777" w:rsidTr="005753E4">
        <w:trPr>
          <w:tblHeader/>
          <w:jc w:val="center"/>
        </w:trPr>
        <w:tc>
          <w:tcPr>
            <w:tcW w:w="751" w:type="pct"/>
            <w:vMerge/>
            <w:shd w:val="clear" w:color="auto" w:fill="D9D9D9" w:themeFill="background1" w:themeFillShade="D9"/>
            <w:vAlign w:val="center"/>
          </w:tcPr>
          <w:p w14:paraId="295F654E" w14:textId="77777777" w:rsidR="00810FAC" w:rsidRPr="00D33008" w:rsidRDefault="00810FAC" w:rsidP="00810FAC">
            <w:pPr>
              <w:pStyle w:val="CH5TableText"/>
              <w:keepNext/>
            </w:pPr>
          </w:p>
        </w:tc>
        <w:tc>
          <w:tcPr>
            <w:tcW w:w="531" w:type="pct"/>
            <w:shd w:val="clear" w:color="auto" w:fill="D9D9D9" w:themeFill="background1" w:themeFillShade="D9"/>
            <w:vAlign w:val="center"/>
          </w:tcPr>
          <w:p w14:paraId="4BBE3CD3" w14:textId="77777777" w:rsidR="00810FAC" w:rsidRPr="00D33008" w:rsidRDefault="00810FAC" w:rsidP="00810FAC">
            <w:pPr>
              <w:pStyle w:val="CH5TableText"/>
              <w:keepNext/>
              <w:rPr>
                <w:b/>
              </w:rPr>
            </w:pPr>
            <w:r w:rsidRPr="00D33008">
              <w:rPr>
                <w:b/>
              </w:rPr>
              <w:t>2020</w:t>
            </w:r>
          </w:p>
        </w:tc>
        <w:tc>
          <w:tcPr>
            <w:tcW w:w="531" w:type="pct"/>
            <w:shd w:val="clear" w:color="auto" w:fill="D9D9D9" w:themeFill="background1" w:themeFillShade="D9"/>
            <w:vAlign w:val="center"/>
          </w:tcPr>
          <w:p w14:paraId="5C303C2C" w14:textId="77777777" w:rsidR="00810FAC" w:rsidRPr="00D33008" w:rsidRDefault="00810FAC" w:rsidP="00810FAC">
            <w:pPr>
              <w:pStyle w:val="CH5TableText"/>
              <w:keepNext/>
              <w:rPr>
                <w:b/>
              </w:rPr>
            </w:pPr>
            <w:r w:rsidRPr="00D33008">
              <w:rPr>
                <w:b/>
              </w:rPr>
              <w:t>2021</w:t>
            </w:r>
          </w:p>
        </w:tc>
        <w:tc>
          <w:tcPr>
            <w:tcW w:w="531" w:type="pct"/>
            <w:shd w:val="clear" w:color="auto" w:fill="D9D9D9" w:themeFill="background1" w:themeFillShade="D9"/>
            <w:vAlign w:val="center"/>
          </w:tcPr>
          <w:p w14:paraId="418155CD" w14:textId="77777777" w:rsidR="00810FAC" w:rsidRPr="00D33008" w:rsidRDefault="00810FAC" w:rsidP="00810FAC">
            <w:pPr>
              <w:pStyle w:val="CH5TableText"/>
              <w:keepNext/>
              <w:rPr>
                <w:b/>
              </w:rPr>
            </w:pPr>
            <w:r w:rsidRPr="00D33008">
              <w:rPr>
                <w:b/>
              </w:rPr>
              <w:t>2022</w:t>
            </w:r>
          </w:p>
        </w:tc>
        <w:tc>
          <w:tcPr>
            <w:tcW w:w="531" w:type="pct"/>
            <w:shd w:val="clear" w:color="auto" w:fill="D9D9D9" w:themeFill="background1" w:themeFillShade="D9"/>
            <w:vAlign w:val="center"/>
          </w:tcPr>
          <w:p w14:paraId="19C56FF1" w14:textId="77777777" w:rsidR="00810FAC" w:rsidRPr="00D33008" w:rsidRDefault="00810FAC" w:rsidP="00810FAC">
            <w:pPr>
              <w:pStyle w:val="CH5TableText"/>
              <w:keepNext/>
              <w:rPr>
                <w:b/>
              </w:rPr>
            </w:pPr>
            <w:r w:rsidRPr="00D33008">
              <w:rPr>
                <w:b/>
              </w:rPr>
              <w:t>2023</w:t>
            </w:r>
          </w:p>
        </w:tc>
        <w:tc>
          <w:tcPr>
            <w:tcW w:w="531" w:type="pct"/>
            <w:shd w:val="clear" w:color="auto" w:fill="D9D9D9" w:themeFill="background1" w:themeFillShade="D9"/>
            <w:vAlign w:val="center"/>
          </w:tcPr>
          <w:p w14:paraId="46643B8E" w14:textId="77777777" w:rsidR="00810FAC" w:rsidRPr="00D33008" w:rsidRDefault="00810FAC" w:rsidP="00810FAC">
            <w:pPr>
              <w:pStyle w:val="CH5TableText"/>
              <w:keepNext/>
              <w:rPr>
                <w:b/>
              </w:rPr>
            </w:pPr>
            <w:r w:rsidRPr="00D33008">
              <w:rPr>
                <w:b/>
              </w:rPr>
              <w:t>2024</w:t>
            </w:r>
          </w:p>
        </w:tc>
        <w:tc>
          <w:tcPr>
            <w:tcW w:w="531" w:type="pct"/>
            <w:shd w:val="clear" w:color="auto" w:fill="D9D9D9" w:themeFill="background1" w:themeFillShade="D9"/>
            <w:vAlign w:val="center"/>
          </w:tcPr>
          <w:p w14:paraId="0E4D899C" w14:textId="77777777" w:rsidR="00810FAC" w:rsidRPr="00D33008" w:rsidRDefault="00810FAC" w:rsidP="00810FAC">
            <w:pPr>
              <w:pStyle w:val="CH5TableText"/>
              <w:keepNext/>
              <w:rPr>
                <w:b/>
              </w:rPr>
            </w:pPr>
            <w:r w:rsidRPr="00D33008">
              <w:rPr>
                <w:b/>
              </w:rPr>
              <w:t>2025</w:t>
            </w:r>
          </w:p>
        </w:tc>
        <w:tc>
          <w:tcPr>
            <w:tcW w:w="531" w:type="pct"/>
            <w:shd w:val="clear" w:color="auto" w:fill="D9D9D9" w:themeFill="background1" w:themeFillShade="D9"/>
            <w:vAlign w:val="center"/>
          </w:tcPr>
          <w:p w14:paraId="4FA4E30A" w14:textId="77777777" w:rsidR="00810FAC" w:rsidRPr="00D33008" w:rsidRDefault="00810FAC" w:rsidP="00810FAC">
            <w:pPr>
              <w:pStyle w:val="CH5TableText"/>
              <w:keepNext/>
              <w:rPr>
                <w:b/>
              </w:rPr>
            </w:pPr>
            <w:r>
              <w:rPr>
                <w:b/>
              </w:rPr>
              <w:t>2026</w:t>
            </w:r>
          </w:p>
        </w:tc>
        <w:tc>
          <w:tcPr>
            <w:tcW w:w="532" w:type="pct"/>
            <w:shd w:val="clear" w:color="auto" w:fill="D9D9D9" w:themeFill="background1" w:themeFillShade="D9"/>
            <w:vAlign w:val="center"/>
          </w:tcPr>
          <w:p w14:paraId="03A6C769" w14:textId="77777777" w:rsidR="00810FAC" w:rsidRPr="00D33008" w:rsidRDefault="00810FAC" w:rsidP="00810FAC">
            <w:pPr>
              <w:pStyle w:val="CH5TableText"/>
              <w:keepNext/>
              <w:rPr>
                <w:b/>
              </w:rPr>
            </w:pPr>
            <w:r>
              <w:rPr>
                <w:b/>
              </w:rPr>
              <w:t>2027</w:t>
            </w:r>
          </w:p>
        </w:tc>
      </w:tr>
      <w:tr w:rsidR="00810FAC" w:rsidRPr="00D33008" w14:paraId="4070B073" w14:textId="77777777" w:rsidTr="00810FAC">
        <w:trPr>
          <w:jc w:val="center"/>
        </w:trPr>
        <w:tc>
          <w:tcPr>
            <w:tcW w:w="751" w:type="pct"/>
            <w:vAlign w:val="center"/>
          </w:tcPr>
          <w:p w14:paraId="23B6841C" w14:textId="77777777" w:rsidR="00810FAC" w:rsidRPr="00D33008" w:rsidRDefault="00810FAC" w:rsidP="00810FAC">
            <w:pPr>
              <w:pStyle w:val="CH5TableText"/>
              <w:keepNext/>
              <w:rPr>
                <w:b/>
              </w:rPr>
            </w:pPr>
            <w:r w:rsidRPr="00D33008">
              <w:rPr>
                <w:b/>
              </w:rPr>
              <w:t>Total First-Year Costs (millions 2011$)</w:t>
            </w:r>
          </w:p>
        </w:tc>
        <w:tc>
          <w:tcPr>
            <w:tcW w:w="531" w:type="pct"/>
            <w:vAlign w:val="center"/>
          </w:tcPr>
          <w:p w14:paraId="2BF6ED6E" w14:textId="77777777" w:rsidR="00810FAC" w:rsidRPr="00D33008" w:rsidRDefault="00810FAC" w:rsidP="00810FAC">
            <w:pPr>
              <w:pStyle w:val="CH5TableText"/>
              <w:keepNext/>
            </w:pPr>
            <w:r>
              <w:t>423.4</w:t>
            </w:r>
          </w:p>
        </w:tc>
        <w:tc>
          <w:tcPr>
            <w:tcW w:w="531" w:type="pct"/>
            <w:vAlign w:val="center"/>
          </w:tcPr>
          <w:p w14:paraId="3AFF64D6" w14:textId="77777777" w:rsidR="00810FAC" w:rsidRPr="00D33008" w:rsidRDefault="00810FAC" w:rsidP="00810FAC">
            <w:pPr>
              <w:pStyle w:val="CH5TableText"/>
              <w:keepNext/>
            </w:pPr>
            <w:r>
              <w:t>486.6</w:t>
            </w:r>
          </w:p>
        </w:tc>
        <w:tc>
          <w:tcPr>
            <w:tcW w:w="531" w:type="pct"/>
            <w:vAlign w:val="center"/>
          </w:tcPr>
          <w:p w14:paraId="72CC3158" w14:textId="77777777" w:rsidR="00810FAC" w:rsidRPr="00D33008" w:rsidRDefault="00810FAC" w:rsidP="00810FAC">
            <w:pPr>
              <w:pStyle w:val="CH5TableText"/>
              <w:keepNext/>
            </w:pPr>
            <w:r>
              <w:t>634.5</w:t>
            </w:r>
          </w:p>
        </w:tc>
        <w:tc>
          <w:tcPr>
            <w:tcW w:w="531" w:type="pct"/>
            <w:vAlign w:val="center"/>
          </w:tcPr>
          <w:p w14:paraId="1E8DE160" w14:textId="77777777" w:rsidR="00810FAC" w:rsidRPr="00D33008" w:rsidRDefault="00810FAC" w:rsidP="00810FAC">
            <w:pPr>
              <w:pStyle w:val="CH5TableText"/>
              <w:keepNext/>
            </w:pPr>
            <w:r>
              <w:t>550.6</w:t>
            </w:r>
          </w:p>
        </w:tc>
        <w:tc>
          <w:tcPr>
            <w:tcW w:w="531" w:type="pct"/>
            <w:vAlign w:val="center"/>
          </w:tcPr>
          <w:p w14:paraId="440BE2A3" w14:textId="77777777" w:rsidR="00810FAC" w:rsidRPr="00D33008" w:rsidRDefault="00810FAC" w:rsidP="00810FAC">
            <w:pPr>
              <w:pStyle w:val="CH5TableText"/>
              <w:keepNext/>
            </w:pPr>
            <w:r>
              <w:t>550.1</w:t>
            </w:r>
          </w:p>
        </w:tc>
        <w:tc>
          <w:tcPr>
            <w:tcW w:w="531" w:type="pct"/>
            <w:vAlign w:val="center"/>
          </w:tcPr>
          <w:p w14:paraId="17025AFD" w14:textId="77777777" w:rsidR="00810FAC" w:rsidRPr="00D33008" w:rsidRDefault="00810FAC" w:rsidP="00810FAC">
            <w:pPr>
              <w:pStyle w:val="CH5TableText"/>
              <w:keepNext/>
            </w:pPr>
            <w:r>
              <w:t>549.6</w:t>
            </w:r>
          </w:p>
        </w:tc>
        <w:tc>
          <w:tcPr>
            <w:tcW w:w="531" w:type="pct"/>
            <w:vAlign w:val="center"/>
          </w:tcPr>
          <w:p w14:paraId="5069523C" w14:textId="77777777" w:rsidR="00810FAC" w:rsidRPr="00D33008" w:rsidRDefault="00810FAC" w:rsidP="00810FAC">
            <w:pPr>
              <w:pStyle w:val="CH5TableText"/>
              <w:keepNext/>
            </w:pPr>
            <w:r>
              <w:t>549.2</w:t>
            </w:r>
          </w:p>
        </w:tc>
        <w:tc>
          <w:tcPr>
            <w:tcW w:w="532" w:type="pct"/>
            <w:vAlign w:val="center"/>
          </w:tcPr>
          <w:p w14:paraId="738495B8" w14:textId="77777777" w:rsidR="00810FAC" w:rsidRPr="00D33008" w:rsidRDefault="00810FAC" w:rsidP="00810FAC">
            <w:pPr>
              <w:pStyle w:val="CH5TableText"/>
              <w:keepNext/>
            </w:pPr>
            <w:r>
              <w:t>549.2</w:t>
            </w:r>
          </w:p>
        </w:tc>
      </w:tr>
      <w:tr w:rsidR="00810FAC" w:rsidRPr="00D33008" w14:paraId="7C84F001" w14:textId="77777777" w:rsidTr="00810FAC">
        <w:trPr>
          <w:jc w:val="center"/>
        </w:trPr>
        <w:tc>
          <w:tcPr>
            <w:tcW w:w="751" w:type="pct"/>
            <w:vAlign w:val="center"/>
          </w:tcPr>
          <w:p w14:paraId="3E2E0850" w14:textId="77777777" w:rsidR="00810FAC" w:rsidRPr="00D33008" w:rsidRDefault="00810FAC" w:rsidP="00810FAC">
            <w:pPr>
              <w:pStyle w:val="CH5TableText"/>
              <w:keepNext/>
              <w:rPr>
                <w:b/>
              </w:rPr>
            </w:pPr>
            <w:r w:rsidRPr="00D33008">
              <w:rPr>
                <w:b/>
              </w:rPr>
              <w:t>Total LCSE (2011$/MWh)</w:t>
            </w:r>
          </w:p>
        </w:tc>
        <w:tc>
          <w:tcPr>
            <w:tcW w:w="531" w:type="pct"/>
            <w:vAlign w:val="center"/>
          </w:tcPr>
          <w:p w14:paraId="0701CB6B" w14:textId="77777777" w:rsidR="00810FAC" w:rsidRPr="00D33008" w:rsidRDefault="00810FAC" w:rsidP="00810FAC">
            <w:pPr>
              <w:pStyle w:val="CH5TableText"/>
              <w:keepNext/>
            </w:pPr>
            <w:r>
              <w:t>129.2</w:t>
            </w:r>
          </w:p>
        </w:tc>
        <w:tc>
          <w:tcPr>
            <w:tcW w:w="531" w:type="pct"/>
            <w:vAlign w:val="center"/>
          </w:tcPr>
          <w:p w14:paraId="6AE57FFD" w14:textId="77777777" w:rsidR="00810FAC" w:rsidRPr="00D33008" w:rsidRDefault="00810FAC" w:rsidP="00810FAC">
            <w:pPr>
              <w:pStyle w:val="CH5TableText"/>
              <w:keepNext/>
            </w:pPr>
            <w:r>
              <w:t>103.3</w:t>
            </w:r>
          </w:p>
        </w:tc>
        <w:tc>
          <w:tcPr>
            <w:tcW w:w="531" w:type="pct"/>
            <w:vAlign w:val="center"/>
          </w:tcPr>
          <w:p w14:paraId="016C0EFD" w14:textId="77777777" w:rsidR="00810FAC" w:rsidRPr="00D33008" w:rsidRDefault="00810FAC" w:rsidP="00810FAC">
            <w:pPr>
              <w:pStyle w:val="CH5TableText"/>
              <w:keepNext/>
            </w:pPr>
            <w:r>
              <w:t>103.3</w:t>
            </w:r>
          </w:p>
        </w:tc>
        <w:tc>
          <w:tcPr>
            <w:tcW w:w="531" w:type="pct"/>
            <w:vAlign w:val="center"/>
          </w:tcPr>
          <w:p w14:paraId="2987BFFA" w14:textId="77777777" w:rsidR="00810FAC" w:rsidRPr="00D33008" w:rsidRDefault="00810FAC" w:rsidP="00810FAC">
            <w:pPr>
              <w:pStyle w:val="CH5TableText"/>
              <w:keepNext/>
            </w:pPr>
            <w:r>
              <w:t>77.5</w:t>
            </w:r>
          </w:p>
        </w:tc>
        <w:tc>
          <w:tcPr>
            <w:tcW w:w="531" w:type="pct"/>
            <w:vAlign w:val="center"/>
          </w:tcPr>
          <w:p w14:paraId="57DC98E9" w14:textId="77777777" w:rsidR="00810FAC" w:rsidRPr="00D33008" w:rsidRDefault="00810FAC" w:rsidP="00810FAC">
            <w:pPr>
              <w:pStyle w:val="CH5TableText"/>
              <w:keepNext/>
            </w:pPr>
            <w:r>
              <w:t>77.5</w:t>
            </w:r>
          </w:p>
        </w:tc>
        <w:tc>
          <w:tcPr>
            <w:tcW w:w="531" w:type="pct"/>
            <w:vAlign w:val="center"/>
          </w:tcPr>
          <w:p w14:paraId="44E305BD" w14:textId="77777777" w:rsidR="00810FAC" w:rsidRPr="00D33008" w:rsidRDefault="00810FAC" w:rsidP="00810FAC">
            <w:pPr>
              <w:pStyle w:val="CH5TableText"/>
              <w:keepNext/>
            </w:pPr>
            <w:r>
              <w:t>77.5</w:t>
            </w:r>
          </w:p>
        </w:tc>
        <w:tc>
          <w:tcPr>
            <w:tcW w:w="531" w:type="pct"/>
            <w:vAlign w:val="center"/>
          </w:tcPr>
          <w:p w14:paraId="545FF2C9" w14:textId="77777777" w:rsidR="00810FAC" w:rsidRDefault="00810FAC" w:rsidP="00810FAC">
            <w:pPr>
              <w:pStyle w:val="CH5TableText"/>
              <w:keepNext/>
            </w:pPr>
            <w:r>
              <w:t>77.5</w:t>
            </w:r>
          </w:p>
        </w:tc>
        <w:tc>
          <w:tcPr>
            <w:tcW w:w="532" w:type="pct"/>
            <w:vAlign w:val="center"/>
          </w:tcPr>
          <w:p w14:paraId="7FF1DBA9" w14:textId="77777777" w:rsidR="00810FAC" w:rsidRDefault="00810FAC" w:rsidP="00810FAC">
            <w:pPr>
              <w:pStyle w:val="CH5TableText"/>
              <w:keepNext/>
            </w:pPr>
            <w:r>
              <w:t>77.5</w:t>
            </w:r>
          </w:p>
        </w:tc>
      </w:tr>
      <w:tr w:rsidR="00810FAC" w:rsidRPr="00D33008" w14:paraId="72E878BD" w14:textId="77777777" w:rsidTr="00810FAC">
        <w:trPr>
          <w:jc w:val="center"/>
        </w:trPr>
        <w:tc>
          <w:tcPr>
            <w:tcW w:w="751" w:type="pct"/>
          </w:tcPr>
          <w:p w14:paraId="12F86242" w14:textId="77777777" w:rsidR="00810FAC" w:rsidRPr="00D33008" w:rsidRDefault="00810FAC" w:rsidP="00810FAC">
            <w:pPr>
              <w:pStyle w:val="CH5TableText"/>
              <w:keepNext/>
              <w:rPr>
                <w:b/>
              </w:rPr>
            </w:pPr>
            <w:r w:rsidRPr="00D33008">
              <w:rPr>
                <w:b/>
              </w:rPr>
              <w:t>Annualized Total Costs</w:t>
            </w:r>
          </w:p>
          <w:p w14:paraId="5DDE363F" w14:textId="77777777" w:rsidR="00810FAC" w:rsidRPr="00D33008" w:rsidRDefault="00810FAC" w:rsidP="00810FAC">
            <w:pPr>
              <w:pStyle w:val="CH5TableText"/>
              <w:keepNext/>
              <w:rPr>
                <w:b/>
              </w:rPr>
            </w:pPr>
            <w:r w:rsidRPr="00D33008">
              <w:rPr>
                <w:b/>
              </w:rPr>
              <w:t>(millions 2011$)</w:t>
            </w:r>
          </w:p>
        </w:tc>
        <w:tc>
          <w:tcPr>
            <w:tcW w:w="531" w:type="pct"/>
            <w:vAlign w:val="center"/>
          </w:tcPr>
          <w:p w14:paraId="30D3F889" w14:textId="77777777" w:rsidR="00810FAC" w:rsidRPr="00D33008" w:rsidRDefault="00810FAC" w:rsidP="00810FAC">
            <w:pPr>
              <w:pStyle w:val="CH5TableText"/>
              <w:keepNext/>
            </w:pPr>
            <w:r>
              <w:t>49.7</w:t>
            </w:r>
          </w:p>
        </w:tc>
        <w:tc>
          <w:tcPr>
            <w:tcW w:w="531" w:type="pct"/>
            <w:vAlign w:val="center"/>
          </w:tcPr>
          <w:p w14:paraId="4EF27DF4" w14:textId="77777777" w:rsidR="00810FAC" w:rsidRPr="00D33008" w:rsidRDefault="00810FAC" w:rsidP="00810FAC">
            <w:pPr>
              <w:pStyle w:val="CH5TableText"/>
              <w:keepNext/>
            </w:pPr>
            <w:r>
              <w:t>106.9</w:t>
            </w:r>
          </w:p>
        </w:tc>
        <w:tc>
          <w:tcPr>
            <w:tcW w:w="531" w:type="pct"/>
            <w:vAlign w:val="center"/>
          </w:tcPr>
          <w:p w14:paraId="47D6DFD8" w14:textId="77777777" w:rsidR="00810FAC" w:rsidRPr="00D33008" w:rsidRDefault="00810FAC" w:rsidP="00810FAC">
            <w:pPr>
              <w:pStyle w:val="CH5TableText"/>
              <w:keepNext/>
            </w:pPr>
            <w:r>
              <w:t>181.4</w:t>
            </w:r>
          </w:p>
        </w:tc>
        <w:tc>
          <w:tcPr>
            <w:tcW w:w="531" w:type="pct"/>
            <w:vAlign w:val="center"/>
          </w:tcPr>
          <w:p w14:paraId="19563205" w14:textId="77777777" w:rsidR="00810FAC" w:rsidRPr="00D33008" w:rsidRDefault="00810FAC" w:rsidP="00810FAC">
            <w:pPr>
              <w:pStyle w:val="CH5TableText"/>
              <w:keepNext/>
            </w:pPr>
            <w:r>
              <w:t>246.0</w:t>
            </w:r>
          </w:p>
        </w:tc>
        <w:tc>
          <w:tcPr>
            <w:tcW w:w="531" w:type="pct"/>
            <w:vAlign w:val="center"/>
          </w:tcPr>
          <w:p w14:paraId="1AC9A769" w14:textId="77777777" w:rsidR="00810FAC" w:rsidRPr="00D33008" w:rsidRDefault="00810FAC" w:rsidP="00810FAC">
            <w:pPr>
              <w:pStyle w:val="CH5TableText"/>
              <w:keepNext/>
            </w:pPr>
            <w:r>
              <w:t>310.6</w:t>
            </w:r>
          </w:p>
        </w:tc>
        <w:tc>
          <w:tcPr>
            <w:tcW w:w="531" w:type="pct"/>
            <w:vAlign w:val="center"/>
          </w:tcPr>
          <w:p w14:paraId="45282675" w14:textId="77777777" w:rsidR="00810FAC" w:rsidRPr="00D33008" w:rsidRDefault="00810FAC" w:rsidP="00810FAC">
            <w:pPr>
              <w:pStyle w:val="CH5TableText"/>
              <w:keepNext/>
            </w:pPr>
            <w:r>
              <w:t>375.1</w:t>
            </w:r>
          </w:p>
        </w:tc>
        <w:tc>
          <w:tcPr>
            <w:tcW w:w="531" w:type="pct"/>
            <w:vAlign w:val="center"/>
          </w:tcPr>
          <w:p w14:paraId="30584300" w14:textId="77777777" w:rsidR="00810FAC" w:rsidRPr="00D33008" w:rsidDel="008C2266" w:rsidRDefault="00810FAC" w:rsidP="00810FAC">
            <w:pPr>
              <w:pStyle w:val="CH5TableText"/>
              <w:keepNext/>
            </w:pPr>
            <w:r>
              <w:t>430.7</w:t>
            </w:r>
          </w:p>
        </w:tc>
        <w:tc>
          <w:tcPr>
            <w:tcW w:w="532" w:type="pct"/>
            <w:vAlign w:val="center"/>
          </w:tcPr>
          <w:p w14:paraId="450F3170" w14:textId="77777777" w:rsidR="00810FAC" w:rsidRPr="00D33008" w:rsidDel="008C2266" w:rsidRDefault="00810FAC" w:rsidP="00810FAC">
            <w:pPr>
              <w:pStyle w:val="CH5TableText"/>
              <w:keepNext/>
            </w:pPr>
            <w:r>
              <w:t>476.4</w:t>
            </w:r>
          </w:p>
        </w:tc>
      </w:tr>
    </w:tbl>
    <w:p w14:paraId="5B6CEFCE" w14:textId="77777777" w:rsidR="00810FAC" w:rsidRPr="00311E15" w:rsidRDefault="00810FAC" w:rsidP="00311E15"/>
    <w:p w14:paraId="7D38A97E" w14:textId="77777777" w:rsidR="00810FAC" w:rsidRPr="00D33008" w:rsidRDefault="00810FAC" w:rsidP="006E6A19">
      <w:pPr>
        <w:pStyle w:val="Heading2"/>
      </w:pPr>
      <w:bookmarkStart w:id="157" w:name="_Toc424675679"/>
      <w:bookmarkStart w:id="158" w:name="_Toc424721607"/>
      <w:r w:rsidRPr="00D33008">
        <w:t>Results</w:t>
      </w:r>
      <w:bookmarkEnd w:id="157"/>
      <w:bookmarkEnd w:id="158"/>
    </w:p>
    <w:p w14:paraId="01CB4A0D" w14:textId="77777777" w:rsidR="00810FAC" w:rsidRPr="00D33008" w:rsidRDefault="00810FAC" w:rsidP="006E6A19">
      <w:pPr>
        <w:pStyle w:val="Heading3"/>
      </w:pPr>
      <w:bookmarkStart w:id="159" w:name="_Toc424721608"/>
      <w:r w:rsidRPr="00D33008">
        <w:t>Summary of National Results</w:t>
      </w:r>
      <w:bookmarkEnd w:id="159"/>
    </w:p>
    <w:p w14:paraId="6EE49130" w14:textId="7D1CE055" w:rsidR="00810FAC" w:rsidRPr="00D33008" w:rsidRDefault="00810FAC" w:rsidP="00810FAC">
      <w:pPr>
        <w:pStyle w:val="CH5BodyText"/>
      </w:pPr>
      <w:r w:rsidRPr="00D33008">
        <w:t xml:space="preserve">Tables </w:t>
      </w:r>
      <w:r>
        <w:t>32</w:t>
      </w:r>
      <w:r w:rsidRPr="00D33008">
        <w:t xml:space="preserve"> and 3</w:t>
      </w:r>
      <w:r>
        <w:t>3</w:t>
      </w:r>
      <w:r w:rsidRPr="00D33008">
        <w:t xml:space="preserve"> </w:t>
      </w:r>
      <w:r>
        <w:t>provide</w:t>
      </w:r>
      <w:r w:rsidRPr="00D33008">
        <w:t xml:space="preserve"> the national first-year and annualized EE costs for </w:t>
      </w:r>
      <w:r>
        <w:t xml:space="preserve">the best practices EE scenario </w:t>
      </w:r>
      <w:r w:rsidRPr="00D33008">
        <w:t>for 2020, 2025, and 2030. Table 3</w:t>
      </w:r>
      <w:r>
        <w:t>4</w:t>
      </w:r>
      <w:r w:rsidRPr="00D33008">
        <w:t xml:space="preserve"> </w:t>
      </w:r>
      <w:r>
        <w:t xml:space="preserve">provides the estimated </w:t>
      </w:r>
      <w:r w:rsidRPr="00D33008">
        <w:t>national LCSE for the same years. Each of the three tables includes values for program, participant, and total costs.</w:t>
      </w:r>
    </w:p>
    <w:p w14:paraId="51A2CEAF" w14:textId="00E38E33" w:rsidR="00810FAC" w:rsidRPr="00CC1C1C" w:rsidRDefault="00810FAC" w:rsidP="00311E15">
      <w:pPr>
        <w:pStyle w:val="CH5TableTitle"/>
        <w:rPr>
          <w:rFonts w:cs="Times New Roman"/>
          <w:szCs w:val="24"/>
        </w:rPr>
      </w:pPr>
      <w:bookmarkStart w:id="160" w:name="_Toc424720282"/>
      <w:r w:rsidRPr="00D33008">
        <w:t>T</w:t>
      </w:r>
      <w:r>
        <w:t>able</w:t>
      </w:r>
      <w:r w:rsidRPr="00D33008">
        <w:t xml:space="preserve"> </w:t>
      </w:r>
      <w:r>
        <w:t xml:space="preserve">32. </w:t>
      </w:r>
      <w:r w:rsidRPr="00D33008">
        <w:t xml:space="preserve">First-Year </w:t>
      </w:r>
      <w:r>
        <w:t>Demand-Side EE</w:t>
      </w:r>
      <w:r w:rsidRPr="00D33008">
        <w:t xml:space="preserve"> Costs (billions 2011$)</w:t>
      </w:r>
      <w:r>
        <w:br/>
      </w:r>
      <w:r w:rsidRPr="00CC1C1C">
        <w:rPr>
          <w:rFonts w:cs="Times New Roman"/>
          <w:szCs w:val="24"/>
        </w:rPr>
        <w:t>(Continental U.S.)</w:t>
      </w:r>
      <w:bookmarkEnd w:id="160"/>
    </w:p>
    <w:tbl>
      <w:tblPr>
        <w:tblStyle w:val="TableGrid"/>
        <w:tblW w:w="5000" w:type="pct"/>
        <w:tblLook w:val="04A0" w:firstRow="1" w:lastRow="0" w:firstColumn="1" w:lastColumn="0" w:noHBand="0" w:noVBand="1"/>
      </w:tblPr>
      <w:tblGrid>
        <w:gridCol w:w="1791"/>
        <w:gridCol w:w="2519"/>
        <w:gridCol w:w="2521"/>
        <w:gridCol w:w="2519"/>
      </w:tblGrid>
      <w:tr w:rsidR="00810FAC" w:rsidRPr="00D33008" w14:paraId="4BB05FF0" w14:textId="77777777" w:rsidTr="00810FAC">
        <w:trPr>
          <w:tblHeader/>
        </w:trPr>
        <w:tc>
          <w:tcPr>
            <w:tcW w:w="958" w:type="pct"/>
            <w:vMerge w:val="restart"/>
            <w:shd w:val="clear" w:color="auto" w:fill="D9D9D9" w:themeFill="background1" w:themeFillShade="D9"/>
          </w:tcPr>
          <w:p w14:paraId="6DDFDDDF" w14:textId="77777777" w:rsidR="00810FAC" w:rsidRPr="00D33008" w:rsidRDefault="00810FAC" w:rsidP="00CF0D49">
            <w:pPr>
              <w:pStyle w:val="CH5TableText"/>
              <w:keepNext/>
            </w:pPr>
          </w:p>
        </w:tc>
        <w:tc>
          <w:tcPr>
            <w:tcW w:w="4042" w:type="pct"/>
            <w:gridSpan w:val="3"/>
            <w:shd w:val="clear" w:color="auto" w:fill="D9D9D9" w:themeFill="background1" w:themeFillShade="D9"/>
          </w:tcPr>
          <w:p w14:paraId="404FAD19" w14:textId="77777777" w:rsidR="00810FAC" w:rsidRPr="00D33008" w:rsidRDefault="00810FAC" w:rsidP="00CF0D49">
            <w:pPr>
              <w:pStyle w:val="CH5TableText"/>
              <w:keepNext/>
              <w:rPr>
                <w:b/>
              </w:rPr>
            </w:pPr>
            <w:r w:rsidRPr="00D33008">
              <w:rPr>
                <w:b/>
              </w:rPr>
              <w:t>Year</w:t>
            </w:r>
          </w:p>
        </w:tc>
      </w:tr>
      <w:tr w:rsidR="00810FAC" w:rsidRPr="00D33008" w14:paraId="7DE802F1" w14:textId="77777777" w:rsidTr="00810FAC">
        <w:trPr>
          <w:tblHeader/>
        </w:trPr>
        <w:tc>
          <w:tcPr>
            <w:tcW w:w="958" w:type="pct"/>
            <w:vMerge/>
            <w:shd w:val="clear" w:color="auto" w:fill="D9D9D9" w:themeFill="background1" w:themeFillShade="D9"/>
          </w:tcPr>
          <w:p w14:paraId="485D5B72" w14:textId="77777777" w:rsidR="00810FAC" w:rsidRPr="00D33008" w:rsidRDefault="00810FAC" w:rsidP="00810FAC">
            <w:pPr>
              <w:pStyle w:val="CH5TableText"/>
            </w:pPr>
          </w:p>
        </w:tc>
        <w:tc>
          <w:tcPr>
            <w:tcW w:w="1347" w:type="pct"/>
            <w:shd w:val="clear" w:color="auto" w:fill="D9D9D9" w:themeFill="background1" w:themeFillShade="D9"/>
          </w:tcPr>
          <w:p w14:paraId="4089F569" w14:textId="77777777" w:rsidR="00810FAC" w:rsidRPr="00D33008" w:rsidRDefault="00810FAC" w:rsidP="00810FAC">
            <w:pPr>
              <w:pStyle w:val="CH5TableText"/>
              <w:rPr>
                <w:b/>
              </w:rPr>
            </w:pPr>
            <w:r w:rsidRPr="00D33008">
              <w:rPr>
                <w:b/>
              </w:rPr>
              <w:t>2020</w:t>
            </w:r>
          </w:p>
        </w:tc>
        <w:tc>
          <w:tcPr>
            <w:tcW w:w="1348" w:type="pct"/>
            <w:shd w:val="clear" w:color="auto" w:fill="D9D9D9" w:themeFill="background1" w:themeFillShade="D9"/>
          </w:tcPr>
          <w:p w14:paraId="0798A48D" w14:textId="77777777" w:rsidR="00810FAC" w:rsidRPr="00D33008" w:rsidRDefault="00810FAC" w:rsidP="00810FAC">
            <w:pPr>
              <w:pStyle w:val="CH5TableText"/>
              <w:rPr>
                <w:b/>
              </w:rPr>
            </w:pPr>
            <w:r w:rsidRPr="00D33008">
              <w:rPr>
                <w:b/>
              </w:rPr>
              <w:t>2025</w:t>
            </w:r>
          </w:p>
        </w:tc>
        <w:tc>
          <w:tcPr>
            <w:tcW w:w="1348" w:type="pct"/>
            <w:shd w:val="clear" w:color="auto" w:fill="D9D9D9" w:themeFill="background1" w:themeFillShade="D9"/>
          </w:tcPr>
          <w:p w14:paraId="05ED5BD1" w14:textId="77777777" w:rsidR="00810FAC" w:rsidRPr="00D33008" w:rsidRDefault="00810FAC" w:rsidP="00810FAC">
            <w:pPr>
              <w:pStyle w:val="CH5TableText"/>
              <w:rPr>
                <w:b/>
              </w:rPr>
            </w:pPr>
            <w:r w:rsidRPr="00D33008">
              <w:rPr>
                <w:b/>
              </w:rPr>
              <w:t>2030</w:t>
            </w:r>
          </w:p>
        </w:tc>
      </w:tr>
      <w:tr w:rsidR="00810FAC" w:rsidRPr="00D33008" w14:paraId="7F6DE75C" w14:textId="77777777" w:rsidTr="00810FAC">
        <w:tc>
          <w:tcPr>
            <w:tcW w:w="958" w:type="pct"/>
          </w:tcPr>
          <w:p w14:paraId="48C5C339" w14:textId="77777777" w:rsidR="00810FAC" w:rsidRPr="00D33008" w:rsidRDefault="00810FAC" w:rsidP="00810FAC">
            <w:pPr>
              <w:pStyle w:val="CH5TableText"/>
              <w:rPr>
                <w:b/>
              </w:rPr>
            </w:pPr>
            <w:r w:rsidRPr="00D33008">
              <w:rPr>
                <w:b/>
              </w:rPr>
              <w:t>Program</w:t>
            </w:r>
          </w:p>
        </w:tc>
        <w:tc>
          <w:tcPr>
            <w:tcW w:w="1347" w:type="pct"/>
          </w:tcPr>
          <w:p w14:paraId="65DF3C4B" w14:textId="77777777" w:rsidR="00810FAC" w:rsidRPr="00D33008" w:rsidRDefault="00810FAC" w:rsidP="00810FAC">
            <w:pPr>
              <w:pStyle w:val="CH5TableText"/>
            </w:pPr>
            <w:r>
              <w:t>9.1</w:t>
            </w:r>
          </w:p>
        </w:tc>
        <w:tc>
          <w:tcPr>
            <w:tcW w:w="1348" w:type="pct"/>
          </w:tcPr>
          <w:p w14:paraId="4018FA3D" w14:textId="77777777" w:rsidR="00810FAC" w:rsidRPr="00D33008" w:rsidRDefault="00810FAC" w:rsidP="00810FAC">
            <w:pPr>
              <w:pStyle w:val="CH5TableText"/>
            </w:pPr>
            <w:r>
              <w:t>12.7</w:t>
            </w:r>
          </w:p>
        </w:tc>
        <w:tc>
          <w:tcPr>
            <w:tcW w:w="1348" w:type="pct"/>
          </w:tcPr>
          <w:p w14:paraId="1944CCB4" w14:textId="77777777" w:rsidR="00810FAC" w:rsidRPr="00D33008" w:rsidRDefault="00810FAC" w:rsidP="00810FAC">
            <w:pPr>
              <w:pStyle w:val="CH5TableText"/>
            </w:pPr>
            <w:r>
              <w:t>12.7</w:t>
            </w:r>
          </w:p>
        </w:tc>
      </w:tr>
      <w:tr w:rsidR="00810FAC" w:rsidRPr="00D33008" w14:paraId="7846A1A6" w14:textId="77777777" w:rsidTr="00810FAC">
        <w:tc>
          <w:tcPr>
            <w:tcW w:w="958" w:type="pct"/>
          </w:tcPr>
          <w:p w14:paraId="3651A9B0" w14:textId="77777777" w:rsidR="00810FAC" w:rsidRPr="00D33008" w:rsidRDefault="00810FAC" w:rsidP="00810FAC">
            <w:pPr>
              <w:pStyle w:val="CH5TableText"/>
              <w:rPr>
                <w:b/>
              </w:rPr>
            </w:pPr>
            <w:r w:rsidRPr="00D33008">
              <w:rPr>
                <w:b/>
              </w:rPr>
              <w:t>Participant</w:t>
            </w:r>
          </w:p>
        </w:tc>
        <w:tc>
          <w:tcPr>
            <w:tcW w:w="1347" w:type="pct"/>
          </w:tcPr>
          <w:p w14:paraId="75E782C0" w14:textId="77777777" w:rsidR="00810FAC" w:rsidRPr="00D33008" w:rsidRDefault="00810FAC" w:rsidP="00810FAC">
            <w:pPr>
              <w:pStyle w:val="CH5TableText"/>
            </w:pPr>
            <w:r>
              <w:t>9.1</w:t>
            </w:r>
          </w:p>
        </w:tc>
        <w:tc>
          <w:tcPr>
            <w:tcW w:w="1348" w:type="pct"/>
          </w:tcPr>
          <w:p w14:paraId="4D8FFA55" w14:textId="77777777" w:rsidR="00810FAC" w:rsidRPr="00D33008" w:rsidRDefault="00810FAC" w:rsidP="00810FAC">
            <w:pPr>
              <w:pStyle w:val="CH5TableText"/>
            </w:pPr>
            <w:r>
              <w:t>12.7</w:t>
            </w:r>
          </w:p>
        </w:tc>
        <w:tc>
          <w:tcPr>
            <w:tcW w:w="1348" w:type="pct"/>
          </w:tcPr>
          <w:p w14:paraId="27836F04" w14:textId="77777777" w:rsidR="00810FAC" w:rsidRPr="00D33008" w:rsidRDefault="00810FAC" w:rsidP="00810FAC">
            <w:pPr>
              <w:pStyle w:val="CH5TableText"/>
            </w:pPr>
            <w:r>
              <w:t>12.7</w:t>
            </w:r>
          </w:p>
        </w:tc>
      </w:tr>
      <w:tr w:rsidR="00810FAC" w:rsidRPr="00D33008" w14:paraId="3A711F64" w14:textId="77777777" w:rsidTr="00810FAC">
        <w:tc>
          <w:tcPr>
            <w:tcW w:w="958" w:type="pct"/>
            <w:shd w:val="clear" w:color="auto" w:fill="F2F2F2" w:themeFill="background1" w:themeFillShade="F2"/>
          </w:tcPr>
          <w:p w14:paraId="48B45C28" w14:textId="77777777" w:rsidR="00810FAC" w:rsidRPr="00D33008" w:rsidRDefault="00810FAC" w:rsidP="00810FAC">
            <w:pPr>
              <w:pStyle w:val="CH5TableText"/>
              <w:rPr>
                <w:b/>
              </w:rPr>
            </w:pPr>
            <w:r w:rsidRPr="00D33008">
              <w:rPr>
                <w:b/>
              </w:rPr>
              <w:t>Total</w:t>
            </w:r>
          </w:p>
        </w:tc>
        <w:tc>
          <w:tcPr>
            <w:tcW w:w="1347" w:type="pct"/>
            <w:shd w:val="clear" w:color="auto" w:fill="F2F2F2" w:themeFill="background1" w:themeFillShade="F2"/>
          </w:tcPr>
          <w:p w14:paraId="4A40584D" w14:textId="77777777" w:rsidR="00810FAC" w:rsidRPr="00D33008" w:rsidRDefault="00810FAC" w:rsidP="00810FAC">
            <w:pPr>
              <w:pStyle w:val="CH5TableText"/>
            </w:pPr>
            <w:r>
              <w:t>18.1</w:t>
            </w:r>
          </w:p>
        </w:tc>
        <w:tc>
          <w:tcPr>
            <w:tcW w:w="1348" w:type="pct"/>
            <w:shd w:val="clear" w:color="auto" w:fill="F2F2F2" w:themeFill="background1" w:themeFillShade="F2"/>
          </w:tcPr>
          <w:p w14:paraId="21885FC9" w14:textId="77777777" w:rsidR="00810FAC" w:rsidRPr="00D33008" w:rsidRDefault="00810FAC" w:rsidP="00810FAC">
            <w:pPr>
              <w:pStyle w:val="CH5TableText"/>
            </w:pPr>
            <w:r>
              <w:t>25.4</w:t>
            </w:r>
          </w:p>
        </w:tc>
        <w:tc>
          <w:tcPr>
            <w:tcW w:w="1348" w:type="pct"/>
            <w:shd w:val="clear" w:color="auto" w:fill="F2F2F2" w:themeFill="background1" w:themeFillShade="F2"/>
          </w:tcPr>
          <w:p w14:paraId="07CF6562" w14:textId="77777777" w:rsidR="00810FAC" w:rsidRPr="00D33008" w:rsidRDefault="00810FAC" w:rsidP="00810FAC">
            <w:pPr>
              <w:pStyle w:val="CH5TableText"/>
            </w:pPr>
            <w:r>
              <w:t>25.3</w:t>
            </w:r>
          </w:p>
        </w:tc>
      </w:tr>
    </w:tbl>
    <w:p w14:paraId="20CE2169" w14:textId="77777777" w:rsidR="00810FAC" w:rsidRPr="00311E15" w:rsidRDefault="00810FAC" w:rsidP="00311E15"/>
    <w:p w14:paraId="1EE48A12" w14:textId="34D2F8CB" w:rsidR="00810FAC" w:rsidRPr="008B4876" w:rsidRDefault="00810FAC" w:rsidP="00311E15">
      <w:pPr>
        <w:pStyle w:val="CH5TableTitle"/>
      </w:pPr>
      <w:bookmarkStart w:id="161" w:name="_Toc424720283"/>
      <w:r w:rsidRPr="00D33008">
        <w:t>T</w:t>
      </w:r>
      <w:r>
        <w:t>able</w:t>
      </w:r>
      <w:r w:rsidRPr="00D33008">
        <w:t xml:space="preserve"> 3</w:t>
      </w:r>
      <w:r>
        <w:t xml:space="preserve">3. </w:t>
      </w:r>
      <w:r w:rsidRPr="00D33008">
        <w:t xml:space="preserve">Annualized </w:t>
      </w:r>
      <w:r>
        <w:t>Demand-Side EE</w:t>
      </w:r>
      <w:r w:rsidRPr="00D33008">
        <w:t xml:space="preserve"> Costs (3% discount rate, billions 2011$)</w:t>
      </w:r>
      <w:r>
        <w:t xml:space="preserve"> </w:t>
      </w:r>
      <w:r w:rsidRPr="008B4876">
        <w:t>(Continental U.S.)</w:t>
      </w:r>
      <w:bookmarkEnd w:id="161"/>
    </w:p>
    <w:tbl>
      <w:tblPr>
        <w:tblStyle w:val="TableGrid"/>
        <w:tblW w:w="9355" w:type="dxa"/>
        <w:tblLayout w:type="fixed"/>
        <w:tblLook w:val="04A0" w:firstRow="1" w:lastRow="0" w:firstColumn="1" w:lastColumn="0" w:noHBand="0" w:noVBand="1"/>
      </w:tblPr>
      <w:tblGrid>
        <w:gridCol w:w="1795"/>
        <w:gridCol w:w="2520"/>
        <w:gridCol w:w="2520"/>
        <w:gridCol w:w="2520"/>
      </w:tblGrid>
      <w:tr w:rsidR="00810FAC" w:rsidRPr="00D33008" w14:paraId="70B3B264" w14:textId="77777777" w:rsidTr="00810FAC">
        <w:trPr>
          <w:tblHeader/>
        </w:trPr>
        <w:tc>
          <w:tcPr>
            <w:tcW w:w="1795" w:type="dxa"/>
            <w:vMerge w:val="restart"/>
            <w:shd w:val="clear" w:color="auto" w:fill="D9D9D9" w:themeFill="background1" w:themeFillShade="D9"/>
          </w:tcPr>
          <w:p w14:paraId="40918E9C" w14:textId="77777777" w:rsidR="00810FAC" w:rsidRPr="00D33008" w:rsidRDefault="00810FAC" w:rsidP="00810FAC">
            <w:pPr>
              <w:pStyle w:val="CH5TableText"/>
            </w:pPr>
          </w:p>
        </w:tc>
        <w:tc>
          <w:tcPr>
            <w:tcW w:w="7560" w:type="dxa"/>
            <w:gridSpan w:val="3"/>
            <w:shd w:val="clear" w:color="auto" w:fill="D9D9D9" w:themeFill="background1" w:themeFillShade="D9"/>
          </w:tcPr>
          <w:p w14:paraId="2B18C7BF" w14:textId="77777777" w:rsidR="00810FAC" w:rsidRPr="00D33008" w:rsidRDefault="00810FAC" w:rsidP="00810FAC">
            <w:pPr>
              <w:pStyle w:val="CH5TableText"/>
              <w:rPr>
                <w:b/>
              </w:rPr>
            </w:pPr>
            <w:r w:rsidRPr="00D33008">
              <w:rPr>
                <w:b/>
              </w:rPr>
              <w:t>Year</w:t>
            </w:r>
          </w:p>
        </w:tc>
      </w:tr>
      <w:tr w:rsidR="00810FAC" w:rsidRPr="00D33008" w14:paraId="023D02F9" w14:textId="77777777" w:rsidTr="00810FAC">
        <w:trPr>
          <w:tblHeader/>
        </w:trPr>
        <w:tc>
          <w:tcPr>
            <w:tcW w:w="1795" w:type="dxa"/>
            <w:vMerge/>
            <w:shd w:val="clear" w:color="auto" w:fill="D9D9D9" w:themeFill="background1" w:themeFillShade="D9"/>
          </w:tcPr>
          <w:p w14:paraId="38CF9586" w14:textId="77777777" w:rsidR="00810FAC" w:rsidRPr="00D33008" w:rsidRDefault="00810FAC" w:rsidP="00810FAC">
            <w:pPr>
              <w:pStyle w:val="CH5TableText"/>
            </w:pPr>
          </w:p>
        </w:tc>
        <w:tc>
          <w:tcPr>
            <w:tcW w:w="2520" w:type="dxa"/>
            <w:shd w:val="clear" w:color="auto" w:fill="D9D9D9" w:themeFill="background1" w:themeFillShade="D9"/>
          </w:tcPr>
          <w:p w14:paraId="0EA7FE70" w14:textId="77777777" w:rsidR="00810FAC" w:rsidRPr="00D33008" w:rsidRDefault="00810FAC" w:rsidP="00810FAC">
            <w:pPr>
              <w:pStyle w:val="CH5TableText"/>
              <w:rPr>
                <w:b/>
              </w:rPr>
            </w:pPr>
            <w:r w:rsidRPr="00D33008">
              <w:rPr>
                <w:b/>
              </w:rPr>
              <w:t>2020</w:t>
            </w:r>
          </w:p>
        </w:tc>
        <w:tc>
          <w:tcPr>
            <w:tcW w:w="2520" w:type="dxa"/>
            <w:shd w:val="clear" w:color="auto" w:fill="D9D9D9" w:themeFill="background1" w:themeFillShade="D9"/>
          </w:tcPr>
          <w:p w14:paraId="5DD8D079" w14:textId="77777777" w:rsidR="00810FAC" w:rsidRPr="00D33008" w:rsidRDefault="00810FAC" w:rsidP="00810FAC">
            <w:pPr>
              <w:pStyle w:val="CH5TableText"/>
              <w:rPr>
                <w:b/>
              </w:rPr>
            </w:pPr>
            <w:r w:rsidRPr="00D33008">
              <w:rPr>
                <w:b/>
              </w:rPr>
              <w:t>2025</w:t>
            </w:r>
          </w:p>
        </w:tc>
        <w:tc>
          <w:tcPr>
            <w:tcW w:w="2520" w:type="dxa"/>
            <w:shd w:val="clear" w:color="auto" w:fill="D9D9D9" w:themeFill="background1" w:themeFillShade="D9"/>
          </w:tcPr>
          <w:p w14:paraId="61C29E3A" w14:textId="77777777" w:rsidR="00810FAC" w:rsidRPr="00D33008" w:rsidRDefault="00810FAC" w:rsidP="00810FAC">
            <w:pPr>
              <w:pStyle w:val="CH5TableText"/>
              <w:rPr>
                <w:b/>
              </w:rPr>
            </w:pPr>
            <w:r w:rsidRPr="00D33008">
              <w:rPr>
                <w:b/>
              </w:rPr>
              <w:t>2030</w:t>
            </w:r>
          </w:p>
        </w:tc>
      </w:tr>
      <w:tr w:rsidR="00810FAC" w:rsidRPr="00D33008" w14:paraId="6D0C7B7C" w14:textId="77777777" w:rsidTr="00810FAC">
        <w:tc>
          <w:tcPr>
            <w:tcW w:w="1795" w:type="dxa"/>
          </w:tcPr>
          <w:p w14:paraId="79A7AD25" w14:textId="77777777" w:rsidR="00810FAC" w:rsidRPr="00D33008" w:rsidRDefault="00810FAC" w:rsidP="00810FAC">
            <w:pPr>
              <w:pStyle w:val="CH5TableText"/>
              <w:rPr>
                <w:b/>
              </w:rPr>
            </w:pPr>
            <w:r w:rsidRPr="00D33008">
              <w:rPr>
                <w:b/>
              </w:rPr>
              <w:t>Program</w:t>
            </w:r>
          </w:p>
        </w:tc>
        <w:tc>
          <w:tcPr>
            <w:tcW w:w="2520" w:type="dxa"/>
            <w:vAlign w:val="center"/>
          </w:tcPr>
          <w:p w14:paraId="30AA6878" w14:textId="77777777" w:rsidR="00810FAC" w:rsidRPr="00D33008" w:rsidRDefault="00810FAC" w:rsidP="00810FAC">
            <w:pPr>
              <w:pStyle w:val="CH5TableText"/>
            </w:pPr>
            <w:r>
              <w:t>1.1</w:t>
            </w:r>
          </w:p>
        </w:tc>
        <w:tc>
          <w:tcPr>
            <w:tcW w:w="2520" w:type="dxa"/>
            <w:vAlign w:val="center"/>
          </w:tcPr>
          <w:p w14:paraId="14769019" w14:textId="77777777" w:rsidR="00810FAC" w:rsidRPr="00D33008" w:rsidRDefault="00810FAC" w:rsidP="00810FAC">
            <w:pPr>
              <w:pStyle w:val="CH5TableText"/>
            </w:pPr>
            <w:r>
              <w:t>8.4</w:t>
            </w:r>
          </w:p>
        </w:tc>
        <w:tc>
          <w:tcPr>
            <w:tcW w:w="2520" w:type="dxa"/>
            <w:vAlign w:val="center"/>
          </w:tcPr>
          <w:p w14:paraId="2382D405" w14:textId="77777777" w:rsidR="00810FAC" w:rsidRPr="00D33008" w:rsidRDefault="00810FAC" w:rsidP="00810FAC">
            <w:pPr>
              <w:pStyle w:val="CH5TableText"/>
            </w:pPr>
            <w:r>
              <w:t>13.2</w:t>
            </w:r>
          </w:p>
        </w:tc>
      </w:tr>
      <w:tr w:rsidR="00810FAC" w:rsidRPr="00D33008" w14:paraId="7672BC9A" w14:textId="77777777" w:rsidTr="00810FAC">
        <w:tc>
          <w:tcPr>
            <w:tcW w:w="1795" w:type="dxa"/>
          </w:tcPr>
          <w:p w14:paraId="12EA42AE" w14:textId="77777777" w:rsidR="00810FAC" w:rsidRPr="00D33008" w:rsidRDefault="00810FAC" w:rsidP="00810FAC">
            <w:pPr>
              <w:pStyle w:val="CH5TableText"/>
              <w:rPr>
                <w:b/>
              </w:rPr>
            </w:pPr>
            <w:r w:rsidRPr="00D33008">
              <w:rPr>
                <w:b/>
              </w:rPr>
              <w:t>Participant</w:t>
            </w:r>
          </w:p>
        </w:tc>
        <w:tc>
          <w:tcPr>
            <w:tcW w:w="2520" w:type="dxa"/>
            <w:vAlign w:val="center"/>
          </w:tcPr>
          <w:p w14:paraId="400CBFCA" w14:textId="77777777" w:rsidR="00810FAC" w:rsidRPr="00D33008" w:rsidRDefault="00810FAC" w:rsidP="00810FAC">
            <w:pPr>
              <w:pStyle w:val="CH5TableText"/>
            </w:pPr>
            <w:r>
              <w:t>1.1</w:t>
            </w:r>
          </w:p>
        </w:tc>
        <w:tc>
          <w:tcPr>
            <w:tcW w:w="2520" w:type="dxa"/>
            <w:vAlign w:val="center"/>
          </w:tcPr>
          <w:p w14:paraId="44267329" w14:textId="77777777" w:rsidR="00810FAC" w:rsidRPr="00D33008" w:rsidRDefault="00810FAC" w:rsidP="00810FAC">
            <w:pPr>
              <w:pStyle w:val="CH5TableText"/>
            </w:pPr>
            <w:r>
              <w:t>8</w:t>
            </w:r>
            <w:r w:rsidRPr="00D33008">
              <w:t>.4</w:t>
            </w:r>
          </w:p>
        </w:tc>
        <w:tc>
          <w:tcPr>
            <w:tcW w:w="2520" w:type="dxa"/>
            <w:vAlign w:val="center"/>
          </w:tcPr>
          <w:p w14:paraId="121CD060" w14:textId="77777777" w:rsidR="00810FAC" w:rsidRPr="00D33008" w:rsidRDefault="00810FAC" w:rsidP="00810FAC">
            <w:pPr>
              <w:pStyle w:val="CH5TableText"/>
            </w:pPr>
            <w:r>
              <w:t>13.2</w:t>
            </w:r>
          </w:p>
        </w:tc>
      </w:tr>
      <w:tr w:rsidR="00810FAC" w:rsidRPr="00D33008" w14:paraId="24C5FDBE" w14:textId="77777777" w:rsidTr="00810FAC">
        <w:tc>
          <w:tcPr>
            <w:tcW w:w="1795" w:type="dxa"/>
            <w:shd w:val="clear" w:color="auto" w:fill="F2F2F2" w:themeFill="background1" w:themeFillShade="F2"/>
          </w:tcPr>
          <w:p w14:paraId="2ABA55F6" w14:textId="77777777" w:rsidR="00810FAC" w:rsidRPr="00D33008" w:rsidRDefault="00810FAC" w:rsidP="00810FAC">
            <w:pPr>
              <w:pStyle w:val="CH5TableText"/>
              <w:rPr>
                <w:b/>
              </w:rPr>
            </w:pPr>
            <w:r w:rsidRPr="00D33008">
              <w:rPr>
                <w:b/>
              </w:rPr>
              <w:lastRenderedPageBreak/>
              <w:t>Total</w:t>
            </w:r>
          </w:p>
        </w:tc>
        <w:tc>
          <w:tcPr>
            <w:tcW w:w="2520" w:type="dxa"/>
            <w:shd w:val="clear" w:color="auto" w:fill="F2F2F2" w:themeFill="background1" w:themeFillShade="F2"/>
            <w:vAlign w:val="center"/>
          </w:tcPr>
          <w:p w14:paraId="49807524" w14:textId="77777777" w:rsidR="00810FAC" w:rsidRPr="00D33008" w:rsidRDefault="00810FAC" w:rsidP="00810FAC">
            <w:pPr>
              <w:pStyle w:val="CH5TableText"/>
            </w:pPr>
            <w:r>
              <w:t>2.1</w:t>
            </w:r>
          </w:p>
        </w:tc>
        <w:tc>
          <w:tcPr>
            <w:tcW w:w="2520" w:type="dxa"/>
            <w:shd w:val="clear" w:color="auto" w:fill="F2F2F2" w:themeFill="background1" w:themeFillShade="F2"/>
            <w:vAlign w:val="center"/>
          </w:tcPr>
          <w:p w14:paraId="601AB773" w14:textId="77777777" w:rsidR="00810FAC" w:rsidRPr="00D33008" w:rsidRDefault="00810FAC" w:rsidP="00810FAC">
            <w:pPr>
              <w:pStyle w:val="CH5TableText"/>
            </w:pPr>
            <w:r>
              <w:t>16.7</w:t>
            </w:r>
          </w:p>
        </w:tc>
        <w:tc>
          <w:tcPr>
            <w:tcW w:w="2520" w:type="dxa"/>
            <w:shd w:val="clear" w:color="auto" w:fill="F2F2F2" w:themeFill="background1" w:themeFillShade="F2"/>
            <w:vAlign w:val="center"/>
          </w:tcPr>
          <w:p w14:paraId="7BFC9AA7" w14:textId="77777777" w:rsidR="00810FAC" w:rsidRPr="00D33008" w:rsidRDefault="00810FAC" w:rsidP="00810FAC">
            <w:pPr>
              <w:pStyle w:val="CH5TableText"/>
            </w:pPr>
            <w:r>
              <w:t>26.3</w:t>
            </w:r>
          </w:p>
        </w:tc>
      </w:tr>
    </w:tbl>
    <w:p w14:paraId="5AA42C47" w14:textId="77777777" w:rsidR="00810FAC" w:rsidRPr="00311E15" w:rsidRDefault="00810FAC" w:rsidP="00311E15"/>
    <w:p w14:paraId="674379DB" w14:textId="1C9F5B6A" w:rsidR="00810FAC" w:rsidRPr="00D33008" w:rsidRDefault="00810FAC" w:rsidP="00311E15">
      <w:pPr>
        <w:pStyle w:val="CH5TableTitle"/>
      </w:pPr>
      <w:bookmarkStart w:id="162" w:name="_Toc424720284"/>
      <w:r w:rsidRPr="00D33008">
        <w:t>T</w:t>
      </w:r>
      <w:r>
        <w:t>able</w:t>
      </w:r>
      <w:r w:rsidRPr="00D33008">
        <w:t xml:space="preserve"> 3</w:t>
      </w:r>
      <w:r>
        <w:t xml:space="preserve">4. </w:t>
      </w:r>
      <w:r w:rsidRPr="00D33008">
        <w:t>Levelized Cost of Saved Energy (3% discount rate, 2011$/MWh)</w:t>
      </w:r>
      <w:r>
        <w:br/>
      </w:r>
      <w:r w:rsidRPr="00D33008">
        <w:t>(Continental U.S.)</w:t>
      </w:r>
      <w:bookmarkEnd w:id="162"/>
    </w:p>
    <w:tbl>
      <w:tblPr>
        <w:tblStyle w:val="TableGrid"/>
        <w:tblW w:w="5000" w:type="pct"/>
        <w:tblLook w:val="04A0" w:firstRow="1" w:lastRow="0" w:firstColumn="1" w:lastColumn="0" w:noHBand="0" w:noVBand="1"/>
      </w:tblPr>
      <w:tblGrid>
        <w:gridCol w:w="1875"/>
        <w:gridCol w:w="2491"/>
        <w:gridCol w:w="2491"/>
        <w:gridCol w:w="2493"/>
      </w:tblGrid>
      <w:tr w:rsidR="00810FAC" w:rsidRPr="00D33008" w14:paraId="73F01C5F" w14:textId="77777777" w:rsidTr="00810FAC">
        <w:trPr>
          <w:tblHeader/>
        </w:trPr>
        <w:tc>
          <w:tcPr>
            <w:tcW w:w="1003" w:type="pct"/>
            <w:vMerge w:val="restart"/>
            <w:shd w:val="clear" w:color="auto" w:fill="D9D9D9" w:themeFill="background1" w:themeFillShade="D9"/>
            <w:vAlign w:val="center"/>
          </w:tcPr>
          <w:p w14:paraId="22A6AD23" w14:textId="77777777" w:rsidR="00810FAC" w:rsidRPr="00D33008" w:rsidRDefault="00810FAC" w:rsidP="00810FAC">
            <w:pPr>
              <w:pStyle w:val="CH5TableText"/>
            </w:pPr>
          </w:p>
        </w:tc>
        <w:tc>
          <w:tcPr>
            <w:tcW w:w="3997" w:type="pct"/>
            <w:gridSpan w:val="3"/>
            <w:shd w:val="clear" w:color="auto" w:fill="D9D9D9" w:themeFill="background1" w:themeFillShade="D9"/>
            <w:vAlign w:val="center"/>
          </w:tcPr>
          <w:p w14:paraId="6F4CE4BD" w14:textId="77777777" w:rsidR="00810FAC" w:rsidRPr="00D33008" w:rsidRDefault="00810FAC" w:rsidP="00810FAC">
            <w:pPr>
              <w:pStyle w:val="CH5TableText"/>
              <w:rPr>
                <w:b/>
              </w:rPr>
            </w:pPr>
            <w:r w:rsidRPr="00D33008">
              <w:rPr>
                <w:b/>
              </w:rPr>
              <w:t>Year</w:t>
            </w:r>
          </w:p>
        </w:tc>
      </w:tr>
      <w:tr w:rsidR="00810FAC" w:rsidRPr="00D33008" w14:paraId="0870CC47" w14:textId="77777777" w:rsidTr="00810FAC">
        <w:trPr>
          <w:tblHeader/>
        </w:trPr>
        <w:tc>
          <w:tcPr>
            <w:tcW w:w="1003" w:type="pct"/>
            <w:vMerge/>
            <w:shd w:val="clear" w:color="auto" w:fill="D9D9D9" w:themeFill="background1" w:themeFillShade="D9"/>
            <w:vAlign w:val="center"/>
          </w:tcPr>
          <w:p w14:paraId="5D7D5023" w14:textId="77777777" w:rsidR="00810FAC" w:rsidRPr="00D33008" w:rsidRDefault="00810FAC" w:rsidP="00810FAC">
            <w:pPr>
              <w:pStyle w:val="CH5TableText"/>
            </w:pPr>
          </w:p>
        </w:tc>
        <w:tc>
          <w:tcPr>
            <w:tcW w:w="1332" w:type="pct"/>
            <w:shd w:val="clear" w:color="auto" w:fill="D9D9D9" w:themeFill="background1" w:themeFillShade="D9"/>
            <w:vAlign w:val="center"/>
          </w:tcPr>
          <w:p w14:paraId="2B7830A6" w14:textId="77777777" w:rsidR="00810FAC" w:rsidRPr="00D33008" w:rsidRDefault="00810FAC" w:rsidP="00810FAC">
            <w:pPr>
              <w:pStyle w:val="CH5TableText"/>
              <w:rPr>
                <w:b/>
              </w:rPr>
            </w:pPr>
            <w:r w:rsidRPr="00D33008">
              <w:rPr>
                <w:b/>
              </w:rPr>
              <w:t>2020</w:t>
            </w:r>
          </w:p>
        </w:tc>
        <w:tc>
          <w:tcPr>
            <w:tcW w:w="1332" w:type="pct"/>
            <w:shd w:val="clear" w:color="auto" w:fill="D9D9D9" w:themeFill="background1" w:themeFillShade="D9"/>
            <w:vAlign w:val="center"/>
          </w:tcPr>
          <w:p w14:paraId="3CEF134B" w14:textId="77777777" w:rsidR="00810FAC" w:rsidRPr="00D33008" w:rsidRDefault="00810FAC" w:rsidP="00810FAC">
            <w:pPr>
              <w:pStyle w:val="CH5TableText"/>
              <w:rPr>
                <w:b/>
              </w:rPr>
            </w:pPr>
            <w:r w:rsidRPr="00D33008">
              <w:rPr>
                <w:b/>
              </w:rPr>
              <w:t>2025</w:t>
            </w:r>
          </w:p>
        </w:tc>
        <w:tc>
          <w:tcPr>
            <w:tcW w:w="1333" w:type="pct"/>
            <w:shd w:val="clear" w:color="auto" w:fill="D9D9D9" w:themeFill="background1" w:themeFillShade="D9"/>
            <w:vAlign w:val="center"/>
          </w:tcPr>
          <w:p w14:paraId="3AC3E68F" w14:textId="77777777" w:rsidR="00810FAC" w:rsidRPr="00D33008" w:rsidRDefault="00810FAC" w:rsidP="00810FAC">
            <w:pPr>
              <w:pStyle w:val="CH5TableText"/>
              <w:rPr>
                <w:b/>
              </w:rPr>
            </w:pPr>
            <w:r w:rsidRPr="00D33008">
              <w:rPr>
                <w:b/>
              </w:rPr>
              <w:t>2030</w:t>
            </w:r>
          </w:p>
        </w:tc>
      </w:tr>
      <w:tr w:rsidR="00810FAC" w:rsidRPr="00D33008" w14:paraId="39631EE6" w14:textId="77777777" w:rsidTr="00810FAC">
        <w:tc>
          <w:tcPr>
            <w:tcW w:w="1003" w:type="pct"/>
            <w:vAlign w:val="center"/>
          </w:tcPr>
          <w:p w14:paraId="6A59687A" w14:textId="77777777" w:rsidR="00810FAC" w:rsidRPr="00D33008" w:rsidRDefault="00810FAC" w:rsidP="00810FAC">
            <w:pPr>
              <w:pStyle w:val="CH5TableText"/>
              <w:rPr>
                <w:b/>
              </w:rPr>
            </w:pPr>
            <w:r w:rsidRPr="00D33008">
              <w:rPr>
                <w:b/>
              </w:rPr>
              <w:t>Program</w:t>
            </w:r>
          </w:p>
        </w:tc>
        <w:tc>
          <w:tcPr>
            <w:tcW w:w="1332" w:type="pct"/>
            <w:vAlign w:val="center"/>
          </w:tcPr>
          <w:p w14:paraId="030A025D" w14:textId="77777777" w:rsidR="00810FAC" w:rsidRPr="00D33008" w:rsidRDefault="00810FAC" w:rsidP="00810FAC">
            <w:pPr>
              <w:pStyle w:val="CH5TableText"/>
            </w:pPr>
            <w:r w:rsidRPr="00D33008">
              <w:t>4</w:t>
            </w:r>
            <w:r>
              <w:t>6.0</w:t>
            </w:r>
          </w:p>
        </w:tc>
        <w:tc>
          <w:tcPr>
            <w:tcW w:w="1332" w:type="pct"/>
            <w:vAlign w:val="center"/>
          </w:tcPr>
          <w:p w14:paraId="32096ECC" w14:textId="77777777" w:rsidR="00810FAC" w:rsidRPr="00D33008" w:rsidRDefault="00810FAC" w:rsidP="00810FAC">
            <w:pPr>
              <w:pStyle w:val="CH5TableText"/>
            </w:pPr>
            <w:r w:rsidRPr="00D33008">
              <w:t>4</w:t>
            </w:r>
            <w:r>
              <w:t>3.1</w:t>
            </w:r>
          </w:p>
        </w:tc>
        <w:tc>
          <w:tcPr>
            <w:tcW w:w="1333" w:type="pct"/>
            <w:vAlign w:val="center"/>
          </w:tcPr>
          <w:p w14:paraId="2EEC46C1" w14:textId="77777777" w:rsidR="00810FAC" w:rsidRPr="00D33008" w:rsidRDefault="00810FAC" w:rsidP="00810FAC">
            <w:pPr>
              <w:pStyle w:val="CH5TableText"/>
            </w:pPr>
            <w:r w:rsidRPr="00D33008">
              <w:t>4</w:t>
            </w:r>
            <w:r>
              <w:t>0.3</w:t>
            </w:r>
          </w:p>
        </w:tc>
      </w:tr>
      <w:tr w:rsidR="00810FAC" w:rsidRPr="00D33008" w14:paraId="23F2CD30" w14:textId="77777777" w:rsidTr="00810FAC">
        <w:tc>
          <w:tcPr>
            <w:tcW w:w="1003" w:type="pct"/>
            <w:vAlign w:val="center"/>
          </w:tcPr>
          <w:p w14:paraId="2AA52DA8" w14:textId="77777777" w:rsidR="00810FAC" w:rsidRPr="00D33008" w:rsidRDefault="00810FAC" w:rsidP="00810FAC">
            <w:pPr>
              <w:pStyle w:val="CH5TableText"/>
              <w:rPr>
                <w:b/>
              </w:rPr>
            </w:pPr>
            <w:r w:rsidRPr="00D33008">
              <w:rPr>
                <w:b/>
              </w:rPr>
              <w:t>Participant</w:t>
            </w:r>
          </w:p>
        </w:tc>
        <w:tc>
          <w:tcPr>
            <w:tcW w:w="1332" w:type="pct"/>
            <w:vAlign w:val="center"/>
          </w:tcPr>
          <w:p w14:paraId="1DD5402E" w14:textId="77777777" w:rsidR="00810FAC" w:rsidRPr="00D33008" w:rsidRDefault="00810FAC" w:rsidP="00810FAC">
            <w:pPr>
              <w:pStyle w:val="CH5TableText"/>
            </w:pPr>
            <w:r w:rsidRPr="00D33008">
              <w:t>4</w:t>
            </w:r>
            <w:r>
              <w:t>6.0</w:t>
            </w:r>
          </w:p>
        </w:tc>
        <w:tc>
          <w:tcPr>
            <w:tcW w:w="1332" w:type="pct"/>
            <w:vAlign w:val="center"/>
          </w:tcPr>
          <w:p w14:paraId="190BD664" w14:textId="77777777" w:rsidR="00810FAC" w:rsidRPr="00D33008" w:rsidRDefault="00810FAC" w:rsidP="00810FAC">
            <w:pPr>
              <w:pStyle w:val="CH5TableText"/>
            </w:pPr>
            <w:r w:rsidRPr="00D33008">
              <w:t>4</w:t>
            </w:r>
            <w:r>
              <w:t>3.1</w:t>
            </w:r>
          </w:p>
        </w:tc>
        <w:tc>
          <w:tcPr>
            <w:tcW w:w="1333" w:type="pct"/>
            <w:vAlign w:val="center"/>
          </w:tcPr>
          <w:p w14:paraId="762C7E36" w14:textId="77777777" w:rsidR="00810FAC" w:rsidRPr="00D33008" w:rsidRDefault="00810FAC" w:rsidP="00810FAC">
            <w:pPr>
              <w:pStyle w:val="CH5TableText"/>
            </w:pPr>
            <w:r w:rsidRPr="00D33008">
              <w:t>4</w:t>
            </w:r>
            <w:r>
              <w:t>0.3</w:t>
            </w:r>
          </w:p>
        </w:tc>
      </w:tr>
      <w:tr w:rsidR="00810FAC" w:rsidRPr="00D33008" w14:paraId="54C85A8F" w14:textId="77777777" w:rsidTr="00810FAC">
        <w:tc>
          <w:tcPr>
            <w:tcW w:w="1003" w:type="pct"/>
            <w:shd w:val="clear" w:color="auto" w:fill="F2F2F2" w:themeFill="background1" w:themeFillShade="F2"/>
            <w:vAlign w:val="center"/>
          </w:tcPr>
          <w:p w14:paraId="34B66FBF" w14:textId="77777777" w:rsidR="00810FAC" w:rsidRPr="00D33008" w:rsidRDefault="00810FAC" w:rsidP="00810FAC">
            <w:pPr>
              <w:pStyle w:val="CH5TableText"/>
              <w:rPr>
                <w:b/>
              </w:rPr>
            </w:pPr>
            <w:r w:rsidRPr="00D33008">
              <w:rPr>
                <w:b/>
              </w:rPr>
              <w:t>Total</w:t>
            </w:r>
          </w:p>
        </w:tc>
        <w:tc>
          <w:tcPr>
            <w:tcW w:w="1332" w:type="pct"/>
            <w:shd w:val="clear" w:color="auto" w:fill="F2F2F2" w:themeFill="background1" w:themeFillShade="F2"/>
            <w:vAlign w:val="center"/>
          </w:tcPr>
          <w:p w14:paraId="55E9CCE6" w14:textId="77777777" w:rsidR="00810FAC" w:rsidRPr="00D33008" w:rsidRDefault="00810FAC" w:rsidP="00810FAC">
            <w:pPr>
              <w:pStyle w:val="CH5TableText"/>
            </w:pPr>
            <w:r>
              <w:t>92.0</w:t>
            </w:r>
          </w:p>
        </w:tc>
        <w:tc>
          <w:tcPr>
            <w:tcW w:w="1332" w:type="pct"/>
            <w:shd w:val="clear" w:color="auto" w:fill="F2F2F2" w:themeFill="background1" w:themeFillShade="F2"/>
            <w:vAlign w:val="center"/>
          </w:tcPr>
          <w:p w14:paraId="05667D95" w14:textId="77777777" w:rsidR="00810FAC" w:rsidRPr="00D33008" w:rsidRDefault="00810FAC" w:rsidP="00810FAC">
            <w:pPr>
              <w:pStyle w:val="CH5TableText"/>
            </w:pPr>
            <w:r>
              <w:t>86.3</w:t>
            </w:r>
          </w:p>
        </w:tc>
        <w:tc>
          <w:tcPr>
            <w:tcW w:w="1333" w:type="pct"/>
            <w:shd w:val="clear" w:color="auto" w:fill="F2F2F2" w:themeFill="background1" w:themeFillShade="F2"/>
            <w:vAlign w:val="center"/>
          </w:tcPr>
          <w:p w14:paraId="47EC716E" w14:textId="77777777" w:rsidR="00810FAC" w:rsidRPr="00D33008" w:rsidRDefault="00810FAC" w:rsidP="00810FAC">
            <w:pPr>
              <w:pStyle w:val="CH5TableText"/>
            </w:pPr>
            <w:r>
              <w:t>80.5</w:t>
            </w:r>
          </w:p>
        </w:tc>
      </w:tr>
    </w:tbl>
    <w:p w14:paraId="2546F25F" w14:textId="77777777" w:rsidR="00810FAC" w:rsidRDefault="00810FAC" w:rsidP="00311E15"/>
    <w:p w14:paraId="2DCCF8DC" w14:textId="77777777" w:rsidR="005753E4" w:rsidRPr="00311E15" w:rsidRDefault="005753E4" w:rsidP="00311E15"/>
    <w:p w14:paraId="2B73DB4D" w14:textId="2882C46B" w:rsidR="00810FAC" w:rsidRPr="00D33008" w:rsidRDefault="00810FAC" w:rsidP="00810FAC">
      <w:pPr>
        <w:pStyle w:val="CH5BodyText"/>
      </w:pPr>
      <w:r>
        <w:t>F</w:t>
      </w:r>
      <w:r w:rsidRPr="000E58D2">
        <w:t xml:space="preserve">ull </w:t>
      </w:r>
      <w:r>
        <w:t xml:space="preserve">calculations and </w:t>
      </w:r>
      <w:r w:rsidRPr="000E58D2">
        <w:t xml:space="preserve">results are presented for all states </w:t>
      </w:r>
      <w:r>
        <w:t>for all years in the spreadsheet file included as Appendix 3</w:t>
      </w:r>
      <w:r w:rsidRPr="0052046D">
        <w:t>.</w:t>
      </w:r>
      <w:r>
        <w:t xml:space="preserve"> The file includes results for </w:t>
      </w:r>
      <w:r w:rsidRPr="00D33008">
        <w:t>LCSE (total, program and participant</w:t>
      </w:r>
      <w:r>
        <w:t>, discounted at 3% and 7%</w:t>
      </w:r>
      <w:r w:rsidRPr="00D33008">
        <w:t>), first-year costs (total, program and participant), and annualized costs (total, program and participant</w:t>
      </w:r>
      <w:r>
        <w:t>, discounted at 3% and 7%</w:t>
      </w:r>
      <w:r w:rsidRPr="00D33008">
        <w:t>).</w:t>
      </w:r>
    </w:p>
    <w:p w14:paraId="16B0E879" w14:textId="77777777" w:rsidR="00810FAC" w:rsidRPr="00D33008" w:rsidRDefault="00810FAC" w:rsidP="006E6A19">
      <w:pPr>
        <w:pStyle w:val="Heading3"/>
      </w:pPr>
      <w:bookmarkStart w:id="163" w:name="_Toc424721609"/>
      <w:r w:rsidRPr="00D33008">
        <w:t>Results in Context</w:t>
      </w:r>
      <w:bookmarkEnd w:id="163"/>
    </w:p>
    <w:p w14:paraId="1BD33915" w14:textId="77777777" w:rsidR="00810FAC" w:rsidRPr="00D33008" w:rsidRDefault="00810FAC" w:rsidP="00810FAC">
      <w:pPr>
        <w:pStyle w:val="CH5BodyText"/>
      </w:pPr>
      <w:r w:rsidRPr="00D33008">
        <w:t xml:space="preserve">To provide context for the pace of increase in </w:t>
      </w:r>
      <w:r>
        <w:t xml:space="preserve">EE </w:t>
      </w:r>
      <w:r w:rsidRPr="00D33008">
        <w:t>program spending levels represented by</w:t>
      </w:r>
      <w:r>
        <w:t xml:space="preserve"> the demand-side EE plan scenario</w:t>
      </w:r>
      <w:r w:rsidRPr="00D33008">
        <w:t>, we consider the compound annual growth rate (CAGR) of the recent rapid increase in historic investment (2006 to 2011) and the CAGR from 201</w:t>
      </w:r>
      <w:r>
        <w:t>3 (the most recent historic value)</w:t>
      </w:r>
      <w:r w:rsidRPr="00D33008">
        <w:t xml:space="preserve"> through 2020, 2025</w:t>
      </w:r>
      <w:r>
        <w:t>, and 2030</w:t>
      </w:r>
      <w:r w:rsidRPr="00D33008">
        <w:t xml:space="preserve"> represented by program costs</w:t>
      </w:r>
      <w:r>
        <w:t xml:space="preserve"> of the plan scenario</w:t>
      </w:r>
      <w:r w:rsidRPr="00D33008">
        <w:t xml:space="preserve">. Historic data is from Table 2 and </w:t>
      </w:r>
      <w:r>
        <w:t xml:space="preserve">EE plan scenario </w:t>
      </w:r>
      <w:r w:rsidRPr="00D33008">
        <w:t xml:space="preserve">data is from Table </w:t>
      </w:r>
      <w:r>
        <w:t>32</w:t>
      </w:r>
      <w:r w:rsidRPr="00D33008">
        <w:t>. Table 3</w:t>
      </w:r>
      <w:r>
        <w:t>5</w:t>
      </w:r>
      <w:r w:rsidRPr="00D33008">
        <w:t xml:space="preserve"> provides a summary of the results. The CAGRs represented by </w:t>
      </w:r>
      <w:r>
        <w:t xml:space="preserve">the EE plan scenario </w:t>
      </w:r>
      <w:r w:rsidRPr="00D33008">
        <w:t>through</w:t>
      </w:r>
      <w:r>
        <w:t xml:space="preserve"> </w:t>
      </w:r>
      <w:r w:rsidRPr="00D33008">
        <w:t>2020, 2025</w:t>
      </w:r>
      <w:r>
        <w:t>, and 2030</w:t>
      </w:r>
      <w:r w:rsidRPr="00D33008">
        <w:t xml:space="preserve"> vary from </w:t>
      </w:r>
      <w:r>
        <w:t>4</w:t>
      </w:r>
      <w:r w:rsidRPr="00D33008">
        <w:t xml:space="preserve">% to </w:t>
      </w:r>
      <w:r>
        <w:t>6</w:t>
      </w:r>
      <w:r w:rsidRPr="00D33008">
        <w:t xml:space="preserve">%. The historic growth rate reflecting the rapid recent growth in EE program spending is 30%, roughly </w:t>
      </w:r>
      <w:r>
        <w:t xml:space="preserve">six </w:t>
      </w:r>
      <w:r w:rsidRPr="00D33008">
        <w:t xml:space="preserve">times the </w:t>
      </w:r>
      <w:r>
        <w:t xml:space="preserve">EE plan scenario </w:t>
      </w:r>
      <w:r w:rsidRPr="00D33008">
        <w:t>values.</w:t>
      </w:r>
      <w:r>
        <w:t xml:space="preserve"> The pace of increase in EE program spending represented by the demand-side EE plan scenario is modest and much lower than recently achieved performance.</w:t>
      </w:r>
    </w:p>
    <w:p w14:paraId="1141AD47" w14:textId="3BB602F8" w:rsidR="00810FAC" w:rsidRPr="00D33008" w:rsidRDefault="00810FAC" w:rsidP="00311E15">
      <w:pPr>
        <w:pStyle w:val="CH5TableTitle"/>
      </w:pPr>
      <w:bookmarkStart w:id="164" w:name="_Toc424720285"/>
      <w:r w:rsidRPr="00D33008">
        <w:t>T</w:t>
      </w:r>
      <w:r>
        <w:t>able</w:t>
      </w:r>
      <w:r w:rsidRPr="00D33008">
        <w:t xml:space="preserve"> 3</w:t>
      </w:r>
      <w:r>
        <w:t xml:space="preserve">5. </w:t>
      </w:r>
      <w:r w:rsidRPr="00D33008">
        <w:t xml:space="preserve">Annual Growth Rates of </w:t>
      </w:r>
      <w:r>
        <w:t xml:space="preserve">Demand-Side EE </w:t>
      </w:r>
      <w:r w:rsidRPr="00D33008">
        <w:t>Program Spending</w:t>
      </w:r>
      <w:r>
        <w:t xml:space="preserve"> – Historic and Demand-Side EE Plan Scenario</w:t>
      </w:r>
      <w:bookmarkEnd w:id="164"/>
    </w:p>
    <w:tbl>
      <w:tblPr>
        <w:tblStyle w:val="TableGrid"/>
        <w:tblW w:w="5000" w:type="pct"/>
        <w:tblLook w:val="04A0" w:firstRow="1" w:lastRow="0" w:firstColumn="1" w:lastColumn="0" w:noHBand="0" w:noVBand="1"/>
      </w:tblPr>
      <w:tblGrid>
        <w:gridCol w:w="4675"/>
        <w:gridCol w:w="4675"/>
      </w:tblGrid>
      <w:tr w:rsidR="00810FAC" w:rsidRPr="00D33008" w14:paraId="23BD6E7B" w14:textId="77777777" w:rsidTr="005753E4">
        <w:trPr>
          <w:tblHeader/>
        </w:trPr>
        <w:tc>
          <w:tcPr>
            <w:tcW w:w="2500" w:type="pct"/>
            <w:shd w:val="clear" w:color="auto" w:fill="D9D9D9" w:themeFill="background1" w:themeFillShade="D9"/>
          </w:tcPr>
          <w:p w14:paraId="1FA13DAF" w14:textId="77777777" w:rsidR="00810FAC" w:rsidRPr="00CC3004" w:rsidRDefault="00810FAC" w:rsidP="00810FAC">
            <w:pPr>
              <w:pStyle w:val="CH5TableText"/>
              <w:rPr>
                <w:b/>
              </w:rPr>
            </w:pPr>
            <w:r w:rsidRPr="00CC3004">
              <w:rPr>
                <w:b/>
              </w:rPr>
              <w:t>Time Period (Years)</w:t>
            </w:r>
          </w:p>
        </w:tc>
        <w:tc>
          <w:tcPr>
            <w:tcW w:w="2500" w:type="pct"/>
            <w:shd w:val="clear" w:color="auto" w:fill="D9D9D9" w:themeFill="background1" w:themeFillShade="D9"/>
          </w:tcPr>
          <w:p w14:paraId="07C82198" w14:textId="77777777" w:rsidR="00810FAC" w:rsidRPr="00CC3004" w:rsidRDefault="00810FAC" w:rsidP="00810FAC">
            <w:pPr>
              <w:pStyle w:val="CH5TableText"/>
              <w:rPr>
                <w:b/>
              </w:rPr>
            </w:pPr>
            <w:r w:rsidRPr="00CC3004">
              <w:rPr>
                <w:b/>
              </w:rPr>
              <w:t>Compound Average Growth Rate</w:t>
            </w:r>
          </w:p>
        </w:tc>
      </w:tr>
      <w:tr w:rsidR="00810FAC" w:rsidRPr="00D33008" w14:paraId="786F1922" w14:textId="77777777" w:rsidTr="00810FAC">
        <w:tc>
          <w:tcPr>
            <w:tcW w:w="2500" w:type="pct"/>
            <w:vAlign w:val="center"/>
          </w:tcPr>
          <w:p w14:paraId="3544293E" w14:textId="77777777" w:rsidR="00810FAC" w:rsidRPr="00D33008" w:rsidRDefault="00810FAC" w:rsidP="00810FAC">
            <w:pPr>
              <w:pStyle w:val="CH5TableText"/>
            </w:pPr>
            <w:r w:rsidRPr="00D33008">
              <w:t>Historic (2006-2011)</w:t>
            </w:r>
          </w:p>
        </w:tc>
        <w:tc>
          <w:tcPr>
            <w:tcW w:w="2500" w:type="pct"/>
            <w:vAlign w:val="center"/>
          </w:tcPr>
          <w:p w14:paraId="12EF1115" w14:textId="77777777" w:rsidR="00810FAC" w:rsidRPr="00D33008" w:rsidRDefault="00810FAC" w:rsidP="00810FAC">
            <w:pPr>
              <w:pStyle w:val="CH5TableText"/>
            </w:pPr>
            <w:r w:rsidRPr="00D33008">
              <w:t>29.8%</w:t>
            </w:r>
          </w:p>
        </w:tc>
      </w:tr>
      <w:tr w:rsidR="00810FAC" w:rsidRPr="00D33008" w14:paraId="7F1605A0" w14:textId="77777777" w:rsidTr="00810FAC">
        <w:tc>
          <w:tcPr>
            <w:tcW w:w="2500" w:type="pct"/>
            <w:vAlign w:val="center"/>
          </w:tcPr>
          <w:p w14:paraId="59242AA1" w14:textId="77777777" w:rsidR="00810FAC" w:rsidRPr="00D33008" w:rsidRDefault="00810FAC" w:rsidP="00810FAC">
            <w:pPr>
              <w:pStyle w:val="CH5TableText"/>
            </w:pPr>
            <w:r>
              <w:t>Demand-Side EE Plan Scenario</w:t>
            </w:r>
            <w:r w:rsidRPr="00D33008">
              <w:t xml:space="preserve"> (201</w:t>
            </w:r>
            <w:r>
              <w:t>3</w:t>
            </w:r>
            <w:r w:rsidRPr="00D33008">
              <w:t>-20</w:t>
            </w:r>
            <w:r>
              <w:t>20</w:t>
            </w:r>
            <w:r w:rsidRPr="00D33008">
              <w:t>)</w:t>
            </w:r>
          </w:p>
        </w:tc>
        <w:tc>
          <w:tcPr>
            <w:tcW w:w="2500" w:type="pct"/>
            <w:vAlign w:val="center"/>
          </w:tcPr>
          <w:p w14:paraId="5B84574D" w14:textId="77777777" w:rsidR="00810FAC" w:rsidRPr="00D33008" w:rsidRDefault="00810FAC" w:rsidP="00810FAC">
            <w:pPr>
              <w:pStyle w:val="CH5TableText"/>
            </w:pPr>
            <w:r>
              <w:t>5.4%</w:t>
            </w:r>
          </w:p>
        </w:tc>
      </w:tr>
      <w:tr w:rsidR="00810FAC" w:rsidRPr="00D33008" w14:paraId="724117FB" w14:textId="77777777" w:rsidTr="00810FAC">
        <w:tc>
          <w:tcPr>
            <w:tcW w:w="2500" w:type="pct"/>
            <w:vAlign w:val="center"/>
          </w:tcPr>
          <w:p w14:paraId="0AE2D778" w14:textId="77777777" w:rsidR="00810FAC" w:rsidRPr="00D33008" w:rsidRDefault="00810FAC" w:rsidP="00810FAC">
            <w:pPr>
              <w:pStyle w:val="CH5TableText"/>
            </w:pPr>
            <w:r>
              <w:lastRenderedPageBreak/>
              <w:t>Demand-Side EE Plan Scenario</w:t>
            </w:r>
            <w:r w:rsidRPr="00D33008">
              <w:t xml:space="preserve"> (201</w:t>
            </w:r>
            <w:r>
              <w:t>3</w:t>
            </w:r>
            <w:r w:rsidRPr="00D33008">
              <w:t>-202</w:t>
            </w:r>
            <w:r>
              <w:t>5</w:t>
            </w:r>
            <w:r w:rsidRPr="00D33008">
              <w:t>)</w:t>
            </w:r>
          </w:p>
        </w:tc>
        <w:tc>
          <w:tcPr>
            <w:tcW w:w="2500" w:type="pct"/>
            <w:vAlign w:val="center"/>
          </w:tcPr>
          <w:p w14:paraId="3B70D250" w14:textId="77777777" w:rsidR="00810FAC" w:rsidRPr="00D33008" w:rsidRDefault="00810FAC" w:rsidP="00810FAC">
            <w:pPr>
              <w:pStyle w:val="CH5TableText"/>
            </w:pPr>
            <w:r>
              <w:t>6.0%</w:t>
            </w:r>
          </w:p>
        </w:tc>
      </w:tr>
      <w:tr w:rsidR="00810FAC" w:rsidRPr="00D33008" w14:paraId="5D15EFDA" w14:textId="77777777" w:rsidTr="00810FAC">
        <w:tc>
          <w:tcPr>
            <w:tcW w:w="2500" w:type="pct"/>
            <w:vAlign w:val="center"/>
          </w:tcPr>
          <w:p w14:paraId="4641FEFB" w14:textId="77777777" w:rsidR="00810FAC" w:rsidRPr="00D33008" w:rsidRDefault="00810FAC" w:rsidP="00810FAC">
            <w:pPr>
              <w:pStyle w:val="CH5TableText"/>
            </w:pPr>
            <w:r>
              <w:t>Demand-Side EE Plan Scenario</w:t>
            </w:r>
            <w:r w:rsidRPr="00D33008">
              <w:t xml:space="preserve"> (201</w:t>
            </w:r>
            <w:r>
              <w:t>3</w:t>
            </w:r>
            <w:r w:rsidRPr="00D33008">
              <w:t>-20</w:t>
            </w:r>
            <w:r>
              <w:t>30</w:t>
            </w:r>
            <w:r w:rsidRPr="00D33008">
              <w:t>)</w:t>
            </w:r>
          </w:p>
        </w:tc>
        <w:tc>
          <w:tcPr>
            <w:tcW w:w="2500" w:type="pct"/>
            <w:vAlign w:val="center"/>
          </w:tcPr>
          <w:p w14:paraId="6CDFB454" w14:textId="77777777" w:rsidR="00810FAC" w:rsidRPr="00D33008" w:rsidRDefault="00810FAC" w:rsidP="00810FAC">
            <w:pPr>
              <w:pStyle w:val="CH5TableText"/>
            </w:pPr>
            <w:r>
              <w:t>4.2%</w:t>
            </w:r>
          </w:p>
        </w:tc>
      </w:tr>
    </w:tbl>
    <w:p w14:paraId="2D9F696B" w14:textId="77777777" w:rsidR="00810FAC" w:rsidRPr="00311E15" w:rsidRDefault="00810FAC" w:rsidP="00311E15"/>
    <w:p w14:paraId="579C04F0" w14:textId="77777777" w:rsidR="00810FAC" w:rsidRPr="00D33008" w:rsidRDefault="00810FAC" w:rsidP="006E6A19">
      <w:pPr>
        <w:pStyle w:val="Heading3"/>
      </w:pPr>
      <w:bookmarkStart w:id="165" w:name="_Toc424721610"/>
      <w:r w:rsidRPr="00D33008">
        <w:t>Costs per Tonne CO</w:t>
      </w:r>
      <w:r w:rsidRPr="00D33008">
        <w:rPr>
          <w:vertAlign w:val="subscript"/>
        </w:rPr>
        <w:t>2</w:t>
      </w:r>
      <w:r w:rsidRPr="00D33008">
        <w:t xml:space="preserve"> Reduced</w:t>
      </w:r>
      <w:bookmarkEnd w:id="165"/>
    </w:p>
    <w:p w14:paraId="17764794" w14:textId="77777777" w:rsidR="00810FAC" w:rsidRDefault="00810FAC" w:rsidP="00810FAC">
      <w:pPr>
        <w:pStyle w:val="CH5BodyText"/>
      </w:pPr>
      <w:r>
        <w:t xml:space="preserve">For the CPP proposed rule, the </w:t>
      </w:r>
      <w:r w:rsidRPr="00D33008">
        <w:t xml:space="preserve">EPA </w:t>
      </w:r>
      <w:r>
        <w:t xml:space="preserve">analyzed a scenario incorporating the reductions in electricity demand associated with the proposal’s “EE scenario” and compared the results with the base case scenario (EPA 2014a). </w:t>
      </w:r>
      <w:r w:rsidRPr="00D33008">
        <w:t>Both analyses were conducted using the Integrated Planning Model (IPM) described in</w:t>
      </w:r>
      <w:r>
        <w:t xml:space="preserve"> RIA</w:t>
      </w:r>
      <w:r w:rsidRPr="00D33008">
        <w:t xml:space="preserve">. Combining the resulting power system cost reductions with the energy efficiency cost estimates associated with the </w:t>
      </w:r>
      <w:r>
        <w:t xml:space="preserve">EE </w:t>
      </w:r>
      <w:r w:rsidRPr="00D33008">
        <w:t xml:space="preserve">scenario, net cost impacts </w:t>
      </w:r>
      <w:r>
        <w:t xml:space="preserve">were derived </w:t>
      </w:r>
      <w:r w:rsidRPr="00D33008">
        <w:t>for 2020, 2025, and 2030. Dividing these net cost impacts by the associated CO</w:t>
      </w:r>
      <w:r w:rsidRPr="00D33008">
        <w:rPr>
          <w:vertAlign w:val="subscript"/>
        </w:rPr>
        <w:t>2</w:t>
      </w:r>
      <w:r w:rsidRPr="00D33008">
        <w:t xml:space="preserve"> reductions for each year, the average cost of the CO</w:t>
      </w:r>
      <w:r w:rsidRPr="00D33008">
        <w:rPr>
          <w:vertAlign w:val="subscript"/>
        </w:rPr>
        <w:t>2</w:t>
      </w:r>
      <w:r w:rsidRPr="00D33008">
        <w:t xml:space="preserve"> reductions </w:t>
      </w:r>
      <w:r>
        <w:t xml:space="preserve">achieved were found to range </w:t>
      </w:r>
      <w:r w:rsidRPr="00D33008">
        <w:t>from $</w:t>
      </w:r>
      <w:r>
        <w:t>16</w:t>
      </w:r>
      <w:r w:rsidRPr="00D33008">
        <w:t xml:space="preserve"> to $</w:t>
      </w:r>
      <w:r>
        <w:t>24</w:t>
      </w:r>
      <w:r w:rsidRPr="00D33008">
        <w:t xml:space="preserve"> per metric tonne of CO</w:t>
      </w:r>
      <w:r w:rsidRPr="00D33008">
        <w:rPr>
          <w:vertAlign w:val="subscript"/>
        </w:rPr>
        <w:t>2</w:t>
      </w:r>
      <w:r>
        <w:t>. These results confirmed the general cost-effectiveness of demand-side EE at the levels and costs of the proposal, and relative to the IPM base case used at that time (since updated). The final rule incorporates changes to the IPM base case, and the levels (significantly lower) and costs (higher in 2020, lower in 2025 and 2030) of demand-side EE incorporated into the illustrative plan scenario. These changes are likely to result in similar or lower average costs per tonne of CO2 achieved through the demand-side EE plan scenario in the final rule.</w:t>
      </w:r>
    </w:p>
    <w:p w14:paraId="2FA4AAD2" w14:textId="77777777" w:rsidR="00810FAC" w:rsidRPr="00D33008" w:rsidRDefault="00810FAC" w:rsidP="006E6A19">
      <w:pPr>
        <w:pStyle w:val="Heading1"/>
      </w:pPr>
      <w:bookmarkStart w:id="166" w:name="_Toc424675680"/>
      <w:bookmarkStart w:id="167" w:name="_Toc424721611"/>
      <w:r w:rsidRPr="00D33008">
        <w:t>Analysis Considerations</w:t>
      </w:r>
      <w:bookmarkEnd w:id="166"/>
      <w:bookmarkEnd w:id="167"/>
    </w:p>
    <w:p w14:paraId="5B39FAA7" w14:textId="73036ACB" w:rsidR="00810FAC" w:rsidRPr="00D33008" w:rsidRDefault="00810FAC" w:rsidP="00810FAC">
      <w:pPr>
        <w:pStyle w:val="CH5BodyText"/>
      </w:pPr>
      <w:r w:rsidRPr="00D33008">
        <w:t>Two considerations are worth noting in regards to the analysis described in the previous two sections</w:t>
      </w:r>
      <w:r>
        <w:t xml:space="preserve"> (9 and 10) which characterize the energy savings and costs of the demand-side EE plan scenario</w:t>
      </w:r>
      <w:r w:rsidRPr="00D33008">
        <w:t xml:space="preserve">: 1) </w:t>
      </w:r>
      <w:r>
        <w:t xml:space="preserve">the implicit representation of demand-side EE </w:t>
      </w:r>
      <w:r w:rsidRPr="00D33008">
        <w:t xml:space="preserve">policies </w:t>
      </w:r>
      <w:r>
        <w:t xml:space="preserve">and programs </w:t>
      </w:r>
      <w:r w:rsidRPr="00D33008">
        <w:t>in the base</w:t>
      </w:r>
      <w:r>
        <w:t xml:space="preserve"> case </w:t>
      </w:r>
      <w:r w:rsidRPr="00D33008">
        <w:t xml:space="preserve">electric demand </w:t>
      </w:r>
      <w:r>
        <w:t xml:space="preserve">forecast </w:t>
      </w:r>
      <w:r w:rsidRPr="00D33008">
        <w:t>and 2) Form EIA-861 as a data source.</w:t>
      </w:r>
    </w:p>
    <w:p w14:paraId="5A51B3A1" w14:textId="77777777" w:rsidR="00810FAC" w:rsidRPr="00D33008" w:rsidRDefault="00810FAC" w:rsidP="006E6A19">
      <w:pPr>
        <w:pStyle w:val="Heading2"/>
      </w:pPr>
      <w:bookmarkStart w:id="168" w:name="_Toc424675681"/>
      <w:bookmarkStart w:id="169" w:name="_Toc424721612"/>
      <w:r w:rsidRPr="00D33008">
        <w:t xml:space="preserve">State </w:t>
      </w:r>
      <w:r>
        <w:t>EE</w:t>
      </w:r>
      <w:r w:rsidRPr="00D33008">
        <w:t xml:space="preserve"> Policies in the Baseline Electricity Demand</w:t>
      </w:r>
      <w:bookmarkEnd w:id="168"/>
      <w:bookmarkEnd w:id="169"/>
    </w:p>
    <w:p w14:paraId="0B6514F6" w14:textId="77777777" w:rsidR="00810FAC" w:rsidRPr="00D33008" w:rsidRDefault="00810FAC" w:rsidP="00810FAC">
      <w:pPr>
        <w:pStyle w:val="CH5BodyText"/>
      </w:pPr>
      <w:r>
        <w:t>The AEO 2015 reference case provides the basis for the base case electric demand forecast used for EPA’s power sector modeling of the final rule (as discussed in the RIA) and also serves as a basis for estimates of electricity savings for the demand-side EE plan scenario.</w:t>
      </w:r>
      <w:r w:rsidRPr="00D33008">
        <w:t xml:space="preserve"> </w:t>
      </w:r>
      <w:r>
        <w:t xml:space="preserve">The </w:t>
      </w:r>
      <w:r w:rsidRPr="00D33008">
        <w:t>AEO 201</w:t>
      </w:r>
      <w:r>
        <w:t>5</w:t>
      </w:r>
      <w:r w:rsidRPr="00D33008">
        <w:t xml:space="preserve"> </w:t>
      </w:r>
      <w:r>
        <w:t xml:space="preserve">reference case </w:t>
      </w:r>
      <w:r w:rsidRPr="00D33008">
        <w:t xml:space="preserve">does not explicitly represent existing </w:t>
      </w:r>
      <w:r>
        <w:t>EE</w:t>
      </w:r>
      <w:r w:rsidRPr="00D33008">
        <w:t xml:space="preserve"> programs</w:t>
      </w:r>
      <w:r>
        <w:t>, the continuation of EE programs or policies,</w:t>
      </w:r>
      <w:r w:rsidRPr="00D33008">
        <w:t xml:space="preserve"> or future requirements (e.g., EERS) to achieve savings through such programs. For example, existing state EERS</w:t>
      </w:r>
      <w:r>
        <w:t xml:space="preserve"> </w:t>
      </w:r>
      <w:r w:rsidRPr="00D33008">
        <w:t xml:space="preserve">are not evaluated and represented in </w:t>
      </w:r>
      <w:r w:rsidRPr="00D33008">
        <w:lastRenderedPageBreak/>
        <w:t>the AEO 201</w:t>
      </w:r>
      <w:r>
        <w:t>5</w:t>
      </w:r>
      <w:r w:rsidRPr="00D33008">
        <w:t xml:space="preserve"> reference case. However, to some degree, AEO 201</w:t>
      </w:r>
      <w:r>
        <w:t>5</w:t>
      </w:r>
      <w:r w:rsidRPr="00D33008">
        <w:t xml:space="preserve"> </w:t>
      </w:r>
      <w:r>
        <w:t>may</w:t>
      </w:r>
      <w:r w:rsidRPr="00D33008">
        <w:t xml:space="preserve"> </w:t>
      </w:r>
      <w:r w:rsidRPr="00B47835">
        <w:t>implicitly</w:t>
      </w:r>
      <w:r w:rsidRPr="00D33008">
        <w:t xml:space="preserve"> reflect a continuation of the effects of </w:t>
      </w:r>
      <w:r>
        <w:t xml:space="preserve">past or </w:t>
      </w:r>
      <w:r w:rsidRPr="00D33008">
        <w:t xml:space="preserve">existing </w:t>
      </w:r>
      <w:r>
        <w:t>EE</w:t>
      </w:r>
      <w:r w:rsidRPr="00D33008">
        <w:t xml:space="preserve"> programs in the electricity demand projections represented in the reference case. This implicit representation is captured in part through a calibration process that is affected by several historic factors including reported electricity sales and sectoral energy consumption surveys.</w:t>
      </w:r>
    </w:p>
    <w:p w14:paraId="3FE1E34E" w14:textId="3F0E140F" w:rsidR="00810FAC" w:rsidRDefault="00810FAC" w:rsidP="00810FAC">
      <w:pPr>
        <w:pStyle w:val="CH5BodyText"/>
      </w:pPr>
      <w:r w:rsidRPr="00D33008">
        <w:t xml:space="preserve">As noted, </w:t>
      </w:r>
      <w:r>
        <w:t xml:space="preserve">the estimates of electricity savings for the demand-side EE plan scenario do rely on AEO 2015 as a basis for base case electricity demand projections. The underlying mechanics of the calculations are such that modest changes in base case demand growth rates lead to minor impacts on cumulative savings levels relative to other inputs such as 2020 starting savings levels (based on 2013 EIA 861 data), the target savings level (i.e., 1.0% incremental annual savings), and the pace of improvement from the starting to target savings levels (i.e., 0.2% per year). Any implicit representation of the effects of existing EE programs in the base case demand forecast would also, to some degree, affect estimates of the impacts of the final rule in the RIA. </w:t>
      </w:r>
      <w:r w:rsidR="00D75D5C">
        <w:t>The effects of these considerations would have some degree of influence on the assessment of demand-side EE, however, for purposes of the RIA, the methodology for determining levels of demand-side EE, and associated costs, is appropriate in the context of the final rule.</w:t>
      </w:r>
    </w:p>
    <w:p w14:paraId="57D9FB2E" w14:textId="77777777" w:rsidR="00810FAC" w:rsidRPr="00D33008" w:rsidRDefault="00810FAC" w:rsidP="00D75D5C">
      <w:pPr>
        <w:pStyle w:val="Heading2"/>
      </w:pPr>
      <w:bookmarkStart w:id="170" w:name="_Toc424675682"/>
      <w:bookmarkStart w:id="171" w:name="_Toc424721613"/>
      <w:r w:rsidRPr="00D33008">
        <w:t>Energy Information Administration Form EIA-861 as Data Source</w:t>
      </w:r>
      <w:bookmarkEnd w:id="170"/>
      <w:bookmarkEnd w:id="171"/>
    </w:p>
    <w:p w14:paraId="6085F75D" w14:textId="3FB4EDC0" w:rsidR="00810FAC" w:rsidRPr="00D33008" w:rsidRDefault="00810FAC" w:rsidP="00810FAC">
      <w:pPr>
        <w:pStyle w:val="CH5BodyText"/>
      </w:pPr>
      <w:r w:rsidRPr="00D33008">
        <w:t xml:space="preserve">Comprehensive </w:t>
      </w:r>
      <w:r>
        <w:t xml:space="preserve">national </w:t>
      </w:r>
      <w:r w:rsidRPr="00D33008">
        <w:t xml:space="preserve">data on </w:t>
      </w:r>
      <w:r>
        <w:t xml:space="preserve">electricity </w:t>
      </w:r>
      <w:r w:rsidRPr="00D33008">
        <w:t xml:space="preserve">savings are limited for evaluating and comparing energy efficiency programs and their effectiveness at the utility, state, and national scale. Issues related to the lack of standardized definitions and reporting, and data quality are noted to limit evaluation of </w:t>
      </w:r>
      <w:r>
        <w:t xml:space="preserve">EE </w:t>
      </w:r>
      <w:r w:rsidRPr="00D33008">
        <w:t>programs</w:t>
      </w:r>
      <w:r>
        <w:t xml:space="preserve"> (</w:t>
      </w:r>
      <w:r w:rsidRPr="00E0291D">
        <w:t>MJ Bradley</w:t>
      </w:r>
      <w:r>
        <w:t xml:space="preserve"> 2011)</w:t>
      </w:r>
      <w:r w:rsidRPr="00D33008">
        <w:t>. The EIA Form 861, “Annual Electric Power Industry Report,” remains the most comprehensive effort that collects data annually on demand-side management (DSM) programs, including their spending and energy savings impacts, nationally.</w:t>
      </w:r>
      <w:r w:rsidRPr="00D33008">
        <w:rPr>
          <w:rStyle w:val="FootnoteReference"/>
          <w:color w:val="272627"/>
        </w:rPr>
        <w:footnoteReference w:id="41"/>
      </w:r>
      <w:r w:rsidRPr="00D33008">
        <w:t xml:space="preserve"> The form is requested for electric utilities, electric power producers, energy service providers, wholesale power marketers, and all DSM program managers and entities responsible to estimate the DSM activity for the reporting year using their </w:t>
      </w:r>
      <w:r w:rsidRPr="00D33008">
        <w:lastRenderedPageBreak/>
        <w:t xml:space="preserve">best available data, including costs and </w:t>
      </w:r>
      <w:r>
        <w:t>electricity</w:t>
      </w:r>
      <w:r w:rsidRPr="00D33008">
        <w:t xml:space="preserve"> savings from </w:t>
      </w:r>
      <w:r>
        <w:t xml:space="preserve">EE </w:t>
      </w:r>
      <w:r w:rsidRPr="00D33008">
        <w:t xml:space="preserve">and load management programs. </w:t>
      </w:r>
    </w:p>
    <w:p w14:paraId="0E6F9AF5" w14:textId="77777777" w:rsidR="00810FAC" w:rsidRPr="00D33008" w:rsidRDefault="00810FAC" w:rsidP="00810FAC">
      <w:pPr>
        <w:pStyle w:val="CH5BodyText"/>
      </w:pPr>
      <w:r w:rsidRPr="00D33008">
        <w:t>This analysis uses only two EIA-861 data variables. Specifically, we use the 201</w:t>
      </w:r>
      <w:r>
        <w:t>3</w:t>
      </w:r>
      <w:r w:rsidRPr="00D33008">
        <w:t xml:space="preserve"> sales data and reported incremental annual </w:t>
      </w:r>
      <w:r>
        <w:t>electricity</w:t>
      </w:r>
      <w:r w:rsidRPr="00D33008">
        <w:t xml:space="preserve"> savings of </w:t>
      </w:r>
      <w:r>
        <w:t>EE</w:t>
      </w:r>
      <w:r w:rsidRPr="00D33008">
        <w:t xml:space="preserve"> programs to estimate the current performance of </w:t>
      </w:r>
      <w:r>
        <w:t xml:space="preserve">EE </w:t>
      </w:r>
      <w:r w:rsidRPr="00D33008">
        <w:t xml:space="preserve">programs </w:t>
      </w:r>
      <w:r>
        <w:t xml:space="preserve">(aggregated to the state level) </w:t>
      </w:r>
      <w:r w:rsidRPr="00D33008">
        <w:t xml:space="preserve">to inform </w:t>
      </w:r>
      <w:r>
        <w:t>the illustrative demand-side EE plan scenario discussed in this chapter</w:t>
      </w:r>
      <w:r w:rsidRPr="00D33008">
        <w:t>.</w:t>
      </w:r>
    </w:p>
    <w:p w14:paraId="6A985941" w14:textId="77777777" w:rsidR="00810FAC" w:rsidRPr="00D33008" w:rsidRDefault="00810FAC" w:rsidP="00810FAC">
      <w:pPr>
        <w:pStyle w:val="CH5BodyText"/>
      </w:pPr>
      <w:r w:rsidRPr="00D33008">
        <w:t xml:space="preserve">EPA notes potential concerns associated with consistency and quality of reported DSM program data in Form EIA-861. Specifically, the data are self-reported by utilities and </w:t>
      </w:r>
      <w:r>
        <w:t xml:space="preserve">other </w:t>
      </w:r>
      <w:r w:rsidRPr="00D33008">
        <w:t>DSM program administrators. The definition</w:t>
      </w:r>
      <w:r>
        <w:t>s</w:t>
      </w:r>
      <w:r w:rsidRPr="00D33008">
        <w:t xml:space="preserve"> and data categories may not be consistently applied across </w:t>
      </w:r>
      <w:r>
        <w:t xml:space="preserve">different program administrators, </w:t>
      </w:r>
      <w:r w:rsidRPr="00D33008">
        <w:t>utilit</w:t>
      </w:r>
      <w:r>
        <w:t>ies</w:t>
      </w:r>
      <w:r w:rsidRPr="00D33008">
        <w:t xml:space="preserve">, </w:t>
      </w:r>
      <w:r>
        <w:t xml:space="preserve">and </w:t>
      </w:r>
      <w:r w:rsidRPr="00D33008">
        <w:t>state</w:t>
      </w:r>
      <w:r>
        <w:t>s</w:t>
      </w:r>
      <w:r w:rsidRPr="00D33008">
        <w:t xml:space="preserve">, and </w:t>
      </w:r>
      <w:r>
        <w:t xml:space="preserve">may vary by </w:t>
      </w:r>
      <w:r w:rsidRPr="00D33008">
        <w:t xml:space="preserve">data year. Over time, however, the data quality has improved significantly and there is increased standardization in data reporting and more detailed </w:t>
      </w:r>
      <w:r>
        <w:t xml:space="preserve">and up-to-date </w:t>
      </w:r>
      <w:r w:rsidRPr="00D33008">
        <w:t>data categories are being reported.</w:t>
      </w:r>
      <w:r>
        <w:t xml:space="preserve"> </w:t>
      </w:r>
      <w:r w:rsidRPr="00D33008">
        <w:t>For instance, in 2011, EIA began collecting data from third-party administrators of programs</w:t>
      </w:r>
      <w:r>
        <w:t xml:space="preserve"> and now requires that entities operating programs in multiple states report results disaggregated to the state level</w:t>
      </w:r>
      <w:r w:rsidRPr="00D33008">
        <w:t xml:space="preserve">. While now comprehensive, outside entities have found that the EIA-861 data can be improved through supplementation with publicly available annual </w:t>
      </w:r>
      <w:r>
        <w:t>EE</w:t>
      </w:r>
      <w:r w:rsidRPr="00D33008">
        <w:t xml:space="preserve"> program reports.</w:t>
      </w:r>
      <w:r w:rsidRPr="00D33008">
        <w:rPr>
          <w:rStyle w:val="FootnoteReference"/>
          <w:color w:val="272627"/>
        </w:rPr>
        <w:footnoteReference w:id="42"/>
      </w:r>
    </w:p>
    <w:p w14:paraId="71A511EA" w14:textId="77777777" w:rsidR="00810FAC" w:rsidRPr="00D33008" w:rsidRDefault="00810FAC">
      <w:pPr>
        <w:rPr>
          <w:rFonts w:cs="Times New Roman"/>
          <w:color w:val="272627"/>
          <w:sz w:val="24"/>
          <w:szCs w:val="24"/>
        </w:rPr>
      </w:pPr>
    </w:p>
    <w:p w14:paraId="64AD2F26" w14:textId="77777777" w:rsidR="00810FAC" w:rsidRDefault="00810FAC">
      <w:pPr>
        <w:rPr>
          <w:rFonts w:cs="Times New Roman"/>
          <w:b/>
          <w:sz w:val="28"/>
          <w:szCs w:val="28"/>
        </w:rPr>
        <w:sectPr w:rsidR="00810FAC" w:rsidSect="00C50014">
          <w:headerReference w:type="default" r:id="rId28"/>
          <w:footerReference w:type="default" r:id="rId29"/>
          <w:endnotePr>
            <w:numFmt w:val="lowerLetter"/>
            <w:numRestart w:val="eachSect"/>
          </w:endnotePr>
          <w:type w:val="oddPage"/>
          <w:pgSz w:w="12240" w:h="15840" w:code="1"/>
          <w:pgMar w:top="1440" w:right="1440" w:bottom="1440" w:left="1440" w:header="720" w:footer="720" w:gutter="0"/>
          <w:pgNumType w:start="1" w:chapSep="enDash"/>
          <w:cols w:space="720"/>
          <w:docGrid w:linePitch="360"/>
        </w:sectPr>
      </w:pPr>
    </w:p>
    <w:p w14:paraId="62F6A96E" w14:textId="77777777" w:rsidR="00810FAC" w:rsidRDefault="00810FAC" w:rsidP="00810FAC">
      <w:pPr>
        <w:jc w:val="center"/>
        <w:rPr>
          <w:rFonts w:cs="Times New Roman"/>
          <w:b/>
          <w:sz w:val="28"/>
          <w:szCs w:val="28"/>
        </w:rPr>
      </w:pPr>
    </w:p>
    <w:p w14:paraId="2BCEDEFE" w14:textId="77777777" w:rsidR="00810FAC" w:rsidRDefault="00810FAC" w:rsidP="00810FAC">
      <w:pPr>
        <w:jc w:val="center"/>
        <w:rPr>
          <w:rFonts w:cs="Times New Roman"/>
          <w:b/>
          <w:sz w:val="28"/>
          <w:szCs w:val="28"/>
        </w:rPr>
      </w:pPr>
    </w:p>
    <w:p w14:paraId="3A4D7DAE" w14:textId="77777777" w:rsidR="00810FAC" w:rsidRDefault="00810FAC" w:rsidP="00810FAC">
      <w:pPr>
        <w:jc w:val="center"/>
        <w:rPr>
          <w:rFonts w:cs="Times New Roman"/>
          <w:b/>
          <w:sz w:val="28"/>
          <w:szCs w:val="28"/>
        </w:rPr>
      </w:pPr>
    </w:p>
    <w:p w14:paraId="49DB5A05" w14:textId="77777777" w:rsidR="00810FAC" w:rsidRDefault="00810FAC" w:rsidP="00810FAC">
      <w:pPr>
        <w:jc w:val="center"/>
        <w:rPr>
          <w:rFonts w:cs="Times New Roman"/>
          <w:b/>
          <w:sz w:val="28"/>
          <w:szCs w:val="28"/>
        </w:rPr>
      </w:pPr>
    </w:p>
    <w:p w14:paraId="7F195B89" w14:textId="77777777" w:rsidR="00810FAC" w:rsidRPr="00003324" w:rsidRDefault="00810FAC" w:rsidP="00810FAC">
      <w:pPr>
        <w:jc w:val="center"/>
        <w:rPr>
          <w:rFonts w:ascii="Times New Roman" w:hAnsi="Times New Roman" w:cs="Times New Roman"/>
          <w:b/>
          <w:sz w:val="28"/>
          <w:szCs w:val="28"/>
        </w:rPr>
      </w:pPr>
      <w:r w:rsidRPr="00003324">
        <w:rPr>
          <w:rFonts w:ascii="Times New Roman" w:hAnsi="Times New Roman" w:cs="Times New Roman"/>
          <w:b/>
          <w:sz w:val="28"/>
          <w:szCs w:val="28"/>
        </w:rPr>
        <w:t>Appendices</w:t>
      </w:r>
    </w:p>
    <w:p w14:paraId="0AD9A24A" w14:textId="77777777" w:rsidR="00810FAC" w:rsidRDefault="00810FAC" w:rsidP="00810FAC">
      <w:pPr>
        <w:spacing w:line="360" w:lineRule="auto"/>
        <w:rPr>
          <w:rFonts w:cs="Times New Roman"/>
          <w:b/>
          <w:sz w:val="24"/>
          <w:szCs w:val="24"/>
        </w:rPr>
      </w:pPr>
    </w:p>
    <w:p w14:paraId="0B77209D" w14:textId="1B11C302" w:rsidR="00810FAC" w:rsidRPr="00C50014" w:rsidRDefault="00810FAC" w:rsidP="00C50014">
      <w:pPr>
        <w:rPr>
          <w:rFonts w:ascii="Times New Roman" w:hAnsi="Times New Roman" w:cs="Times New Roman"/>
          <w:b/>
          <w:sz w:val="24"/>
          <w:szCs w:val="24"/>
        </w:rPr>
      </w:pPr>
      <w:r w:rsidRPr="00C50014">
        <w:rPr>
          <w:rFonts w:ascii="Times New Roman" w:hAnsi="Times New Roman" w:cs="Times New Roman"/>
          <w:b/>
          <w:sz w:val="24"/>
          <w:szCs w:val="24"/>
        </w:rPr>
        <w:t>Appendix 1:</w:t>
      </w:r>
    </w:p>
    <w:p w14:paraId="742AD8DC" w14:textId="77777777" w:rsidR="00810FAC" w:rsidRPr="00C50014" w:rsidRDefault="00810FAC" w:rsidP="00C50014">
      <w:pPr>
        <w:rPr>
          <w:rFonts w:ascii="Times New Roman" w:hAnsi="Times New Roman" w:cs="Times New Roman"/>
          <w:b/>
          <w:sz w:val="24"/>
          <w:szCs w:val="24"/>
        </w:rPr>
      </w:pPr>
      <w:r w:rsidRPr="00C50014">
        <w:rPr>
          <w:rFonts w:ascii="Times New Roman" w:hAnsi="Times New Roman" w:cs="Times New Roman"/>
          <w:b/>
          <w:sz w:val="24"/>
          <w:szCs w:val="24"/>
        </w:rPr>
        <w:t>Summary of Recent Energy Efficiency Potential Studies (2009-2014)</w:t>
      </w:r>
    </w:p>
    <w:p w14:paraId="2ACE681C" w14:textId="77777777" w:rsidR="00810FAC" w:rsidRPr="00C50014" w:rsidRDefault="00810FAC" w:rsidP="00C50014">
      <w:pPr>
        <w:rPr>
          <w:rFonts w:ascii="Times New Roman" w:hAnsi="Times New Roman" w:cs="Times New Roman"/>
          <w:b/>
          <w:sz w:val="24"/>
          <w:szCs w:val="24"/>
        </w:rPr>
      </w:pPr>
    </w:p>
    <w:p w14:paraId="4B7CBB22" w14:textId="1372D88E" w:rsidR="00810FAC" w:rsidRPr="00C50014" w:rsidRDefault="00810FAC" w:rsidP="00C50014">
      <w:pPr>
        <w:rPr>
          <w:rFonts w:ascii="Times New Roman" w:hAnsi="Times New Roman" w:cs="Times New Roman"/>
          <w:b/>
          <w:sz w:val="24"/>
          <w:szCs w:val="24"/>
        </w:rPr>
      </w:pPr>
      <w:r w:rsidRPr="00C50014">
        <w:rPr>
          <w:rFonts w:ascii="Times New Roman" w:hAnsi="Times New Roman" w:cs="Times New Roman"/>
          <w:b/>
          <w:sz w:val="24"/>
          <w:szCs w:val="24"/>
        </w:rPr>
        <w:t xml:space="preserve">Appendix 2: </w:t>
      </w:r>
    </w:p>
    <w:p w14:paraId="0B23F3B4" w14:textId="77777777" w:rsidR="00810FAC" w:rsidRPr="00C50014" w:rsidRDefault="00810FAC" w:rsidP="00C50014">
      <w:pPr>
        <w:rPr>
          <w:rFonts w:ascii="Times New Roman" w:hAnsi="Times New Roman" w:cs="Times New Roman"/>
          <w:b/>
          <w:sz w:val="24"/>
          <w:szCs w:val="24"/>
        </w:rPr>
      </w:pPr>
      <w:r w:rsidRPr="00C50014">
        <w:rPr>
          <w:rFonts w:ascii="Times New Roman" w:hAnsi="Times New Roman" w:cs="Times New Roman"/>
          <w:b/>
          <w:sz w:val="24"/>
          <w:szCs w:val="24"/>
        </w:rPr>
        <w:t>Incremental Electricity Savings Pace of Improvement Analysis</w:t>
      </w:r>
    </w:p>
    <w:p w14:paraId="7D48E687" w14:textId="77777777" w:rsidR="00810FAC" w:rsidRPr="00C50014" w:rsidRDefault="00810FAC" w:rsidP="00C50014">
      <w:pPr>
        <w:rPr>
          <w:rFonts w:ascii="Times New Roman" w:hAnsi="Times New Roman" w:cs="Times New Roman"/>
          <w:b/>
          <w:sz w:val="24"/>
          <w:szCs w:val="24"/>
        </w:rPr>
      </w:pPr>
    </w:p>
    <w:p w14:paraId="70C0B456" w14:textId="37EA753C" w:rsidR="00810FAC" w:rsidRPr="00C50014" w:rsidRDefault="00810FAC" w:rsidP="00C50014">
      <w:pPr>
        <w:rPr>
          <w:rFonts w:ascii="Times New Roman" w:hAnsi="Times New Roman" w:cs="Times New Roman"/>
          <w:b/>
          <w:sz w:val="24"/>
          <w:szCs w:val="24"/>
        </w:rPr>
      </w:pPr>
      <w:r w:rsidRPr="00C50014">
        <w:rPr>
          <w:rFonts w:ascii="Times New Roman" w:hAnsi="Times New Roman" w:cs="Times New Roman"/>
          <w:b/>
          <w:sz w:val="24"/>
          <w:szCs w:val="24"/>
        </w:rPr>
        <w:t xml:space="preserve">Appendix 3: </w:t>
      </w:r>
    </w:p>
    <w:p w14:paraId="2BD34BA4" w14:textId="77777777" w:rsidR="00810FAC" w:rsidRPr="00C50014" w:rsidRDefault="00810FAC" w:rsidP="00C50014">
      <w:pPr>
        <w:rPr>
          <w:rFonts w:ascii="Times New Roman" w:hAnsi="Times New Roman" w:cs="Times New Roman"/>
          <w:b/>
          <w:sz w:val="24"/>
          <w:szCs w:val="24"/>
        </w:rPr>
      </w:pPr>
      <w:r w:rsidRPr="00C50014">
        <w:rPr>
          <w:rFonts w:ascii="Times New Roman" w:hAnsi="Times New Roman" w:cs="Times New Roman"/>
          <w:b/>
          <w:sz w:val="24"/>
          <w:szCs w:val="24"/>
        </w:rPr>
        <w:t>Demand-Side Energy Efficiency Plan Scenario: Data, Calculations and Results</w:t>
      </w:r>
    </w:p>
    <w:p w14:paraId="6409AAEB" w14:textId="77777777" w:rsidR="00810FAC" w:rsidRPr="00D33008" w:rsidRDefault="00810FAC" w:rsidP="00810FAC">
      <w:pPr>
        <w:spacing w:line="360" w:lineRule="auto"/>
        <w:rPr>
          <w:rFonts w:cs="Times New Roman"/>
          <w:b/>
          <w:sz w:val="24"/>
          <w:szCs w:val="24"/>
        </w:rPr>
      </w:pPr>
    </w:p>
    <w:p w14:paraId="61EED921" w14:textId="77777777" w:rsidR="00810FAC" w:rsidRDefault="00810FAC" w:rsidP="00810FAC">
      <w:pPr>
        <w:spacing w:line="360" w:lineRule="auto"/>
        <w:rPr>
          <w:rFonts w:cs="Times New Roman"/>
          <w:sz w:val="24"/>
          <w:szCs w:val="24"/>
        </w:rPr>
        <w:sectPr w:rsidR="00810FAC" w:rsidSect="00B562BA">
          <w:headerReference w:type="default" r:id="rId30"/>
          <w:footerReference w:type="default" r:id="rId31"/>
          <w:pgSz w:w="12240" w:h="15840" w:code="1"/>
          <w:pgMar w:top="1440" w:right="1440" w:bottom="1440" w:left="1440" w:header="720" w:footer="720" w:gutter="0"/>
          <w:cols w:space="720"/>
          <w:docGrid w:linePitch="360"/>
        </w:sectPr>
      </w:pPr>
    </w:p>
    <w:p w14:paraId="230CA613" w14:textId="38A05ABC" w:rsidR="00810FAC" w:rsidRPr="00D33008" w:rsidRDefault="00810FAC" w:rsidP="00311E15">
      <w:pPr>
        <w:pStyle w:val="Heading7"/>
      </w:pPr>
      <w:bookmarkStart w:id="172" w:name="_Toc424675683"/>
      <w:bookmarkStart w:id="173" w:name="_Toc424720243"/>
      <w:r w:rsidRPr="00D33008">
        <w:lastRenderedPageBreak/>
        <w:t>Appendix 1</w:t>
      </w:r>
      <w:r w:rsidR="00C50014">
        <w:t>:</w:t>
      </w:r>
      <w:r>
        <w:br/>
      </w:r>
      <w:r w:rsidRPr="00D33008">
        <w:t>Summary of Recent Energy Efficiency Potential Studies</w:t>
      </w:r>
      <w:r>
        <w:t xml:space="preserve"> (2009-2014)</w:t>
      </w:r>
      <w:bookmarkEnd w:id="172"/>
      <w:bookmarkEnd w:id="173"/>
    </w:p>
    <w:p w14:paraId="374BEDA3" w14:textId="17668D07" w:rsidR="00810FAC" w:rsidRDefault="00810FAC" w:rsidP="004448A6">
      <w:pPr>
        <w:pStyle w:val="CH5BodyText"/>
      </w:pPr>
      <w:r>
        <w:t xml:space="preserve">The EPA conducted an extensive review of energy efficiency potential studies of electricity savings. Studies were identified from recent published meta-analyses (Sreedharan 2013; </w:t>
      </w:r>
      <w:r w:rsidR="00EF26C5">
        <w:t>ACEEE</w:t>
      </w:r>
      <w:r>
        <w:t>2014</w:t>
      </w:r>
      <w:r w:rsidR="00EF26C5">
        <w:t>b</w:t>
      </w:r>
      <w:r>
        <w:t xml:space="preserve">) and supplemented with additional studies identified through research. Comprising results from more than 50 potential studies conducted between 2009 and 2014, the resulting database of results is one of the most comprehensive of its kind. </w:t>
      </w:r>
    </w:p>
    <w:p w14:paraId="76E84BAC" w14:textId="77777777" w:rsidR="00810FAC" w:rsidRDefault="00810FAC" w:rsidP="00810FAC">
      <w:pPr>
        <w:pStyle w:val="CH5BodyText"/>
      </w:pPr>
      <w:r>
        <w:t>See the attached file for detailed information on the sources, data, calculations, and results:</w:t>
      </w:r>
    </w:p>
    <w:p w14:paraId="48ABEDEF" w14:textId="77777777" w:rsidR="00810FAC" w:rsidRDefault="00810FAC" w:rsidP="00311E15">
      <w:pPr>
        <w:pStyle w:val="CH5BulletList"/>
      </w:pPr>
      <w:r>
        <w:t>GHG Abatement TSD – Demand-Side EE Potential Studies.xlsx</w:t>
      </w:r>
    </w:p>
    <w:p w14:paraId="06D3CBC2" w14:textId="77777777" w:rsidR="00810FAC" w:rsidRDefault="00810FAC">
      <w:pPr>
        <w:rPr>
          <w:rFonts w:cs="Times New Roman"/>
          <w:color w:val="000000"/>
          <w:sz w:val="24"/>
          <w:szCs w:val="24"/>
        </w:rPr>
      </w:pPr>
      <w:r>
        <w:br w:type="page"/>
      </w:r>
    </w:p>
    <w:p w14:paraId="063C9477" w14:textId="0D7B10CC" w:rsidR="00810FAC" w:rsidRPr="00D33008" w:rsidRDefault="00810FAC" w:rsidP="006E6A19">
      <w:pPr>
        <w:pStyle w:val="Heading7"/>
      </w:pPr>
      <w:bookmarkStart w:id="174" w:name="_Toc424675684"/>
      <w:bookmarkStart w:id="175" w:name="_Toc424720244"/>
      <w:r w:rsidRPr="00D33008">
        <w:lastRenderedPageBreak/>
        <w:t>Appendix 2</w:t>
      </w:r>
      <w:r w:rsidR="00C50014">
        <w:t>:</w:t>
      </w:r>
      <w:r>
        <w:br/>
      </w:r>
      <w:r w:rsidRPr="00D33008">
        <w:t>Incremental Electricity Savings Pace of Improvement Analysis</w:t>
      </w:r>
      <w:bookmarkEnd w:id="174"/>
      <w:bookmarkEnd w:id="175"/>
    </w:p>
    <w:p w14:paraId="5D185B8A" w14:textId="77777777" w:rsidR="00810FAC" w:rsidRPr="00D33008" w:rsidRDefault="00810FAC" w:rsidP="00810FAC">
      <w:pPr>
        <w:pStyle w:val="CH5BodyText"/>
      </w:pPr>
      <w:r w:rsidRPr="00D33008">
        <w:t>This appendix summarizes and analyzes data to characterize the pace of improvement of incremental (or first-year) savings as a percentage of retail sales for electricity energy efficiency (EE) programs. We considered two different perspectives: 1) historical data reflecting achieved savings of EE programs and 2) requirements of existing state energy efficiency resource standards (EERS). For the historical perspective, we reviewed data from the Energy Information Administration’s Form EIA-861 on EE program electricity savings (supplemented as needed with program administrator reports) and identified the pace at which entities reaching higher savings levels have historically increased energy savings over time.</w:t>
      </w:r>
      <w:r w:rsidRPr="00D33008">
        <w:rPr>
          <w:vertAlign w:val="superscript"/>
        </w:rPr>
        <w:footnoteReference w:id="43"/>
      </w:r>
      <w:r w:rsidRPr="00D33008">
        <w:t xml:space="preserve"> Specifically, we reviewed the historical savings data in the following two groups of energy efficiency program administrators.</w:t>
      </w:r>
    </w:p>
    <w:p w14:paraId="0A7CB3D3" w14:textId="77777777" w:rsidR="00810FAC" w:rsidRPr="008D7ECC" w:rsidRDefault="00810FAC" w:rsidP="00810FAC">
      <w:pPr>
        <w:pStyle w:val="CH5NumberedList1"/>
        <w:numPr>
          <w:ilvl w:val="0"/>
          <w:numId w:val="27"/>
        </w:numPr>
        <w:rPr>
          <w:rFonts w:eastAsia="Calibri"/>
        </w:rPr>
      </w:pPr>
      <w:r w:rsidRPr="008D7ECC">
        <w:rPr>
          <w:rFonts w:eastAsia="Calibri"/>
        </w:rPr>
        <w:t>Top saver 1% - a group with 47 entities that achieved a maximum first-year savings level of 0.8% to 1.5%.</w:t>
      </w:r>
    </w:p>
    <w:p w14:paraId="6D0B4E56" w14:textId="77777777" w:rsidR="00810FAC" w:rsidRPr="00D33008" w:rsidRDefault="00810FAC" w:rsidP="00810FAC">
      <w:pPr>
        <w:pStyle w:val="CH5NumberedList1"/>
        <w:rPr>
          <w:rFonts w:eastAsia="Calibri"/>
        </w:rPr>
      </w:pPr>
      <w:r w:rsidRPr="00D33008">
        <w:rPr>
          <w:rFonts w:eastAsia="Calibri"/>
        </w:rPr>
        <w:t>Top saver 2% - a group with 26 entities that achieved a maximum first-year savings level of 1.5% to 3.0%.</w:t>
      </w:r>
      <w:r w:rsidRPr="00D33008">
        <w:rPr>
          <w:rFonts w:eastAsia="Calibri"/>
          <w:vertAlign w:val="superscript"/>
        </w:rPr>
        <w:footnoteReference w:id="44"/>
      </w:r>
    </w:p>
    <w:p w14:paraId="65C92B48" w14:textId="77777777" w:rsidR="00810FAC" w:rsidRPr="00D33008" w:rsidRDefault="00810FAC" w:rsidP="00810FAC">
      <w:pPr>
        <w:pStyle w:val="CH5BodyText"/>
      </w:pPr>
      <w:r w:rsidRPr="00D33008">
        <w:t>For the existing state requirements perspective, we reviewed energy savings ramp-up schedules established under EERS for states that provide clear ramp-up schedules. According to ACEEE’s 2013 State Energy Efficiency Scorecard, there are a total of 26 states that have mandatory EERS policies</w:t>
      </w:r>
      <w:r>
        <w:t xml:space="preserve"> (ACEEE 2013a)</w:t>
      </w:r>
      <w:r w:rsidRPr="00D33008">
        <w:t>. Our analysis contains 10 states for which clear ramp-up schedules were identifiable.</w:t>
      </w:r>
    </w:p>
    <w:p w14:paraId="718E54AD" w14:textId="77777777" w:rsidR="00810FAC" w:rsidRPr="00D33008" w:rsidRDefault="00810FAC" w:rsidP="00810FAC">
      <w:pPr>
        <w:pStyle w:val="CH5BodyText"/>
      </w:pPr>
      <w:r w:rsidRPr="00D33008">
        <w:t xml:space="preserve">Our research findings on </w:t>
      </w:r>
      <w:r w:rsidRPr="00D33008">
        <w:rPr>
          <w:u w:val="single"/>
        </w:rPr>
        <w:t>historical</w:t>
      </w:r>
      <w:r w:rsidRPr="00D33008">
        <w:t xml:space="preserve"> savings performance are:</w:t>
      </w:r>
    </w:p>
    <w:p w14:paraId="7C5363C9" w14:textId="77E24E94" w:rsidR="00810FAC" w:rsidRPr="00D33008" w:rsidRDefault="00810FAC" w:rsidP="00810FAC">
      <w:pPr>
        <w:pStyle w:val="CH5BulletList"/>
      </w:pPr>
      <w:r w:rsidRPr="00D33008">
        <w:t xml:space="preserve">The “Top Saver 1%” group (savings between 0.8% and 1.5%) exhibits a trend that these entities took or would take about 3.4 years on average to increase first-year </w:t>
      </w:r>
      <w:r w:rsidRPr="00D33008">
        <w:lastRenderedPageBreak/>
        <w:t xml:space="preserve">savings by 1% (with a range of 1.6 years to 10 years) (see </w:t>
      </w:r>
      <w:r>
        <w:fldChar w:fldCharType="begin"/>
      </w:r>
      <w:r>
        <w:instrText xml:space="preserve"> REF _Ref376697228 \h  \* MERGEFORMAT </w:instrText>
      </w:r>
      <w:r>
        <w:fldChar w:fldCharType="separate"/>
      </w:r>
      <w:r w:rsidR="00A8218A" w:rsidRPr="00D33008">
        <w:t xml:space="preserve">Table </w:t>
      </w:r>
      <w:r>
        <w:fldChar w:fldCharType="end"/>
      </w:r>
      <w:r w:rsidR="00612812">
        <w:t>2-1</w:t>
      </w:r>
      <w:r w:rsidRPr="00D33008">
        <w:t>). The entities in this group have increased the level of first-year savings by 0.30% per year on average from their minimum to their maximum first-year savings levels (with a range of 0.10% per year to 0.63% per year).</w:t>
      </w:r>
      <w:r w:rsidRPr="00D33008">
        <w:rPr>
          <w:vertAlign w:val="superscript"/>
        </w:rPr>
        <w:footnoteReference w:id="45"/>
      </w:r>
      <w:r w:rsidRPr="00D33008">
        <w:t xml:space="preserve"> </w:t>
      </w:r>
    </w:p>
    <w:p w14:paraId="26280870" w14:textId="45401489" w:rsidR="00810FAC" w:rsidRPr="00D33008" w:rsidRDefault="00810FAC" w:rsidP="00810FAC">
      <w:pPr>
        <w:pStyle w:val="CH5BulletListlast"/>
      </w:pPr>
      <w:r w:rsidRPr="00D33008">
        <w:t xml:space="preserve">The “Top Saver 2%” group (savings between 1.5% and 3%) exhibits a trend that took or would take about 2.6 years on average to increase savings by 1% (with a range of 0.8 years to 7.3 years) (see </w:t>
      </w:r>
      <w:r>
        <w:t>Table 2-1).</w:t>
      </w:r>
      <w:r w:rsidRPr="00D33008">
        <w:t xml:space="preserve"> The entities in this group have increased the level of first-year savings by 0.38% per year on average from the minimum to the maximum first-year savings levels (with a range of 0.14% per year to 1.28% per year).</w:t>
      </w:r>
      <w:r w:rsidRPr="00D33008">
        <w:rPr>
          <w:vertAlign w:val="superscript"/>
        </w:rPr>
        <w:footnoteReference w:id="46"/>
      </w:r>
      <w:r w:rsidRPr="00D33008">
        <w:t xml:space="preserve"> </w:t>
      </w:r>
    </w:p>
    <w:p w14:paraId="68D8723F" w14:textId="4660AEF9" w:rsidR="00810FAC" w:rsidRPr="00D33008" w:rsidRDefault="00810FAC" w:rsidP="007838AF">
      <w:pPr>
        <w:pStyle w:val="CH5TableTitleappendix"/>
      </w:pPr>
      <w:bookmarkStart w:id="176" w:name="_Ref376697228"/>
      <w:bookmarkStart w:id="177" w:name="_Ref375317775"/>
      <w:r w:rsidRPr="00D33008">
        <w:t xml:space="preserve">Table </w:t>
      </w:r>
      <w:bookmarkEnd w:id="176"/>
      <w:bookmarkEnd w:id="177"/>
      <w:r>
        <w:t>2-1.</w:t>
      </w:r>
      <w:r w:rsidRPr="00D33008">
        <w:t xml:space="preserve"> Energy savings ramp-up trends in first-year savings </w:t>
      </w:r>
      <w:r>
        <w:br/>
      </w:r>
      <w:r w:rsidRPr="00D33008">
        <w:t>for “Top Saver 1%” and “Top Saver 2%” groups</w:t>
      </w:r>
    </w:p>
    <w:tbl>
      <w:tblPr>
        <w:tblW w:w="5000" w:type="pct"/>
        <w:jc w:val="center"/>
        <w:tblLook w:val="04A0" w:firstRow="1" w:lastRow="0" w:firstColumn="1" w:lastColumn="0" w:noHBand="0" w:noVBand="1"/>
      </w:tblPr>
      <w:tblGrid>
        <w:gridCol w:w="2428"/>
        <w:gridCol w:w="1737"/>
        <w:gridCol w:w="1821"/>
        <w:gridCol w:w="1644"/>
        <w:gridCol w:w="1720"/>
      </w:tblGrid>
      <w:tr w:rsidR="00810FAC" w:rsidRPr="00D33008" w14:paraId="31A9245C" w14:textId="77777777" w:rsidTr="0091274B">
        <w:trPr>
          <w:jc w:val="center"/>
        </w:trPr>
        <w:tc>
          <w:tcPr>
            <w:tcW w:w="1298"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bottom"/>
            <w:hideMark/>
          </w:tcPr>
          <w:p w14:paraId="52A3D89E" w14:textId="77777777" w:rsidR="00810FAC" w:rsidRPr="008838D6" w:rsidRDefault="00810FAC" w:rsidP="00810FAC">
            <w:pPr>
              <w:pStyle w:val="CH5TableText"/>
              <w:rPr>
                <w:b/>
                <w:lang w:eastAsia="ja-JP"/>
              </w:rPr>
            </w:pPr>
            <w:r w:rsidRPr="008838D6">
              <w:rPr>
                <w:b/>
                <w:lang w:eastAsia="ja-JP"/>
              </w:rPr>
              <w:t> </w:t>
            </w:r>
          </w:p>
        </w:tc>
        <w:tc>
          <w:tcPr>
            <w:tcW w:w="1903"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bottom"/>
            <w:hideMark/>
          </w:tcPr>
          <w:p w14:paraId="72B9F74B" w14:textId="77777777" w:rsidR="00810FAC" w:rsidRPr="008838D6" w:rsidRDefault="00810FAC" w:rsidP="00810FAC">
            <w:pPr>
              <w:pStyle w:val="CH5TableText"/>
              <w:rPr>
                <w:b/>
                <w:lang w:eastAsia="ja-JP"/>
              </w:rPr>
            </w:pPr>
            <w:r w:rsidRPr="008838D6">
              <w:rPr>
                <w:b/>
                <w:lang w:eastAsia="ja-JP"/>
              </w:rPr>
              <w:t>Top Saver 1%</w:t>
            </w:r>
          </w:p>
        </w:tc>
        <w:tc>
          <w:tcPr>
            <w:tcW w:w="1799" w:type="pct"/>
            <w:gridSpan w:val="2"/>
            <w:tcBorders>
              <w:top w:val="single" w:sz="4" w:space="0" w:color="auto"/>
              <w:left w:val="nil"/>
              <w:bottom w:val="single" w:sz="4" w:space="0" w:color="auto"/>
              <w:right w:val="single" w:sz="4" w:space="0" w:color="000000"/>
            </w:tcBorders>
            <w:shd w:val="clear" w:color="auto" w:fill="D9D9D9" w:themeFill="background1" w:themeFillShade="D9"/>
            <w:vAlign w:val="bottom"/>
            <w:hideMark/>
          </w:tcPr>
          <w:p w14:paraId="6350E68A" w14:textId="77777777" w:rsidR="00810FAC" w:rsidRPr="008838D6" w:rsidRDefault="00810FAC" w:rsidP="00810FAC">
            <w:pPr>
              <w:pStyle w:val="CH5TableText"/>
              <w:rPr>
                <w:b/>
                <w:lang w:eastAsia="ja-JP"/>
              </w:rPr>
            </w:pPr>
            <w:r w:rsidRPr="008838D6">
              <w:rPr>
                <w:b/>
                <w:lang w:eastAsia="ja-JP"/>
              </w:rPr>
              <w:t>Top Saver 2%</w:t>
            </w:r>
          </w:p>
        </w:tc>
      </w:tr>
      <w:tr w:rsidR="00810FAC" w:rsidRPr="00D33008" w14:paraId="0D1D9B39" w14:textId="77777777" w:rsidTr="0091274B">
        <w:trPr>
          <w:jc w:val="center"/>
        </w:trPr>
        <w:tc>
          <w:tcPr>
            <w:tcW w:w="1298" w:type="pct"/>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0E4AA4C" w14:textId="77777777" w:rsidR="00810FAC" w:rsidRPr="008838D6" w:rsidRDefault="00810FAC" w:rsidP="00810FAC">
            <w:pPr>
              <w:pStyle w:val="CH5TableText"/>
              <w:rPr>
                <w:b/>
                <w:lang w:eastAsia="ja-JP"/>
              </w:rPr>
            </w:pPr>
          </w:p>
        </w:tc>
        <w:tc>
          <w:tcPr>
            <w:tcW w:w="929" w:type="pct"/>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1F660D63" w14:textId="77777777" w:rsidR="00810FAC" w:rsidRPr="008838D6" w:rsidRDefault="00810FAC" w:rsidP="00810FAC">
            <w:pPr>
              <w:pStyle w:val="CH5TableText"/>
              <w:rPr>
                <w:b/>
                <w:lang w:eastAsia="ja-JP"/>
              </w:rPr>
            </w:pPr>
            <w:r w:rsidRPr="008838D6">
              <w:rPr>
                <w:b/>
                <w:lang w:eastAsia="ja-JP"/>
              </w:rPr>
              <w:t>Average Annual First-Year Savings Increase</w:t>
            </w:r>
          </w:p>
        </w:tc>
        <w:tc>
          <w:tcPr>
            <w:tcW w:w="974" w:type="pct"/>
            <w:tcBorders>
              <w:top w:val="nil"/>
              <w:left w:val="nil"/>
              <w:bottom w:val="single" w:sz="4" w:space="0" w:color="auto"/>
              <w:right w:val="single" w:sz="4" w:space="0" w:color="auto"/>
            </w:tcBorders>
            <w:shd w:val="clear" w:color="auto" w:fill="D9D9D9" w:themeFill="background1" w:themeFillShade="D9"/>
            <w:vAlign w:val="bottom"/>
            <w:hideMark/>
          </w:tcPr>
          <w:p w14:paraId="291C5865" w14:textId="77777777" w:rsidR="00810FAC" w:rsidRPr="008838D6" w:rsidRDefault="00810FAC" w:rsidP="00810FAC">
            <w:pPr>
              <w:pStyle w:val="CH5TableText"/>
              <w:rPr>
                <w:b/>
                <w:lang w:eastAsia="ja-JP"/>
              </w:rPr>
            </w:pPr>
            <w:r w:rsidRPr="008838D6">
              <w:rPr>
                <w:b/>
                <w:lang w:eastAsia="ja-JP"/>
              </w:rPr>
              <w:t>Estimated Years to Gain Incremental 1%</w:t>
            </w:r>
          </w:p>
        </w:tc>
        <w:tc>
          <w:tcPr>
            <w:tcW w:w="879" w:type="pct"/>
            <w:tcBorders>
              <w:top w:val="nil"/>
              <w:left w:val="nil"/>
              <w:bottom w:val="single" w:sz="4" w:space="0" w:color="auto"/>
              <w:right w:val="single" w:sz="4" w:space="0" w:color="auto"/>
            </w:tcBorders>
            <w:shd w:val="clear" w:color="auto" w:fill="D9D9D9" w:themeFill="background1" w:themeFillShade="D9"/>
            <w:vAlign w:val="bottom"/>
            <w:hideMark/>
          </w:tcPr>
          <w:p w14:paraId="3F77F4D5" w14:textId="77777777" w:rsidR="00810FAC" w:rsidRPr="008838D6" w:rsidRDefault="00810FAC" w:rsidP="00810FAC">
            <w:pPr>
              <w:pStyle w:val="CH5TableText"/>
              <w:rPr>
                <w:b/>
                <w:lang w:eastAsia="ja-JP"/>
              </w:rPr>
            </w:pPr>
            <w:r w:rsidRPr="008838D6">
              <w:rPr>
                <w:b/>
                <w:lang w:eastAsia="ja-JP"/>
              </w:rPr>
              <w:t>Average Annual First-Year Savings Increase</w:t>
            </w:r>
          </w:p>
        </w:tc>
        <w:tc>
          <w:tcPr>
            <w:tcW w:w="920" w:type="pct"/>
            <w:tcBorders>
              <w:top w:val="nil"/>
              <w:left w:val="nil"/>
              <w:bottom w:val="single" w:sz="4" w:space="0" w:color="auto"/>
              <w:right w:val="single" w:sz="4" w:space="0" w:color="auto"/>
            </w:tcBorders>
            <w:shd w:val="clear" w:color="auto" w:fill="D9D9D9" w:themeFill="background1" w:themeFillShade="D9"/>
            <w:vAlign w:val="bottom"/>
            <w:hideMark/>
          </w:tcPr>
          <w:p w14:paraId="77F8568F" w14:textId="77777777" w:rsidR="00810FAC" w:rsidRPr="008838D6" w:rsidRDefault="00810FAC" w:rsidP="00810FAC">
            <w:pPr>
              <w:pStyle w:val="CH5TableText"/>
              <w:rPr>
                <w:b/>
                <w:lang w:eastAsia="ja-JP"/>
              </w:rPr>
            </w:pPr>
            <w:r w:rsidRPr="008838D6">
              <w:rPr>
                <w:b/>
                <w:lang w:eastAsia="ja-JP"/>
              </w:rPr>
              <w:t>Estimated Years to Gain Incremental 1%</w:t>
            </w:r>
          </w:p>
        </w:tc>
      </w:tr>
      <w:tr w:rsidR="00810FAC" w:rsidRPr="00D33008" w14:paraId="33F03F0F" w14:textId="77777777" w:rsidTr="0091274B">
        <w:trPr>
          <w:trHeight w:val="345"/>
          <w:jc w:val="center"/>
        </w:trPr>
        <w:tc>
          <w:tcPr>
            <w:tcW w:w="1298" w:type="pct"/>
            <w:tcBorders>
              <w:top w:val="single" w:sz="4" w:space="0" w:color="auto"/>
              <w:left w:val="single" w:sz="4" w:space="0" w:color="auto"/>
              <w:bottom w:val="single" w:sz="4" w:space="0" w:color="auto"/>
              <w:right w:val="single" w:sz="4" w:space="0" w:color="auto"/>
            </w:tcBorders>
            <w:noWrap/>
            <w:vAlign w:val="bottom"/>
            <w:hideMark/>
          </w:tcPr>
          <w:p w14:paraId="43D88324" w14:textId="77777777" w:rsidR="00810FAC" w:rsidRPr="008838D6" w:rsidRDefault="00810FAC" w:rsidP="00810FAC">
            <w:pPr>
              <w:pStyle w:val="CH5TableText"/>
              <w:rPr>
                <w:b/>
                <w:color w:val="000000"/>
                <w:lang w:eastAsia="ja-JP"/>
              </w:rPr>
            </w:pPr>
            <w:r w:rsidRPr="008838D6">
              <w:rPr>
                <w:b/>
                <w:color w:val="000000"/>
                <w:lang w:eastAsia="ja-JP"/>
              </w:rPr>
              <w:t>Average</w:t>
            </w:r>
          </w:p>
        </w:tc>
        <w:tc>
          <w:tcPr>
            <w:tcW w:w="929" w:type="pct"/>
            <w:tcBorders>
              <w:top w:val="nil"/>
              <w:left w:val="nil"/>
              <w:bottom w:val="single" w:sz="4" w:space="0" w:color="auto"/>
              <w:right w:val="single" w:sz="4" w:space="0" w:color="auto"/>
            </w:tcBorders>
            <w:noWrap/>
            <w:vAlign w:val="bottom"/>
            <w:hideMark/>
          </w:tcPr>
          <w:p w14:paraId="642BE713" w14:textId="77777777" w:rsidR="00810FAC" w:rsidRPr="008838D6" w:rsidRDefault="00810FAC" w:rsidP="00810FAC">
            <w:pPr>
              <w:pStyle w:val="CH5TableText"/>
              <w:rPr>
                <w:b/>
                <w:color w:val="000000"/>
                <w:lang w:eastAsia="ja-JP"/>
              </w:rPr>
            </w:pPr>
            <w:r w:rsidRPr="008838D6">
              <w:rPr>
                <w:b/>
                <w:color w:val="000000"/>
                <w:lang w:eastAsia="ja-JP"/>
              </w:rPr>
              <w:t>0.30%</w:t>
            </w:r>
          </w:p>
        </w:tc>
        <w:tc>
          <w:tcPr>
            <w:tcW w:w="974" w:type="pct"/>
            <w:tcBorders>
              <w:top w:val="nil"/>
              <w:left w:val="nil"/>
              <w:bottom w:val="single" w:sz="4" w:space="0" w:color="auto"/>
              <w:right w:val="single" w:sz="4" w:space="0" w:color="auto"/>
            </w:tcBorders>
            <w:noWrap/>
            <w:vAlign w:val="bottom"/>
            <w:hideMark/>
          </w:tcPr>
          <w:p w14:paraId="034CAC6E" w14:textId="77777777" w:rsidR="00810FAC" w:rsidRPr="008838D6" w:rsidRDefault="00810FAC" w:rsidP="00810FAC">
            <w:pPr>
              <w:pStyle w:val="CH5TableText"/>
              <w:rPr>
                <w:b/>
                <w:color w:val="000000"/>
                <w:lang w:eastAsia="ja-JP"/>
              </w:rPr>
            </w:pPr>
            <w:r w:rsidRPr="008838D6">
              <w:rPr>
                <w:b/>
                <w:color w:val="000000"/>
                <w:lang w:eastAsia="ja-JP"/>
              </w:rPr>
              <w:t>3.4</w:t>
            </w:r>
          </w:p>
        </w:tc>
        <w:tc>
          <w:tcPr>
            <w:tcW w:w="879" w:type="pct"/>
            <w:tcBorders>
              <w:top w:val="nil"/>
              <w:left w:val="nil"/>
              <w:bottom w:val="single" w:sz="4" w:space="0" w:color="auto"/>
              <w:right w:val="single" w:sz="4" w:space="0" w:color="auto"/>
            </w:tcBorders>
            <w:noWrap/>
            <w:vAlign w:val="bottom"/>
            <w:hideMark/>
          </w:tcPr>
          <w:p w14:paraId="2F7FBA59" w14:textId="77777777" w:rsidR="00810FAC" w:rsidRPr="008838D6" w:rsidRDefault="00810FAC" w:rsidP="00810FAC">
            <w:pPr>
              <w:pStyle w:val="CH5TableText"/>
              <w:rPr>
                <w:b/>
                <w:color w:val="000000"/>
                <w:lang w:eastAsia="ja-JP"/>
              </w:rPr>
            </w:pPr>
            <w:r w:rsidRPr="008838D6">
              <w:rPr>
                <w:b/>
                <w:color w:val="000000"/>
                <w:lang w:eastAsia="ja-JP"/>
              </w:rPr>
              <w:t>0.38%</w:t>
            </w:r>
          </w:p>
        </w:tc>
        <w:tc>
          <w:tcPr>
            <w:tcW w:w="920" w:type="pct"/>
            <w:tcBorders>
              <w:top w:val="nil"/>
              <w:left w:val="nil"/>
              <w:bottom w:val="single" w:sz="4" w:space="0" w:color="auto"/>
              <w:right w:val="single" w:sz="4" w:space="0" w:color="auto"/>
            </w:tcBorders>
            <w:noWrap/>
            <w:vAlign w:val="bottom"/>
            <w:hideMark/>
          </w:tcPr>
          <w:p w14:paraId="521CBFA0" w14:textId="77777777" w:rsidR="00810FAC" w:rsidRPr="008838D6" w:rsidRDefault="00810FAC" w:rsidP="00810FAC">
            <w:pPr>
              <w:pStyle w:val="CH5TableText"/>
              <w:rPr>
                <w:b/>
                <w:color w:val="000000"/>
                <w:lang w:eastAsia="ja-JP"/>
              </w:rPr>
            </w:pPr>
            <w:r w:rsidRPr="008838D6">
              <w:rPr>
                <w:b/>
                <w:color w:val="000000"/>
                <w:lang w:eastAsia="ja-JP"/>
              </w:rPr>
              <w:t>2.6</w:t>
            </w:r>
          </w:p>
        </w:tc>
      </w:tr>
      <w:tr w:rsidR="00810FAC" w:rsidRPr="00D33008" w14:paraId="3A052733" w14:textId="77777777" w:rsidTr="0091274B">
        <w:trPr>
          <w:trHeight w:val="345"/>
          <w:jc w:val="center"/>
        </w:trPr>
        <w:tc>
          <w:tcPr>
            <w:tcW w:w="1298" w:type="pct"/>
            <w:tcBorders>
              <w:top w:val="nil"/>
              <w:left w:val="single" w:sz="4" w:space="0" w:color="auto"/>
              <w:bottom w:val="single" w:sz="4" w:space="0" w:color="auto"/>
              <w:right w:val="single" w:sz="4" w:space="0" w:color="auto"/>
            </w:tcBorders>
            <w:noWrap/>
            <w:vAlign w:val="bottom"/>
            <w:hideMark/>
          </w:tcPr>
          <w:p w14:paraId="22AFE570" w14:textId="77777777" w:rsidR="00810FAC" w:rsidRPr="008838D6" w:rsidRDefault="00810FAC" w:rsidP="00810FAC">
            <w:pPr>
              <w:pStyle w:val="CH5TableText"/>
              <w:rPr>
                <w:b/>
                <w:color w:val="000000"/>
                <w:lang w:eastAsia="ja-JP"/>
              </w:rPr>
            </w:pPr>
            <w:r w:rsidRPr="008838D6">
              <w:rPr>
                <w:b/>
                <w:color w:val="000000"/>
                <w:lang w:eastAsia="ja-JP"/>
              </w:rPr>
              <w:t>Median</w:t>
            </w:r>
          </w:p>
        </w:tc>
        <w:tc>
          <w:tcPr>
            <w:tcW w:w="929" w:type="pct"/>
            <w:tcBorders>
              <w:top w:val="nil"/>
              <w:left w:val="nil"/>
              <w:bottom w:val="single" w:sz="4" w:space="0" w:color="auto"/>
              <w:right w:val="single" w:sz="4" w:space="0" w:color="auto"/>
            </w:tcBorders>
            <w:noWrap/>
            <w:vAlign w:val="bottom"/>
            <w:hideMark/>
          </w:tcPr>
          <w:p w14:paraId="5101BC00" w14:textId="77777777" w:rsidR="00810FAC" w:rsidRPr="008838D6" w:rsidRDefault="00810FAC" w:rsidP="00810FAC">
            <w:pPr>
              <w:pStyle w:val="CH5TableText"/>
              <w:rPr>
                <w:b/>
                <w:color w:val="000000"/>
                <w:lang w:eastAsia="ja-JP"/>
              </w:rPr>
            </w:pPr>
            <w:r w:rsidRPr="008838D6">
              <w:rPr>
                <w:b/>
                <w:color w:val="000000"/>
                <w:lang w:eastAsia="ja-JP"/>
              </w:rPr>
              <w:t>0.29%</w:t>
            </w:r>
          </w:p>
        </w:tc>
        <w:tc>
          <w:tcPr>
            <w:tcW w:w="974" w:type="pct"/>
            <w:tcBorders>
              <w:top w:val="nil"/>
              <w:left w:val="nil"/>
              <w:bottom w:val="single" w:sz="4" w:space="0" w:color="auto"/>
              <w:right w:val="single" w:sz="4" w:space="0" w:color="auto"/>
            </w:tcBorders>
            <w:noWrap/>
            <w:vAlign w:val="bottom"/>
            <w:hideMark/>
          </w:tcPr>
          <w:p w14:paraId="4A961C53" w14:textId="77777777" w:rsidR="00810FAC" w:rsidRPr="008838D6" w:rsidRDefault="00810FAC" w:rsidP="00810FAC">
            <w:pPr>
              <w:pStyle w:val="CH5TableText"/>
              <w:rPr>
                <w:b/>
                <w:color w:val="000000"/>
                <w:lang w:eastAsia="ja-JP"/>
              </w:rPr>
            </w:pPr>
            <w:r w:rsidRPr="008838D6">
              <w:rPr>
                <w:b/>
                <w:color w:val="000000"/>
                <w:lang w:eastAsia="ja-JP"/>
              </w:rPr>
              <w:t>3.4</w:t>
            </w:r>
          </w:p>
        </w:tc>
        <w:tc>
          <w:tcPr>
            <w:tcW w:w="879" w:type="pct"/>
            <w:tcBorders>
              <w:top w:val="nil"/>
              <w:left w:val="nil"/>
              <w:bottom w:val="single" w:sz="4" w:space="0" w:color="auto"/>
              <w:right w:val="single" w:sz="4" w:space="0" w:color="auto"/>
            </w:tcBorders>
            <w:noWrap/>
            <w:vAlign w:val="bottom"/>
            <w:hideMark/>
          </w:tcPr>
          <w:p w14:paraId="7BC96B33" w14:textId="77777777" w:rsidR="00810FAC" w:rsidRPr="008838D6" w:rsidRDefault="00810FAC" w:rsidP="00810FAC">
            <w:pPr>
              <w:pStyle w:val="CH5TableText"/>
              <w:rPr>
                <w:b/>
                <w:color w:val="000000"/>
                <w:lang w:eastAsia="ja-JP"/>
              </w:rPr>
            </w:pPr>
            <w:r w:rsidRPr="008838D6">
              <w:rPr>
                <w:b/>
                <w:color w:val="000000"/>
                <w:lang w:eastAsia="ja-JP"/>
              </w:rPr>
              <w:t>0.34%</w:t>
            </w:r>
          </w:p>
        </w:tc>
        <w:tc>
          <w:tcPr>
            <w:tcW w:w="920" w:type="pct"/>
            <w:tcBorders>
              <w:top w:val="nil"/>
              <w:left w:val="nil"/>
              <w:bottom w:val="single" w:sz="4" w:space="0" w:color="auto"/>
              <w:right w:val="single" w:sz="4" w:space="0" w:color="auto"/>
            </w:tcBorders>
            <w:noWrap/>
            <w:vAlign w:val="bottom"/>
            <w:hideMark/>
          </w:tcPr>
          <w:p w14:paraId="79227591" w14:textId="77777777" w:rsidR="00810FAC" w:rsidRPr="008838D6" w:rsidRDefault="00810FAC" w:rsidP="00810FAC">
            <w:pPr>
              <w:pStyle w:val="CH5TableText"/>
              <w:rPr>
                <w:b/>
                <w:color w:val="000000"/>
                <w:lang w:eastAsia="ja-JP"/>
              </w:rPr>
            </w:pPr>
            <w:r w:rsidRPr="008838D6">
              <w:rPr>
                <w:b/>
                <w:color w:val="000000"/>
                <w:lang w:eastAsia="ja-JP"/>
              </w:rPr>
              <w:t>3.0</w:t>
            </w:r>
          </w:p>
        </w:tc>
      </w:tr>
      <w:tr w:rsidR="00810FAC" w:rsidRPr="00D33008" w14:paraId="09C7D3F2" w14:textId="77777777" w:rsidTr="0091274B">
        <w:trPr>
          <w:trHeight w:val="345"/>
          <w:jc w:val="center"/>
        </w:trPr>
        <w:tc>
          <w:tcPr>
            <w:tcW w:w="1298" w:type="pct"/>
            <w:tcBorders>
              <w:top w:val="nil"/>
              <w:left w:val="single" w:sz="4" w:space="0" w:color="auto"/>
              <w:bottom w:val="single" w:sz="4" w:space="0" w:color="auto"/>
              <w:right w:val="single" w:sz="4" w:space="0" w:color="auto"/>
            </w:tcBorders>
            <w:noWrap/>
            <w:vAlign w:val="bottom"/>
            <w:hideMark/>
          </w:tcPr>
          <w:p w14:paraId="72BD9C2D" w14:textId="77777777" w:rsidR="00810FAC" w:rsidRPr="00D33008" w:rsidRDefault="00810FAC" w:rsidP="00810FAC">
            <w:pPr>
              <w:pStyle w:val="CH5TableText"/>
              <w:rPr>
                <w:color w:val="000000"/>
                <w:lang w:eastAsia="ja-JP"/>
              </w:rPr>
            </w:pPr>
            <w:r w:rsidRPr="00D33008">
              <w:rPr>
                <w:color w:val="000000"/>
                <w:lang w:eastAsia="ja-JP"/>
              </w:rPr>
              <w:t>Max</w:t>
            </w:r>
          </w:p>
        </w:tc>
        <w:tc>
          <w:tcPr>
            <w:tcW w:w="929" w:type="pct"/>
            <w:tcBorders>
              <w:top w:val="nil"/>
              <w:left w:val="nil"/>
              <w:bottom w:val="single" w:sz="4" w:space="0" w:color="auto"/>
              <w:right w:val="single" w:sz="4" w:space="0" w:color="auto"/>
            </w:tcBorders>
            <w:noWrap/>
            <w:vAlign w:val="bottom"/>
            <w:hideMark/>
          </w:tcPr>
          <w:p w14:paraId="6F1D6394" w14:textId="77777777" w:rsidR="00810FAC" w:rsidRPr="00D33008" w:rsidRDefault="00810FAC" w:rsidP="00810FAC">
            <w:pPr>
              <w:pStyle w:val="CH5TableText"/>
              <w:rPr>
                <w:color w:val="000000"/>
                <w:lang w:eastAsia="ja-JP"/>
              </w:rPr>
            </w:pPr>
            <w:r w:rsidRPr="00D33008">
              <w:rPr>
                <w:color w:val="000000"/>
                <w:lang w:eastAsia="ja-JP"/>
              </w:rPr>
              <w:t>0.63%</w:t>
            </w:r>
          </w:p>
        </w:tc>
        <w:tc>
          <w:tcPr>
            <w:tcW w:w="974" w:type="pct"/>
            <w:tcBorders>
              <w:top w:val="nil"/>
              <w:left w:val="nil"/>
              <w:bottom w:val="single" w:sz="4" w:space="0" w:color="auto"/>
              <w:right w:val="single" w:sz="4" w:space="0" w:color="auto"/>
            </w:tcBorders>
            <w:noWrap/>
            <w:vAlign w:val="bottom"/>
            <w:hideMark/>
          </w:tcPr>
          <w:p w14:paraId="55822112" w14:textId="77777777" w:rsidR="00810FAC" w:rsidRPr="00D33008" w:rsidRDefault="00810FAC" w:rsidP="00810FAC">
            <w:pPr>
              <w:pStyle w:val="CH5TableText"/>
              <w:rPr>
                <w:color w:val="000000"/>
                <w:lang w:eastAsia="ja-JP"/>
              </w:rPr>
            </w:pPr>
            <w:r w:rsidRPr="00D33008">
              <w:rPr>
                <w:color w:val="000000"/>
                <w:lang w:eastAsia="ja-JP"/>
              </w:rPr>
              <w:t>1.6</w:t>
            </w:r>
          </w:p>
        </w:tc>
        <w:tc>
          <w:tcPr>
            <w:tcW w:w="879" w:type="pct"/>
            <w:tcBorders>
              <w:top w:val="nil"/>
              <w:left w:val="nil"/>
              <w:bottom w:val="single" w:sz="4" w:space="0" w:color="auto"/>
              <w:right w:val="single" w:sz="4" w:space="0" w:color="auto"/>
            </w:tcBorders>
            <w:noWrap/>
            <w:vAlign w:val="bottom"/>
            <w:hideMark/>
          </w:tcPr>
          <w:p w14:paraId="7C3B9690" w14:textId="77777777" w:rsidR="00810FAC" w:rsidRPr="00D33008" w:rsidRDefault="00810FAC" w:rsidP="00810FAC">
            <w:pPr>
              <w:pStyle w:val="CH5TableText"/>
              <w:rPr>
                <w:color w:val="000000"/>
                <w:lang w:eastAsia="ja-JP"/>
              </w:rPr>
            </w:pPr>
            <w:r w:rsidRPr="00D33008">
              <w:rPr>
                <w:color w:val="000000"/>
                <w:lang w:eastAsia="ja-JP"/>
              </w:rPr>
              <w:t>1.28%</w:t>
            </w:r>
          </w:p>
        </w:tc>
        <w:tc>
          <w:tcPr>
            <w:tcW w:w="920" w:type="pct"/>
            <w:tcBorders>
              <w:top w:val="nil"/>
              <w:left w:val="nil"/>
              <w:bottom w:val="single" w:sz="4" w:space="0" w:color="auto"/>
              <w:right w:val="single" w:sz="4" w:space="0" w:color="auto"/>
            </w:tcBorders>
            <w:noWrap/>
            <w:vAlign w:val="bottom"/>
            <w:hideMark/>
          </w:tcPr>
          <w:p w14:paraId="150C0927" w14:textId="77777777" w:rsidR="00810FAC" w:rsidRPr="00D33008" w:rsidRDefault="00810FAC" w:rsidP="00810FAC">
            <w:pPr>
              <w:pStyle w:val="CH5TableText"/>
              <w:rPr>
                <w:color w:val="000000"/>
                <w:lang w:eastAsia="ja-JP"/>
              </w:rPr>
            </w:pPr>
            <w:r w:rsidRPr="00D33008">
              <w:rPr>
                <w:color w:val="000000"/>
                <w:lang w:eastAsia="ja-JP"/>
              </w:rPr>
              <w:t>0.8</w:t>
            </w:r>
          </w:p>
        </w:tc>
      </w:tr>
      <w:tr w:rsidR="00810FAC" w:rsidRPr="00D33008" w14:paraId="03267F29" w14:textId="77777777" w:rsidTr="0091274B">
        <w:trPr>
          <w:trHeight w:val="345"/>
          <w:jc w:val="center"/>
        </w:trPr>
        <w:tc>
          <w:tcPr>
            <w:tcW w:w="1298" w:type="pct"/>
            <w:tcBorders>
              <w:top w:val="nil"/>
              <w:left w:val="single" w:sz="4" w:space="0" w:color="auto"/>
              <w:bottom w:val="single" w:sz="4" w:space="0" w:color="auto"/>
              <w:right w:val="single" w:sz="4" w:space="0" w:color="auto"/>
            </w:tcBorders>
            <w:noWrap/>
            <w:vAlign w:val="bottom"/>
            <w:hideMark/>
          </w:tcPr>
          <w:p w14:paraId="521A95EC" w14:textId="77777777" w:rsidR="00810FAC" w:rsidRPr="00D33008" w:rsidRDefault="00810FAC" w:rsidP="00810FAC">
            <w:pPr>
              <w:pStyle w:val="CH5TableText"/>
              <w:rPr>
                <w:color w:val="000000"/>
                <w:lang w:eastAsia="ja-JP"/>
              </w:rPr>
            </w:pPr>
            <w:r w:rsidRPr="00D33008">
              <w:rPr>
                <w:color w:val="000000"/>
                <w:lang w:eastAsia="ja-JP"/>
              </w:rPr>
              <w:t>Min</w:t>
            </w:r>
          </w:p>
        </w:tc>
        <w:tc>
          <w:tcPr>
            <w:tcW w:w="929" w:type="pct"/>
            <w:tcBorders>
              <w:top w:val="nil"/>
              <w:left w:val="nil"/>
              <w:bottom w:val="single" w:sz="4" w:space="0" w:color="auto"/>
              <w:right w:val="single" w:sz="4" w:space="0" w:color="auto"/>
            </w:tcBorders>
            <w:noWrap/>
            <w:vAlign w:val="bottom"/>
            <w:hideMark/>
          </w:tcPr>
          <w:p w14:paraId="60F6629D" w14:textId="77777777" w:rsidR="00810FAC" w:rsidRPr="00D33008" w:rsidRDefault="00810FAC" w:rsidP="00810FAC">
            <w:pPr>
              <w:pStyle w:val="CH5TableText"/>
              <w:rPr>
                <w:color w:val="000000"/>
                <w:lang w:eastAsia="ja-JP"/>
              </w:rPr>
            </w:pPr>
            <w:r w:rsidRPr="00D33008">
              <w:rPr>
                <w:color w:val="000000"/>
                <w:lang w:eastAsia="ja-JP"/>
              </w:rPr>
              <w:t>0.10%</w:t>
            </w:r>
          </w:p>
        </w:tc>
        <w:tc>
          <w:tcPr>
            <w:tcW w:w="974" w:type="pct"/>
            <w:tcBorders>
              <w:top w:val="nil"/>
              <w:left w:val="nil"/>
              <w:bottom w:val="single" w:sz="4" w:space="0" w:color="auto"/>
              <w:right w:val="single" w:sz="4" w:space="0" w:color="auto"/>
            </w:tcBorders>
            <w:noWrap/>
            <w:vAlign w:val="bottom"/>
            <w:hideMark/>
          </w:tcPr>
          <w:p w14:paraId="6731FFBE" w14:textId="77777777" w:rsidR="00810FAC" w:rsidRPr="00D33008" w:rsidRDefault="00810FAC" w:rsidP="00810FAC">
            <w:pPr>
              <w:pStyle w:val="CH5TableText"/>
              <w:rPr>
                <w:color w:val="000000"/>
                <w:lang w:eastAsia="ja-JP"/>
              </w:rPr>
            </w:pPr>
            <w:r w:rsidRPr="00D33008">
              <w:rPr>
                <w:color w:val="000000"/>
                <w:lang w:eastAsia="ja-JP"/>
              </w:rPr>
              <w:t>10</w:t>
            </w:r>
          </w:p>
        </w:tc>
        <w:tc>
          <w:tcPr>
            <w:tcW w:w="879" w:type="pct"/>
            <w:tcBorders>
              <w:top w:val="nil"/>
              <w:left w:val="nil"/>
              <w:bottom w:val="single" w:sz="4" w:space="0" w:color="auto"/>
              <w:right w:val="single" w:sz="4" w:space="0" w:color="auto"/>
            </w:tcBorders>
            <w:noWrap/>
            <w:vAlign w:val="bottom"/>
            <w:hideMark/>
          </w:tcPr>
          <w:p w14:paraId="042D0CA5" w14:textId="77777777" w:rsidR="00810FAC" w:rsidRPr="00D33008" w:rsidRDefault="00810FAC" w:rsidP="00810FAC">
            <w:pPr>
              <w:pStyle w:val="CH5TableText"/>
              <w:rPr>
                <w:color w:val="000000"/>
                <w:lang w:eastAsia="ja-JP"/>
              </w:rPr>
            </w:pPr>
            <w:r w:rsidRPr="00D33008">
              <w:rPr>
                <w:color w:val="000000"/>
                <w:lang w:eastAsia="ja-JP"/>
              </w:rPr>
              <w:t>0.14%</w:t>
            </w:r>
          </w:p>
        </w:tc>
        <w:tc>
          <w:tcPr>
            <w:tcW w:w="920" w:type="pct"/>
            <w:tcBorders>
              <w:top w:val="nil"/>
              <w:left w:val="nil"/>
              <w:bottom w:val="single" w:sz="4" w:space="0" w:color="auto"/>
              <w:right w:val="single" w:sz="4" w:space="0" w:color="auto"/>
            </w:tcBorders>
            <w:noWrap/>
            <w:vAlign w:val="bottom"/>
            <w:hideMark/>
          </w:tcPr>
          <w:p w14:paraId="4F4AC9A4" w14:textId="77777777" w:rsidR="00810FAC" w:rsidRPr="00D33008" w:rsidRDefault="00810FAC" w:rsidP="00810FAC">
            <w:pPr>
              <w:pStyle w:val="CH5TableText"/>
              <w:rPr>
                <w:color w:val="000000"/>
                <w:lang w:eastAsia="ja-JP"/>
              </w:rPr>
            </w:pPr>
            <w:r w:rsidRPr="00D33008">
              <w:rPr>
                <w:color w:val="000000"/>
                <w:lang w:eastAsia="ja-JP"/>
              </w:rPr>
              <w:t>7.3</w:t>
            </w:r>
          </w:p>
        </w:tc>
      </w:tr>
      <w:tr w:rsidR="00810FAC" w:rsidRPr="00D33008" w14:paraId="1FE24215" w14:textId="77777777" w:rsidTr="0091274B">
        <w:trPr>
          <w:trHeight w:val="345"/>
          <w:jc w:val="center"/>
        </w:trPr>
        <w:tc>
          <w:tcPr>
            <w:tcW w:w="1298" w:type="pct"/>
            <w:tcBorders>
              <w:top w:val="nil"/>
              <w:left w:val="single" w:sz="4" w:space="0" w:color="auto"/>
              <w:bottom w:val="single" w:sz="4" w:space="0" w:color="auto"/>
              <w:right w:val="single" w:sz="4" w:space="0" w:color="auto"/>
            </w:tcBorders>
            <w:noWrap/>
            <w:vAlign w:val="bottom"/>
            <w:hideMark/>
          </w:tcPr>
          <w:p w14:paraId="76E8EE8E" w14:textId="77777777" w:rsidR="00810FAC" w:rsidRPr="00D33008" w:rsidRDefault="00810FAC" w:rsidP="00810FAC">
            <w:pPr>
              <w:pStyle w:val="CH5TableText"/>
              <w:rPr>
                <w:color w:val="000000"/>
                <w:lang w:eastAsia="ja-JP"/>
              </w:rPr>
            </w:pPr>
            <w:r w:rsidRPr="00D33008">
              <w:rPr>
                <w:color w:val="000000"/>
                <w:lang w:eastAsia="ja-JP"/>
              </w:rPr>
              <w:t># of sample entities</w:t>
            </w:r>
          </w:p>
        </w:tc>
        <w:tc>
          <w:tcPr>
            <w:tcW w:w="1903" w:type="pct"/>
            <w:gridSpan w:val="2"/>
            <w:tcBorders>
              <w:top w:val="single" w:sz="4" w:space="0" w:color="auto"/>
              <w:left w:val="nil"/>
              <w:bottom w:val="single" w:sz="4" w:space="0" w:color="auto"/>
              <w:right w:val="single" w:sz="4" w:space="0" w:color="000000"/>
            </w:tcBorders>
            <w:noWrap/>
            <w:vAlign w:val="bottom"/>
            <w:hideMark/>
          </w:tcPr>
          <w:p w14:paraId="6114B34D" w14:textId="77777777" w:rsidR="00810FAC" w:rsidRPr="00D33008" w:rsidRDefault="00810FAC" w:rsidP="00810FAC">
            <w:pPr>
              <w:pStyle w:val="CH5TableText"/>
              <w:rPr>
                <w:color w:val="000000"/>
                <w:lang w:eastAsia="ja-JP"/>
              </w:rPr>
            </w:pPr>
            <w:r w:rsidRPr="00D33008">
              <w:rPr>
                <w:color w:val="000000"/>
                <w:lang w:eastAsia="ja-JP"/>
              </w:rPr>
              <w:t>47</w:t>
            </w:r>
          </w:p>
        </w:tc>
        <w:tc>
          <w:tcPr>
            <w:tcW w:w="1799" w:type="pct"/>
            <w:gridSpan w:val="2"/>
            <w:tcBorders>
              <w:top w:val="single" w:sz="4" w:space="0" w:color="auto"/>
              <w:left w:val="nil"/>
              <w:bottom w:val="single" w:sz="4" w:space="0" w:color="auto"/>
              <w:right w:val="single" w:sz="4" w:space="0" w:color="000000"/>
            </w:tcBorders>
            <w:noWrap/>
            <w:vAlign w:val="bottom"/>
            <w:hideMark/>
          </w:tcPr>
          <w:p w14:paraId="722F6929" w14:textId="77777777" w:rsidR="00810FAC" w:rsidRPr="00D33008" w:rsidRDefault="00810FAC" w:rsidP="00810FAC">
            <w:pPr>
              <w:pStyle w:val="CH5TableText"/>
              <w:rPr>
                <w:color w:val="000000"/>
                <w:lang w:eastAsia="ja-JP"/>
              </w:rPr>
            </w:pPr>
            <w:r w:rsidRPr="00D33008">
              <w:rPr>
                <w:color w:val="000000"/>
                <w:lang w:eastAsia="ja-JP"/>
              </w:rPr>
              <w:t>26</w:t>
            </w:r>
          </w:p>
        </w:tc>
      </w:tr>
    </w:tbl>
    <w:p w14:paraId="460DE097" w14:textId="036087D6" w:rsidR="00810FAC" w:rsidRDefault="00810FAC" w:rsidP="00CF0D49">
      <w:pPr>
        <w:pStyle w:val="CH5TableSource"/>
        <w:rPr>
          <w:vertAlign w:val="superscript"/>
        </w:rPr>
      </w:pPr>
      <w:r w:rsidRPr="00885ACB">
        <w:t>Sources: EIA 2012</w:t>
      </w:r>
      <w:r w:rsidR="00EF26C5">
        <w:t>a</w:t>
      </w:r>
      <w:r w:rsidRPr="00885ACB">
        <w:t xml:space="preserve"> and third-party program administrator data</w:t>
      </w:r>
      <w:r w:rsidRPr="00885ACB">
        <w:rPr>
          <w:vertAlign w:val="superscript"/>
        </w:rPr>
        <w:t xml:space="preserve"> </w:t>
      </w:r>
      <w:r w:rsidRPr="00885ACB">
        <w:rPr>
          <w:vertAlign w:val="superscript"/>
        </w:rPr>
        <w:footnoteReference w:id="47"/>
      </w:r>
    </w:p>
    <w:p w14:paraId="1D6DED34" w14:textId="77777777" w:rsidR="00810FAC" w:rsidRPr="00D33008" w:rsidRDefault="00810FAC" w:rsidP="00810FAC">
      <w:pPr>
        <w:pStyle w:val="CH5BodyText"/>
      </w:pPr>
      <w:r w:rsidRPr="00D33008">
        <w:t xml:space="preserve">Our research findings on incremental electricity savings ramp-up based on </w:t>
      </w:r>
      <w:r w:rsidRPr="00D33008">
        <w:rPr>
          <w:u w:val="single"/>
        </w:rPr>
        <w:t>existing</w:t>
      </w:r>
      <w:r w:rsidRPr="00D33008">
        <w:t xml:space="preserve"> state EERS policies are:</w:t>
      </w:r>
    </w:p>
    <w:p w14:paraId="1D31B065" w14:textId="29F05ECC" w:rsidR="00810FAC" w:rsidRPr="00D33008" w:rsidRDefault="00810FAC" w:rsidP="00810FAC">
      <w:pPr>
        <w:pStyle w:val="CH5BulletList"/>
      </w:pPr>
      <w:r w:rsidRPr="00D33008">
        <w:lastRenderedPageBreak/>
        <w:t xml:space="preserve">The states with EERS policies which exhibit savings ramp-up schedules are requiring increases in first-year energy savings at a pace that ranges from 0.11% (Colorado and Oregon) to 0.40% (Rhode Island) as shown in Table </w:t>
      </w:r>
      <w:r>
        <w:t>2-</w:t>
      </w:r>
      <w:r w:rsidRPr="00D33008">
        <w:t xml:space="preserve">2. </w:t>
      </w:r>
    </w:p>
    <w:p w14:paraId="1648D7A1" w14:textId="77777777" w:rsidR="00810FAC" w:rsidRPr="00D33008" w:rsidRDefault="00810FAC" w:rsidP="00810FAC">
      <w:pPr>
        <w:pStyle w:val="CH5BulletListlast"/>
      </w:pPr>
      <w:r w:rsidRPr="00D33008">
        <w:t>The first-year savings pace of increase averages 0.21% per year across the 10 states. This savings level translates to about 4.7 years to achieve an incremental 1% first-year savings increase.</w:t>
      </w:r>
    </w:p>
    <w:p w14:paraId="0384F32A" w14:textId="05718DC2" w:rsidR="00810FAC" w:rsidRPr="00D33008" w:rsidRDefault="00810FAC" w:rsidP="007838AF">
      <w:pPr>
        <w:pStyle w:val="CH5TableTitleappendix"/>
      </w:pPr>
      <w:bookmarkStart w:id="178" w:name="_Ref376211229"/>
      <w:r w:rsidRPr="00D33008">
        <w:t xml:space="preserve">Table </w:t>
      </w:r>
      <w:r>
        <w:t>2-2</w:t>
      </w:r>
      <w:bookmarkEnd w:id="178"/>
      <w:r w:rsidRPr="00D33008">
        <w:t>. First-Year Energy Savings Ramp-up Review of State EERS Policies</w:t>
      </w:r>
    </w:p>
    <w:tbl>
      <w:tblPr>
        <w:tblW w:w="5000" w:type="pct"/>
        <w:tblLook w:val="04A0" w:firstRow="1" w:lastRow="0" w:firstColumn="1" w:lastColumn="0" w:noHBand="0" w:noVBand="1"/>
      </w:tblPr>
      <w:tblGrid>
        <w:gridCol w:w="1605"/>
        <w:gridCol w:w="916"/>
        <w:gridCol w:w="821"/>
        <w:gridCol w:w="898"/>
        <w:gridCol w:w="922"/>
        <w:gridCol w:w="1045"/>
        <w:gridCol w:w="1677"/>
        <w:gridCol w:w="1466"/>
      </w:tblGrid>
      <w:tr w:rsidR="00810FAC" w:rsidRPr="00D33008" w14:paraId="1F89941B" w14:textId="77777777" w:rsidTr="00810FAC">
        <w:trPr>
          <w:trHeight w:val="300"/>
          <w:tblHeader/>
        </w:trPr>
        <w:tc>
          <w:tcPr>
            <w:tcW w:w="858"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bottom"/>
            <w:hideMark/>
          </w:tcPr>
          <w:p w14:paraId="1E71442A" w14:textId="77777777" w:rsidR="00810FAC" w:rsidRPr="00C7756A" w:rsidRDefault="00810FAC" w:rsidP="00810FAC">
            <w:pPr>
              <w:pStyle w:val="CH5TableText"/>
              <w:keepNext/>
              <w:rPr>
                <w:b/>
                <w:lang w:eastAsia="ja-JP"/>
              </w:rPr>
            </w:pPr>
            <w:r w:rsidRPr="00C7756A">
              <w:rPr>
                <w:b/>
                <w:lang w:eastAsia="ja-JP"/>
              </w:rPr>
              <w:t>State</w:t>
            </w:r>
          </w:p>
        </w:tc>
        <w:tc>
          <w:tcPr>
            <w:tcW w:w="928" w:type="pct"/>
            <w:gridSpan w:val="2"/>
            <w:tcBorders>
              <w:top w:val="single" w:sz="4" w:space="0" w:color="auto"/>
              <w:left w:val="nil"/>
              <w:bottom w:val="single" w:sz="4" w:space="0" w:color="auto"/>
              <w:right w:val="single" w:sz="4" w:space="0" w:color="000000"/>
            </w:tcBorders>
            <w:shd w:val="clear" w:color="auto" w:fill="D9D9D9" w:themeFill="background1" w:themeFillShade="D9"/>
            <w:noWrap/>
            <w:vAlign w:val="bottom"/>
            <w:hideMark/>
          </w:tcPr>
          <w:p w14:paraId="7A50B1AE" w14:textId="77777777" w:rsidR="00810FAC" w:rsidRPr="00C7756A" w:rsidRDefault="00810FAC" w:rsidP="00810FAC">
            <w:pPr>
              <w:pStyle w:val="CH5TableText"/>
              <w:keepNext/>
              <w:rPr>
                <w:b/>
                <w:lang w:eastAsia="ja-JP"/>
              </w:rPr>
            </w:pPr>
            <w:r w:rsidRPr="00C7756A">
              <w:rPr>
                <w:b/>
                <w:lang w:eastAsia="ja-JP"/>
              </w:rPr>
              <w:t>Minimum Target</w:t>
            </w:r>
          </w:p>
        </w:tc>
        <w:tc>
          <w:tcPr>
            <w:tcW w:w="973" w:type="pct"/>
            <w:gridSpan w:val="2"/>
            <w:tcBorders>
              <w:top w:val="single" w:sz="4" w:space="0" w:color="auto"/>
              <w:left w:val="nil"/>
              <w:bottom w:val="single" w:sz="4" w:space="0" w:color="auto"/>
              <w:right w:val="single" w:sz="4" w:space="0" w:color="000000"/>
            </w:tcBorders>
            <w:shd w:val="clear" w:color="auto" w:fill="D9D9D9" w:themeFill="background1" w:themeFillShade="D9"/>
            <w:noWrap/>
            <w:vAlign w:val="bottom"/>
            <w:hideMark/>
          </w:tcPr>
          <w:p w14:paraId="04BD69C9" w14:textId="77777777" w:rsidR="00810FAC" w:rsidRPr="00C7756A" w:rsidRDefault="00810FAC" w:rsidP="00810FAC">
            <w:pPr>
              <w:pStyle w:val="CH5TableText"/>
              <w:keepNext/>
              <w:rPr>
                <w:b/>
                <w:lang w:eastAsia="ja-JP"/>
              </w:rPr>
            </w:pPr>
            <w:r w:rsidRPr="00C7756A">
              <w:rPr>
                <w:b/>
                <w:lang w:eastAsia="ja-JP"/>
              </w:rPr>
              <w:t>Maximum Target</w:t>
            </w:r>
          </w:p>
        </w:tc>
        <w:tc>
          <w:tcPr>
            <w:tcW w:w="559"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bottom"/>
            <w:hideMark/>
          </w:tcPr>
          <w:p w14:paraId="718FE403" w14:textId="77777777" w:rsidR="00810FAC" w:rsidRPr="00C7756A" w:rsidRDefault="00810FAC" w:rsidP="00810FAC">
            <w:pPr>
              <w:pStyle w:val="CH5TableText"/>
              <w:keepNext/>
              <w:rPr>
                <w:b/>
                <w:lang w:eastAsia="ja-JP"/>
              </w:rPr>
            </w:pPr>
            <w:r w:rsidRPr="00C7756A">
              <w:rPr>
                <w:b/>
                <w:lang w:eastAsia="ja-JP"/>
              </w:rPr>
              <w:t>Climb Time (years)</w:t>
            </w:r>
          </w:p>
        </w:tc>
        <w:tc>
          <w:tcPr>
            <w:tcW w:w="897"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bottom"/>
            <w:hideMark/>
          </w:tcPr>
          <w:p w14:paraId="382B366F" w14:textId="77777777" w:rsidR="00810FAC" w:rsidRPr="00C7756A" w:rsidRDefault="00810FAC" w:rsidP="00810FAC">
            <w:pPr>
              <w:pStyle w:val="CH5TableText"/>
              <w:keepNext/>
              <w:rPr>
                <w:b/>
                <w:lang w:eastAsia="ja-JP"/>
              </w:rPr>
            </w:pPr>
            <w:r w:rsidRPr="00C7756A">
              <w:rPr>
                <w:b/>
                <w:lang w:eastAsia="ja-JP"/>
              </w:rPr>
              <w:t>Annual Average % Increase</w:t>
            </w:r>
          </w:p>
        </w:tc>
        <w:tc>
          <w:tcPr>
            <w:tcW w:w="785"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bottom"/>
            <w:hideMark/>
          </w:tcPr>
          <w:p w14:paraId="6CD4172A" w14:textId="77777777" w:rsidR="00810FAC" w:rsidRPr="00C7756A" w:rsidRDefault="00810FAC" w:rsidP="00810FAC">
            <w:pPr>
              <w:pStyle w:val="CH5TableText"/>
              <w:keepNext/>
              <w:rPr>
                <w:b/>
                <w:lang w:eastAsia="ja-JP"/>
              </w:rPr>
            </w:pPr>
            <w:r w:rsidRPr="00C7756A">
              <w:rPr>
                <w:b/>
                <w:lang w:eastAsia="ja-JP"/>
              </w:rPr>
              <w:t>Years to Achieve 1% Increase</w:t>
            </w:r>
          </w:p>
        </w:tc>
      </w:tr>
      <w:tr w:rsidR="00810FAC" w:rsidRPr="00D33008" w14:paraId="7786F675" w14:textId="77777777" w:rsidTr="00810FAC">
        <w:trPr>
          <w:trHeight w:val="300"/>
          <w:tblHeader/>
        </w:trPr>
        <w:tc>
          <w:tcPr>
            <w:tcW w:w="858" w:type="pct"/>
            <w:vMerge/>
            <w:tcBorders>
              <w:top w:val="single" w:sz="4" w:space="0" w:color="auto"/>
              <w:left w:val="single" w:sz="4" w:space="0" w:color="auto"/>
              <w:bottom w:val="single" w:sz="4" w:space="0" w:color="000000"/>
              <w:right w:val="single" w:sz="4" w:space="0" w:color="auto"/>
            </w:tcBorders>
            <w:vAlign w:val="center"/>
            <w:hideMark/>
          </w:tcPr>
          <w:p w14:paraId="7C038E5F" w14:textId="77777777" w:rsidR="00810FAC" w:rsidRPr="00D33008" w:rsidRDefault="00810FAC" w:rsidP="00810FAC">
            <w:pPr>
              <w:pStyle w:val="CH5TableText"/>
              <w:keepNext/>
              <w:rPr>
                <w:color w:val="FFFFFF"/>
                <w:lang w:eastAsia="ja-JP"/>
              </w:rPr>
            </w:pPr>
          </w:p>
        </w:tc>
        <w:tc>
          <w:tcPr>
            <w:tcW w:w="490" w:type="pct"/>
            <w:tcBorders>
              <w:top w:val="nil"/>
              <w:left w:val="nil"/>
              <w:bottom w:val="single" w:sz="4" w:space="0" w:color="auto"/>
              <w:right w:val="single" w:sz="4" w:space="0" w:color="auto"/>
            </w:tcBorders>
            <w:shd w:val="clear" w:color="auto" w:fill="D9D9D9" w:themeFill="background1" w:themeFillShade="D9"/>
            <w:noWrap/>
            <w:vAlign w:val="bottom"/>
            <w:hideMark/>
          </w:tcPr>
          <w:p w14:paraId="2F79C60D" w14:textId="77777777" w:rsidR="00810FAC" w:rsidRPr="00207284" w:rsidRDefault="00810FAC" w:rsidP="00810FAC">
            <w:pPr>
              <w:pStyle w:val="CH5TableText"/>
              <w:keepNext/>
              <w:rPr>
                <w:b/>
                <w:lang w:eastAsia="ja-JP"/>
              </w:rPr>
            </w:pPr>
            <w:r w:rsidRPr="00207284">
              <w:rPr>
                <w:b/>
                <w:lang w:eastAsia="ja-JP"/>
              </w:rPr>
              <w:t>Min</w:t>
            </w:r>
          </w:p>
        </w:tc>
        <w:tc>
          <w:tcPr>
            <w:tcW w:w="439" w:type="pct"/>
            <w:tcBorders>
              <w:top w:val="nil"/>
              <w:left w:val="nil"/>
              <w:bottom w:val="single" w:sz="4" w:space="0" w:color="auto"/>
              <w:right w:val="single" w:sz="4" w:space="0" w:color="auto"/>
            </w:tcBorders>
            <w:shd w:val="clear" w:color="auto" w:fill="D9D9D9" w:themeFill="background1" w:themeFillShade="D9"/>
            <w:noWrap/>
            <w:vAlign w:val="bottom"/>
            <w:hideMark/>
          </w:tcPr>
          <w:p w14:paraId="6DAFBE28" w14:textId="77777777" w:rsidR="00810FAC" w:rsidRPr="00207284" w:rsidRDefault="00810FAC" w:rsidP="00810FAC">
            <w:pPr>
              <w:pStyle w:val="CH5TableText"/>
              <w:keepNext/>
              <w:rPr>
                <w:b/>
                <w:lang w:eastAsia="ja-JP"/>
              </w:rPr>
            </w:pPr>
            <w:r w:rsidRPr="00207284">
              <w:rPr>
                <w:b/>
                <w:lang w:eastAsia="ja-JP"/>
              </w:rPr>
              <w:t>Year</w:t>
            </w:r>
          </w:p>
        </w:tc>
        <w:tc>
          <w:tcPr>
            <w:tcW w:w="480" w:type="pct"/>
            <w:tcBorders>
              <w:top w:val="nil"/>
              <w:left w:val="nil"/>
              <w:bottom w:val="single" w:sz="4" w:space="0" w:color="auto"/>
              <w:right w:val="single" w:sz="4" w:space="0" w:color="auto"/>
            </w:tcBorders>
            <w:shd w:val="clear" w:color="auto" w:fill="D9D9D9" w:themeFill="background1" w:themeFillShade="D9"/>
            <w:noWrap/>
            <w:vAlign w:val="bottom"/>
            <w:hideMark/>
          </w:tcPr>
          <w:p w14:paraId="0A1EF1C8" w14:textId="77777777" w:rsidR="00810FAC" w:rsidRPr="00207284" w:rsidRDefault="00810FAC" w:rsidP="00810FAC">
            <w:pPr>
              <w:pStyle w:val="CH5TableText"/>
              <w:keepNext/>
              <w:rPr>
                <w:b/>
                <w:lang w:eastAsia="ja-JP"/>
              </w:rPr>
            </w:pPr>
            <w:r w:rsidRPr="00207284">
              <w:rPr>
                <w:b/>
                <w:lang w:eastAsia="ja-JP"/>
              </w:rPr>
              <w:t>Max</w:t>
            </w:r>
          </w:p>
        </w:tc>
        <w:tc>
          <w:tcPr>
            <w:tcW w:w="492" w:type="pct"/>
            <w:tcBorders>
              <w:top w:val="nil"/>
              <w:left w:val="nil"/>
              <w:bottom w:val="single" w:sz="4" w:space="0" w:color="auto"/>
              <w:right w:val="single" w:sz="4" w:space="0" w:color="auto"/>
            </w:tcBorders>
            <w:shd w:val="clear" w:color="auto" w:fill="D9D9D9" w:themeFill="background1" w:themeFillShade="D9"/>
            <w:noWrap/>
            <w:vAlign w:val="bottom"/>
            <w:hideMark/>
          </w:tcPr>
          <w:p w14:paraId="602E32D6" w14:textId="77777777" w:rsidR="00810FAC" w:rsidRPr="00207284" w:rsidRDefault="00810FAC" w:rsidP="00810FAC">
            <w:pPr>
              <w:pStyle w:val="CH5TableText"/>
              <w:keepNext/>
              <w:rPr>
                <w:b/>
                <w:lang w:eastAsia="ja-JP"/>
              </w:rPr>
            </w:pPr>
            <w:r w:rsidRPr="00207284">
              <w:rPr>
                <w:b/>
                <w:lang w:eastAsia="ja-JP"/>
              </w:rPr>
              <w:t>Year</w:t>
            </w:r>
          </w:p>
        </w:tc>
        <w:tc>
          <w:tcPr>
            <w:tcW w:w="559" w:type="pct"/>
            <w:vMerge/>
            <w:tcBorders>
              <w:top w:val="single" w:sz="4" w:space="0" w:color="auto"/>
              <w:left w:val="single" w:sz="4" w:space="0" w:color="auto"/>
              <w:bottom w:val="single" w:sz="4" w:space="0" w:color="000000"/>
              <w:right w:val="single" w:sz="4" w:space="0" w:color="auto"/>
            </w:tcBorders>
            <w:vAlign w:val="center"/>
            <w:hideMark/>
          </w:tcPr>
          <w:p w14:paraId="676129E2" w14:textId="77777777" w:rsidR="00810FAC" w:rsidRPr="00D33008" w:rsidRDefault="00810FAC" w:rsidP="00810FAC">
            <w:pPr>
              <w:pStyle w:val="CH5TableText"/>
              <w:keepNext/>
              <w:rPr>
                <w:color w:val="FFFFFF"/>
                <w:lang w:eastAsia="ja-JP"/>
              </w:rPr>
            </w:pPr>
          </w:p>
        </w:tc>
        <w:tc>
          <w:tcPr>
            <w:tcW w:w="897" w:type="pct"/>
            <w:vMerge/>
            <w:tcBorders>
              <w:top w:val="single" w:sz="4" w:space="0" w:color="auto"/>
              <w:left w:val="single" w:sz="4" w:space="0" w:color="auto"/>
              <w:bottom w:val="single" w:sz="4" w:space="0" w:color="000000"/>
              <w:right w:val="single" w:sz="4" w:space="0" w:color="auto"/>
            </w:tcBorders>
            <w:vAlign w:val="center"/>
            <w:hideMark/>
          </w:tcPr>
          <w:p w14:paraId="1590C3C2" w14:textId="77777777" w:rsidR="00810FAC" w:rsidRPr="00D33008" w:rsidRDefault="00810FAC" w:rsidP="00810FAC">
            <w:pPr>
              <w:pStyle w:val="CH5TableText"/>
              <w:keepNext/>
              <w:rPr>
                <w:color w:val="FFFFFF"/>
                <w:lang w:eastAsia="ja-JP"/>
              </w:rPr>
            </w:pPr>
          </w:p>
        </w:tc>
        <w:tc>
          <w:tcPr>
            <w:tcW w:w="785" w:type="pct"/>
            <w:vMerge/>
            <w:tcBorders>
              <w:top w:val="single" w:sz="4" w:space="0" w:color="auto"/>
              <w:left w:val="single" w:sz="4" w:space="0" w:color="auto"/>
              <w:bottom w:val="single" w:sz="4" w:space="0" w:color="000000"/>
              <w:right w:val="single" w:sz="4" w:space="0" w:color="auto"/>
            </w:tcBorders>
            <w:vAlign w:val="center"/>
            <w:hideMark/>
          </w:tcPr>
          <w:p w14:paraId="6DB2983B" w14:textId="77777777" w:rsidR="00810FAC" w:rsidRPr="00D33008" w:rsidRDefault="00810FAC" w:rsidP="00810FAC">
            <w:pPr>
              <w:pStyle w:val="CH5TableText"/>
              <w:keepNext/>
              <w:rPr>
                <w:color w:val="FFFFFF"/>
                <w:lang w:eastAsia="ja-JP"/>
              </w:rPr>
            </w:pPr>
          </w:p>
        </w:tc>
      </w:tr>
      <w:tr w:rsidR="00810FAC" w:rsidRPr="00D33008" w14:paraId="336D3888" w14:textId="77777777" w:rsidTr="00810FAC">
        <w:trPr>
          <w:trHeight w:val="300"/>
        </w:trPr>
        <w:tc>
          <w:tcPr>
            <w:tcW w:w="858" w:type="pct"/>
            <w:tcBorders>
              <w:top w:val="nil"/>
              <w:left w:val="single" w:sz="4" w:space="0" w:color="auto"/>
              <w:bottom w:val="single" w:sz="4" w:space="0" w:color="auto"/>
              <w:right w:val="single" w:sz="4" w:space="0" w:color="auto"/>
            </w:tcBorders>
            <w:noWrap/>
            <w:vAlign w:val="bottom"/>
          </w:tcPr>
          <w:p w14:paraId="0FA9DD6B" w14:textId="77777777" w:rsidR="00810FAC" w:rsidRPr="00D33008" w:rsidRDefault="00810FAC" w:rsidP="00810FAC">
            <w:pPr>
              <w:pStyle w:val="CH5TableText"/>
              <w:keepNext/>
              <w:rPr>
                <w:color w:val="000000"/>
                <w:lang w:eastAsia="ja-JP"/>
              </w:rPr>
            </w:pPr>
          </w:p>
        </w:tc>
        <w:tc>
          <w:tcPr>
            <w:tcW w:w="490" w:type="pct"/>
            <w:tcBorders>
              <w:top w:val="nil"/>
              <w:left w:val="nil"/>
              <w:bottom w:val="single" w:sz="4" w:space="0" w:color="auto"/>
              <w:right w:val="single" w:sz="4" w:space="0" w:color="auto"/>
            </w:tcBorders>
            <w:noWrap/>
            <w:vAlign w:val="bottom"/>
            <w:hideMark/>
          </w:tcPr>
          <w:p w14:paraId="02A00F8B" w14:textId="77777777" w:rsidR="00810FAC" w:rsidRPr="00D33008" w:rsidRDefault="00810FAC" w:rsidP="00810FAC">
            <w:pPr>
              <w:pStyle w:val="CH5TableText"/>
              <w:keepNext/>
              <w:rPr>
                <w:color w:val="000000"/>
                <w:lang w:eastAsia="ja-JP"/>
              </w:rPr>
            </w:pPr>
            <w:r w:rsidRPr="00D33008">
              <w:rPr>
                <w:color w:val="000000"/>
                <w:lang w:eastAsia="ja-JP"/>
              </w:rPr>
              <w:t>a</w:t>
            </w:r>
          </w:p>
        </w:tc>
        <w:tc>
          <w:tcPr>
            <w:tcW w:w="439" w:type="pct"/>
            <w:tcBorders>
              <w:top w:val="nil"/>
              <w:left w:val="nil"/>
              <w:bottom w:val="single" w:sz="4" w:space="0" w:color="auto"/>
              <w:right w:val="single" w:sz="4" w:space="0" w:color="auto"/>
            </w:tcBorders>
            <w:noWrap/>
            <w:vAlign w:val="bottom"/>
            <w:hideMark/>
          </w:tcPr>
          <w:p w14:paraId="5180E76A" w14:textId="77777777" w:rsidR="00810FAC" w:rsidRPr="00D33008" w:rsidRDefault="00810FAC" w:rsidP="00810FAC">
            <w:pPr>
              <w:pStyle w:val="CH5TableText"/>
              <w:keepNext/>
              <w:rPr>
                <w:color w:val="000000"/>
                <w:lang w:eastAsia="ja-JP"/>
              </w:rPr>
            </w:pPr>
            <w:r w:rsidRPr="00D33008">
              <w:rPr>
                <w:color w:val="000000"/>
                <w:lang w:eastAsia="ja-JP"/>
              </w:rPr>
              <w:t>b</w:t>
            </w:r>
          </w:p>
        </w:tc>
        <w:tc>
          <w:tcPr>
            <w:tcW w:w="480" w:type="pct"/>
            <w:tcBorders>
              <w:top w:val="nil"/>
              <w:left w:val="nil"/>
              <w:bottom w:val="single" w:sz="4" w:space="0" w:color="auto"/>
              <w:right w:val="single" w:sz="4" w:space="0" w:color="auto"/>
            </w:tcBorders>
            <w:noWrap/>
            <w:vAlign w:val="bottom"/>
            <w:hideMark/>
          </w:tcPr>
          <w:p w14:paraId="593AB5E2" w14:textId="77777777" w:rsidR="00810FAC" w:rsidRPr="00D33008" w:rsidRDefault="00810FAC" w:rsidP="00810FAC">
            <w:pPr>
              <w:pStyle w:val="CH5TableText"/>
              <w:keepNext/>
              <w:rPr>
                <w:color w:val="000000"/>
                <w:lang w:eastAsia="ja-JP"/>
              </w:rPr>
            </w:pPr>
            <w:r w:rsidRPr="00D33008">
              <w:rPr>
                <w:color w:val="000000"/>
                <w:lang w:eastAsia="ja-JP"/>
              </w:rPr>
              <w:t>c</w:t>
            </w:r>
          </w:p>
        </w:tc>
        <w:tc>
          <w:tcPr>
            <w:tcW w:w="492" w:type="pct"/>
            <w:tcBorders>
              <w:top w:val="nil"/>
              <w:left w:val="nil"/>
              <w:bottom w:val="single" w:sz="4" w:space="0" w:color="auto"/>
              <w:right w:val="single" w:sz="4" w:space="0" w:color="auto"/>
            </w:tcBorders>
            <w:noWrap/>
            <w:vAlign w:val="bottom"/>
            <w:hideMark/>
          </w:tcPr>
          <w:p w14:paraId="3C6090EB" w14:textId="77777777" w:rsidR="00810FAC" w:rsidRPr="00D33008" w:rsidRDefault="00810FAC" w:rsidP="00810FAC">
            <w:pPr>
              <w:pStyle w:val="CH5TableText"/>
              <w:keepNext/>
              <w:rPr>
                <w:color w:val="000000"/>
                <w:lang w:eastAsia="ja-JP"/>
              </w:rPr>
            </w:pPr>
            <w:r w:rsidRPr="00D33008">
              <w:rPr>
                <w:color w:val="000000"/>
                <w:lang w:eastAsia="ja-JP"/>
              </w:rPr>
              <w:t>d</w:t>
            </w:r>
          </w:p>
        </w:tc>
        <w:tc>
          <w:tcPr>
            <w:tcW w:w="559" w:type="pct"/>
            <w:tcBorders>
              <w:top w:val="nil"/>
              <w:left w:val="nil"/>
              <w:bottom w:val="single" w:sz="4" w:space="0" w:color="auto"/>
              <w:right w:val="single" w:sz="4" w:space="0" w:color="auto"/>
            </w:tcBorders>
            <w:noWrap/>
            <w:vAlign w:val="bottom"/>
            <w:hideMark/>
          </w:tcPr>
          <w:p w14:paraId="5FA45DD6" w14:textId="77777777" w:rsidR="00810FAC" w:rsidRPr="00D33008" w:rsidRDefault="00810FAC" w:rsidP="00810FAC">
            <w:pPr>
              <w:pStyle w:val="CH5TableText"/>
              <w:keepNext/>
              <w:rPr>
                <w:color w:val="000000"/>
                <w:lang w:eastAsia="ja-JP"/>
              </w:rPr>
            </w:pPr>
            <w:r w:rsidRPr="00D33008">
              <w:rPr>
                <w:color w:val="000000"/>
                <w:lang w:eastAsia="ja-JP"/>
              </w:rPr>
              <w:t>e=d-b</w:t>
            </w:r>
          </w:p>
        </w:tc>
        <w:tc>
          <w:tcPr>
            <w:tcW w:w="897" w:type="pct"/>
            <w:tcBorders>
              <w:top w:val="nil"/>
              <w:left w:val="nil"/>
              <w:bottom w:val="single" w:sz="4" w:space="0" w:color="auto"/>
              <w:right w:val="single" w:sz="4" w:space="0" w:color="auto"/>
            </w:tcBorders>
            <w:noWrap/>
            <w:vAlign w:val="bottom"/>
            <w:hideMark/>
          </w:tcPr>
          <w:p w14:paraId="3FB0CC1C" w14:textId="77777777" w:rsidR="00810FAC" w:rsidRPr="00D33008" w:rsidRDefault="00810FAC" w:rsidP="00810FAC">
            <w:pPr>
              <w:pStyle w:val="CH5TableText"/>
              <w:keepNext/>
              <w:rPr>
                <w:color w:val="000000"/>
                <w:lang w:eastAsia="ja-JP"/>
              </w:rPr>
            </w:pPr>
            <w:r w:rsidRPr="00D33008">
              <w:rPr>
                <w:color w:val="000000"/>
                <w:lang w:eastAsia="ja-JP"/>
              </w:rPr>
              <w:t>f=(c-a)/e</w:t>
            </w:r>
          </w:p>
        </w:tc>
        <w:tc>
          <w:tcPr>
            <w:tcW w:w="785" w:type="pct"/>
            <w:tcBorders>
              <w:top w:val="nil"/>
              <w:left w:val="nil"/>
              <w:bottom w:val="single" w:sz="4" w:space="0" w:color="auto"/>
              <w:right w:val="single" w:sz="4" w:space="0" w:color="auto"/>
            </w:tcBorders>
            <w:noWrap/>
            <w:vAlign w:val="bottom"/>
            <w:hideMark/>
          </w:tcPr>
          <w:p w14:paraId="7C932130" w14:textId="77777777" w:rsidR="00810FAC" w:rsidRPr="00D33008" w:rsidRDefault="00810FAC" w:rsidP="00810FAC">
            <w:pPr>
              <w:pStyle w:val="CH5TableText"/>
              <w:keepNext/>
              <w:rPr>
                <w:color w:val="000000"/>
                <w:lang w:eastAsia="ja-JP"/>
              </w:rPr>
            </w:pPr>
            <w:r w:rsidRPr="00D33008">
              <w:rPr>
                <w:color w:val="000000"/>
                <w:lang w:eastAsia="ja-JP"/>
              </w:rPr>
              <w:t>g=1/f</w:t>
            </w:r>
          </w:p>
        </w:tc>
      </w:tr>
      <w:tr w:rsidR="00810FAC" w:rsidRPr="00D33008" w14:paraId="03DC4D8D" w14:textId="77777777" w:rsidTr="00810FAC">
        <w:trPr>
          <w:trHeight w:val="300"/>
        </w:trPr>
        <w:tc>
          <w:tcPr>
            <w:tcW w:w="858" w:type="pct"/>
            <w:tcBorders>
              <w:top w:val="nil"/>
              <w:left w:val="single" w:sz="4" w:space="0" w:color="auto"/>
              <w:bottom w:val="single" w:sz="4" w:space="0" w:color="auto"/>
              <w:right w:val="single" w:sz="4" w:space="0" w:color="auto"/>
            </w:tcBorders>
            <w:noWrap/>
            <w:vAlign w:val="bottom"/>
            <w:hideMark/>
          </w:tcPr>
          <w:p w14:paraId="001E8A42" w14:textId="77777777" w:rsidR="00810FAC" w:rsidRPr="00207284" w:rsidRDefault="00810FAC" w:rsidP="00810FAC">
            <w:pPr>
              <w:pStyle w:val="CH5TableText"/>
              <w:keepNext/>
              <w:rPr>
                <w:b/>
                <w:color w:val="000000"/>
                <w:lang w:eastAsia="ja-JP"/>
              </w:rPr>
            </w:pPr>
            <w:r w:rsidRPr="00207284">
              <w:rPr>
                <w:b/>
                <w:color w:val="000000"/>
                <w:lang w:eastAsia="ja-JP"/>
              </w:rPr>
              <w:t>Arizona</w:t>
            </w:r>
          </w:p>
        </w:tc>
        <w:tc>
          <w:tcPr>
            <w:tcW w:w="490" w:type="pct"/>
            <w:tcBorders>
              <w:top w:val="nil"/>
              <w:left w:val="nil"/>
              <w:bottom w:val="single" w:sz="4" w:space="0" w:color="auto"/>
              <w:right w:val="single" w:sz="4" w:space="0" w:color="auto"/>
            </w:tcBorders>
            <w:noWrap/>
            <w:vAlign w:val="bottom"/>
            <w:hideMark/>
          </w:tcPr>
          <w:p w14:paraId="2EAAB914" w14:textId="77777777" w:rsidR="00810FAC" w:rsidRPr="00D33008" w:rsidRDefault="00810FAC" w:rsidP="00810FAC">
            <w:pPr>
              <w:pStyle w:val="CH5TableText"/>
              <w:keepNext/>
              <w:rPr>
                <w:color w:val="000000"/>
                <w:lang w:eastAsia="ja-JP"/>
              </w:rPr>
            </w:pPr>
            <w:r w:rsidRPr="00D33008">
              <w:rPr>
                <w:color w:val="000000"/>
                <w:lang w:eastAsia="ja-JP"/>
              </w:rPr>
              <w:t>1.25%</w:t>
            </w:r>
          </w:p>
        </w:tc>
        <w:tc>
          <w:tcPr>
            <w:tcW w:w="439" w:type="pct"/>
            <w:tcBorders>
              <w:top w:val="nil"/>
              <w:left w:val="nil"/>
              <w:bottom w:val="single" w:sz="4" w:space="0" w:color="auto"/>
              <w:right w:val="single" w:sz="4" w:space="0" w:color="auto"/>
            </w:tcBorders>
            <w:noWrap/>
            <w:vAlign w:val="bottom"/>
            <w:hideMark/>
          </w:tcPr>
          <w:p w14:paraId="668B0975" w14:textId="77777777" w:rsidR="00810FAC" w:rsidRPr="00D33008" w:rsidRDefault="00810FAC" w:rsidP="00810FAC">
            <w:pPr>
              <w:pStyle w:val="CH5TableText"/>
              <w:keepNext/>
              <w:rPr>
                <w:color w:val="000000"/>
                <w:lang w:eastAsia="ja-JP"/>
              </w:rPr>
            </w:pPr>
            <w:r w:rsidRPr="00D33008">
              <w:rPr>
                <w:color w:val="000000"/>
                <w:lang w:eastAsia="ja-JP"/>
              </w:rPr>
              <w:t>2011</w:t>
            </w:r>
          </w:p>
        </w:tc>
        <w:tc>
          <w:tcPr>
            <w:tcW w:w="480" w:type="pct"/>
            <w:tcBorders>
              <w:top w:val="nil"/>
              <w:left w:val="nil"/>
              <w:bottom w:val="single" w:sz="4" w:space="0" w:color="auto"/>
              <w:right w:val="single" w:sz="4" w:space="0" w:color="auto"/>
            </w:tcBorders>
            <w:noWrap/>
            <w:vAlign w:val="bottom"/>
            <w:hideMark/>
          </w:tcPr>
          <w:p w14:paraId="7EF6C9E2" w14:textId="77777777" w:rsidR="00810FAC" w:rsidRPr="00D33008" w:rsidRDefault="00810FAC" w:rsidP="00810FAC">
            <w:pPr>
              <w:pStyle w:val="CH5TableText"/>
              <w:keepNext/>
              <w:rPr>
                <w:color w:val="000000"/>
                <w:lang w:eastAsia="ja-JP"/>
              </w:rPr>
            </w:pPr>
            <w:r w:rsidRPr="00D33008">
              <w:rPr>
                <w:color w:val="000000"/>
                <w:lang w:eastAsia="ja-JP"/>
              </w:rPr>
              <w:t>2.5%</w:t>
            </w:r>
          </w:p>
        </w:tc>
        <w:tc>
          <w:tcPr>
            <w:tcW w:w="492" w:type="pct"/>
            <w:tcBorders>
              <w:top w:val="nil"/>
              <w:left w:val="nil"/>
              <w:bottom w:val="single" w:sz="4" w:space="0" w:color="auto"/>
              <w:right w:val="single" w:sz="4" w:space="0" w:color="auto"/>
            </w:tcBorders>
            <w:noWrap/>
            <w:vAlign w:val="bottom"/>
            <w:hideMark/>
          </w:tcPr>
          <w:p w14:paraId="5CABD105" w14:textId="77777777" w:rsidR="00810FAC" w:rsidRPr="00D33008" w:rsidRDefault="00810FAC" w:rsidP="00810FAC">
            <w:pPr>
              <w:pStyle w:val="CH5TableText"/>
              <w:keepNext/>
              <w:rPr>
                <w:color w:val="000000"/>
                <w:lang w:eastAsia="ja-JP"/>
              </w:rPr>
            </w:pPr>
            <w:r w:rsidRPr="00D33008">
              <w:rPr>
                <w:color w:val="000000"/>
                <w:lang w:eastAsia="ja-JP"/>
              </w:rPr>
              <w:t>2016</w:t>
            </w:r>
          </w:p>
        </w:tc>
        <w:tc>
          <w:tcPr>
            <w:tcW w:w="559" w:type="pct"/>
            <w:tcBorders>
              <w:top w:val="nil"/>
              <w:left w:val="nil"/>
              <w:bottom w:val="single" w:sz="4" w:space="0" w:color="auto"/>
              <w:right w:val="single" w:sz="4" w:space="0" w:color="auto"/>
            </w:tcBorders>
            <w:noWrap/>
            <w:vAlign w:val="bottom"/>
            <w:hideMark/>
          </w:tcPr>
          <w:p w14:paraId="467E98A3" w14:textId="77777777" w:rsidR="00810FAC" w:rsidRPr="00D33008" w:rsidRDefault="00810FAC" w:rsidP="00810FAC">
            <w:pPr>
              <w:pStyle w:val="CH5TableText"/>
              <w:keepNext/>
              <w:rPr>
                <w:color w:val="000000"/>
                <w:lang w:eastAsia="ja-JP"/>
              </w:rPr>
            </w:pPr>
            <w:r w:rsidRPr="00D33008">
              <w:rPr>
                <w:color w:val="000000"/>
                <w:lang w:eastAsia="ja-JP"/>
              </w:rPr>
              <w:t>5</w:t>
            </w:r>
          </w:p>
        </w:tc>
        <w:tc>
          <w:tcPr>
            <w:tcW w:w="897" w:type="pct"/>
            <w:tcBorders>
              <w:top w:val="nil"/>
              <w:left w:val="nil"/>
              <w:bottom w:val="single" w:sz="4" w:space="0" w:color="auto"/>
              <w:right w:val="single" w:sz="4" w:space="0" w:color="auto"/>
            </w:tcBorders>
            <w:noWrap/>
            <w:hideMark/>
          </w:tcPr>
          <w:p w14:paraId="01B28DAB" w14:textId="77777777" w:rsidR="00810FAC" w:rsidRPr="00D33008" w:rsidRDefault="00810FAC" w:rsidP="00810FAC">
            <w:pPr>
              <w:pStyle w:val="CH5TableText"/>
              <w:keepNext/>
              <w:rPr>
                <w:color w:val="000000"/>
                <w:lang w:eastAsia="ja-JP"/>
              </w:rPr>
            </w:pPr>
            <w:r w:rsidRPr="00D33008">
              <w:rPr>
                <w:rFonts w:eastAsia="Calibri"/>
              </w:rPr>
              <w:t>0.25%</w:t>
            </w:r>
          </w:p>
        </w:tc>
        <w:tc>
          <w:tcPr>
            <w:tcW w:w="785" w:type="pct"/>
            <w:tcBorders>
              <w:top w:val="nil"/>
              <w:left w:val="nil"/>
              <w:bottom w:val="single" w:sz="4" w:space="0" w:color="auto"/>
              <w:right w:val="single" w:sz="4" w:space="0" w:color="auto"/>
            </w:tcBorders>
            <w:noWrap/>
            <w:hideMark/>
          </w:tcPr>
          <w:p w14:paraId="39F1948A" w14:textId="77777777" w:rsidR="00810FAC" w:rsidRPr="00D33008" w:rsidRDefault="00810FAC" w:rsidP="00810FAC">
            <w:pPr>
              <w:pStyle w:val="CH5TableText"/>
              <w:keepNext/>
              <w:rPr>
                <w:color w:val="000000"/>
                <w:lang w:eastAsia="ja-JP"/>
              </w:rPr>
            </w:pPr>
            <w:r w:rsidRPr="00D33008">
              <w:rPr>
                <w:rFonts w:eastAsia="Calibri"/>
              </w:rPr>
              <w:t xml:space="preserve"> 4.0 </w:t>
            </w:r>
          </w:p>
        </w:tc>
      </w:tr>
      <w:tr w:rsidR="00810FAC" w:rsidRPr="00D33008" w14:paraId="23F40911" w14:textId="77777777" w:rsidTr="00810FAC">
        <w:trPr>
          <w:trHeight w:val="300"/>
        </w:trPr>
        <w:tc>
          <w:tcPr>
            <w:tcW w:w="858" w:type="pct"/>
            <w:tcBorders>
              <w:top w:val="nil"/>
              <w:left w:val="single" w:sz="4" w:space="0" w:color="auto"/>
              <w:bottom w:val="single" w:sz="4" w:space="0" w:color="auto"/>
              <w:right w:val="single" w:sz="4" w:space="0" w:color="auto"/>
            </w:tcBorders>
            <w:noWrap/>
            <w:vAlign w:val="bottom"/>
            <w:hideMark/>
          </w:tcPr>
          <w:p w14:paraId="3597D56B" w14:textId="77777777" w:rsidR="00810FAC" w:rsidRPr="00207284" w:rsidRDefault="00810FAC" w:rsidP="00810FAC">
            <w:pPr>
              <w:pStyle w:val="CH5TableText"/>
              <w:rPr>
                <w:b/>
                <w:color w:val="000000"/>
                <w:lang w:eastAsia="ja-JP"/>
              </w:rPr>
            </w:pPr>
            <w:r w:rsidRPr="00207284">
              <w:rPr>
                <w:b/>
                <w:color w:val="000000"/>
                <w:lang w:eastAsia="ja-JP"/>
              </w:rPr>
              <w:t>Arkansas</w:t>
            </w:r>
          </w:p>
        </w:tc>
        <w:tc>
          <w:tcPr>
            <w:tcW w:w="490" w:type="pct"/>
            <w:tcBorders>
              <w:top w:val="nil"/>
              <w:left w:val="nil"/>
              <w:bottom w:val="single" w:sz="4" w:space="0" w:color="auto"/>
              <w:right w:val="single" w:sz="4" w:space="0" w:color="auto"/>
            </w:tcBorders>
            <w:noWrap/>
            <w:vAlign w:val="bottom"/>
            <w:hideMark/>
          </w:tcPr>
          <w:p w14:paraId="1CE33062" w14:textId="77777777" w:rsidR="00810FAC" w:rsidRPr="00D33008" w:rsidRDefault="00810FAC" w:rsidP="00810FAC">
            <w:pPr>
              <w:pStyle w:val="CH5TableText"/>
              <w:rPr>
                <w:color w:val="000000"/>
                <w:lang w:eastAsia="ja-JP"/>
              </w:rPr>
            </w:pPr>
            <w:r w:rsidRPr="00D33008">
              <w:rPr>
                <w:color w:val="000000"/>
                <w:lang w:eastAsia="ja-JP"/>
              </w:rPr>
              <w:t>0.25%</w:t>
            </w:r>
          </w:p>
        </w:tc>
        <w:tc>
          <w:tcPr>
            <w:tcW w:w="439" w:type="pct"/>
            <w:tcBorders>
              <w:top w:val="nil"/>
              <w:left w:val="nil"/>
              <w:bottom w:val="single" w:sz="4" w:space="0" w:color="auto"/>
              <w:right w:val="single" w:sz="4" w:space="0" w:color="auto"/>
            </w:tcBorders>
            <w:noWrap/>
            <w:vAlign w:val="bottom"/>
            <w:hideMark/>
          </w:tcPr>
          <w:p w14:paraId="52C3D027" w14:textId="77777777" w:rsidR="00810FAC" w:rsidRPr="00D33008" w:rsidRDefault="00810FAC" w:rsidP="00810FAC">
            <w:pPr>
              <w:pStyle w:val="CH5TableText"/>
              <w:rPr>
                <w:color w:val="000000"/>
                <w:lang w:eastAsia="ja-JP"/>
              </w:rPr>
            </w:pPr>
            <w:r w:rsidRPr="00D33008">
              <w:rPr>
                <w:color w:val="000000"/>
                <w:lang w:eastAsia="ja-JP"/>
              </w:rPr>
              <w:t>2011</w:t>
            </w:r>
          </w:p>
        </w:tc>
        <w:tc>
          <w:tcPr>
            <w:tcW w:w="480" w:type="pct"/>
            <w:tcBorders>
              <w:top w:val="nil"/>
              <w:left w:val="nil"/>
              <w:bottom w:val="single" w:sz="4" w:space="0" w:color="auto"/>
              <w:right w:val="single" w:sz="4" w:space="0" w:color="auto"/>
            </w:tcBorders>
            <w:noWrap/>
            <w:vAlign w:val="bottom"/>
            <w:hideMark/>
          </w:tcPr>
          <w:p w14:paraId="3D155CFB" w14:textId="77777777" w:rsidR="00810FAC" w:rsidRPr="00D33008" w:rsidRDefault="00810FAC" w:rsidP="00810FAC">
            <w:pPr>
              <w:pStyle w:val="CH5TableText"/>
              <w:rPr>
                <w:color w:val="000000"/>
                <w:lang w:eastAsia="ja-JP"/>
              </w:rPr>
            </w:pPr>
            <w:r w:rsidRPr="00D33008">
              <w:rPr>
                <w:color w:val="000000"/>
                <w:lang w:eastAsia="ja-JP"/>
              </w:rPr>
              <w:t>0.9%</w:t>
            </w:r>
          </w:p>
        </w:tc>
        <w:tc>
          <w:tcPr>
            <w:tcW w:w="492" w:type="pct"/>
            <w:tcBorders>
              <w:top w:val="nil"/>
              <w:left w:val="nil"/>
              <w:bottom w:val="single" w:sz="4" w:space="0" w:color="auto"/>
              <w:right w:val="single" w:sz="4" w:space="0" w:color="auto"/>
            </w:tcBorders>
            <w:noWrap/>
            <w:vAlign w:val="bottom"/>
            <w:hideMark/>
          </w:tcPr>
          <w:p w14:paraId="779CE9D7" w14:textId="77777777" w:rsidR="00810FAC" w:rsidRPr="00D33008" w:rsidRDefault="00810FAC" w:rsidP="00810FAC">
            <w:pPr>
              <w:pStyle w:val="CH5TableText"/>
              <w:rPr>
                <w:color w:val="000000"/>
                <w:lang w:eastAsia="ja-JP"/>
              </w:rPr>
            </w:pPr>
            <w:r w:rsidRPr="00D33008">
              <w:rPr>
                <w:color w:val="000000"/>
                <w:lang w:eastAsia="ja-JP"/>
              </w:rPr>
              <w:t>2015</w:t>
            </w:r>
          </w:p>
        </w:tc>
        <w:tc>
          <w:tcPr>
            <w:tcW w:w="559" w:type="pct"/>
            <w:tcBorders>
              <w:top w:val="nil"/>
              <w:left w:val="nil"/>
              <w:bottom w:val="single" w:sz="4" w:space="0" w:color="auto"/>
              <w:right w:val="single" w:sz="4" w:space="0" w:color="auto"/>
            </w:tcBorders>
            <w:noWrap/>
            <w:vAlign w:val="bottom"/>
            <w:hideMark/>
          </w:tcPr>
          <w:p w14:paraId="59C3C315" w14:textId="77777777" w:rsidR="00810FAC" w:rsidRPr="00D33008" w:rsidRDefault="00810FAC" w:rsidP="00810FAC">
            <w:pPr>
              <w:pStyle w:val="CH5TableText"/>
              <w:rPr>
                <w:color w:val="000000"/>
                <w:lang w:eastAsia="ja-JP"/>
              </w:rPr>
            </w:pPr>
            <w:r w:rsidRPr="00D33008">
              <w:rPr>
                <w:color w:val="000000"/>
                <w:lang w:eastAsia="ja-JP"/>
              </w:rPr>
              <w:t>4</w:t>
            </w:r>
          </w:p>
        </w:tc>
        <w:tc>
          <w:tcPr>
            <w:tcW w:w="897" w:type="pct"/>
            <w:tcBorders>
              <w:top w:val="nil"/>
              <w:left w:val="nil"/>
              <w:bottom w:val="single" w:sz="4" w:space="0" w:color="auto"/>
              <w:right w:val="single" w:sz="4" w:space="0" w:color="auto"/>
            </w:tcBorders>
            <w:noWrap/>
            <w:hideMark/>
          </w:tcPr>
          <w:p w14:paraId="461FDEB6" w14:textId="77777777" w:rsidR="00810FAC" w:rsidRPr="00D33008" w:rsidRDefault="00810FAC" w:rsidP="00810FAC">
            <w:pPr>
              <w:pStyle w:val="CH5TableText"/>
              <w:rPr>
                <w:color w:val="000000"/>
                <w:lang w:eastAsia="ja-JP"/>
              </w:rPr>
            </w:pPr>
            <w:r w:rsidRPr="00D33008">
              <w:rPr>
                <w:rFonts w:eastAsia="Calibri"/>
              </w:rPr>
              <w:t>0.16%</w:t>
            </w:r>
          </w:p>
        </w:tc>
        <w:tc>
          <w:tcPr>
            <w:tcW w:w="785" w:type="pct"/>
            <w:tcBorders>
              <w:top w:val="nil"/>
              <w:left w:val="nil"/>
              <w:bottom w:val="single" w:sz="4" w:space="0" w:color="auto"/>
              <w:right w:val="single" w:sz="4" w:space="0" w:color="auto"/>
            </w:tcBorders>
            <w:noWrap/>
            <w:hideMark/>
          </w:tcPr>
          <w:p w14:paraId="4FAFBD0A" w14:textId="77777777" w:rsidR="00810FAC" w:rsidRPr="00D33008" w:rsidRDefault="00810FAC" w:rsidP="00810FAC">
            <w:pPr>
              <w:pStyle w:val="CH5TableText"/>
              <w:rPr>
                <w:color w:val="000000"/>
                <w:lang w:eastAsia="ja-JP"/>
              </w:rPr>
            </w:pPr>
            <w:r w:rsidRPr="00D33008">
              <w:rPr>
                <w:rFonts w:eastAsia="Calibri"/>
              </w:rPr>
              <w:t xml:space="preserve"> 6.2 </w:t>
            </w:r>
          </w:p>
        </w:tc>
      </w:tr>
      <w:tr w:rsidR="00810FAC" w:rsidRPr="00D33008" w14:paraId="583CAB98" w14:textId="77777777" w:rsidTr="00810FAC">
        <w:trPr>
          <w:trHeight w:val="300"/>
        </w:trPr>
        <w:tc>
          <w:tcPr>
            <w:tcW w:w="858" w:type="pct"/>
            <w:tcBorders>
              <w:top w:val="nil"/>
              <w:left w:val="single" w:sz="4" w:space="0" w:color="auto"/>
              <w:bottom w:val="single" w:sz="4" w:space="0" w:color="auto"/>
              <w:right w:val="single" w:sz="4" w:space="0" w:color="auto"/>
            </w:tcBorders>
            <w:noWrap/>
            <w:vAlign w:val="bottom"/>
            <w:hideMark/>
          </w:tcPr>
          <w:p w14:paraId="640CA23F" w14:textId="77777777" w:rsidR="00810FAC" w:rsidRPr="00207284" w:rsidRDefault="00810FAC" w:rsidP="00810FAC">
            <w:pPr>
              <w:pStyle w:val="CH5TableText"/>
              <w:rPr>
                <w:b/>
                <w:color w:val="000000"/>
                <w:lang w:eastAsia="ja-JP"/>
              </w:rPr>
            </w:pPr>
            <w:r w:rsidRPr="00207284">
              <w:rPr>
                <w:b/>
                <w:color w:val="000000"/>
                <w:lang w:eastAsia="ja-JP"/>
              </w:rPr>
              <w:t>Colorado</w:t>
            </w:r>
          </w:p>
        </w:tc>
        <w:tc>
          <w:tcPr>
            <w:tcW w:w="490" w:type="pct"/>
            <w:tcBorders>
              <w:top w:val="nil"/>
              <w:left w:val="nil"/>
              <w:bottom w:val="single" w:sz="4" w:space="0" w:color="auto"/>
              <w:right w:val="single" w:sz="4" w:space="0" w:color="auto"/>
            </w:tcBorders>
            <w:noWrap/>
            <w:vAlign w:val="bottom"/>
            <w:hideMark/>
          </w:tcPr>
          <w:p w14:paraId="53B93941" w14:textId="77777777" w:rsidR="00810FAC" w:rsidRPr="00D33008" w:rsidRDefault="00810FAC" w:rsidP="00810FAC">
            <w:pPr>
              <w:pStyle w:val="CH5TableText"/>
              <w:rPr>
                <w:color w:val="000000"/>
                <w:lang w:eastAsia="ja-JP"/>
              </w:rPr>
            </w:pPr>
            <w:r w:rsidRPr="00D33008">
              <w:rPr>
                <w:color w:val="000000"/>
                <w:lang w:eastAsia="ja-JP"/>
              </w:rPr>
              <w:t>0.80%</w:t>
            </w:r>
          </w:p>
        </w:tc>
        <w:tc>
          <w:tcPr>
            <w:tcW w:w="439" w:type="pct"/>
            <w:tcBorders>
              <w:top w:val="nil"/>
              <w:left w:val="nil"/>
              <w:bottom w:val="single" w:sz="4" w:space="0" w:color="auto"/>
              <w:right w:val="single" w:sz="4" w:space="0" w:color="auto"/>
            </w:tcBorders>
            <w:noWrap/>
            <w:vAlign w:val="bottom"/>
            <w:hideMark/>
          </w:tcPr>
          <w:p w14:paraId="03D661D0" w14:textId="77777777" w:rsidR="00810FAC" w:rsidRPr="00D33008" w:rsidRDefault="00810FAC" w:rsidP="00810FAC">
            <w:pPr>
              <w:pStyle w:val="CH5TableText"/>
              <w:rPr>
                <w:color w:val="000000"/>
                <w:lang w:eastAsia="ja-JP"/>
              </w:rPr>
            </w:pPr>
            <w:r w:rsidRPr="00D33008">
              <w:rPr>
                <w:color w:val="000000"/>
                <w:lang w:eastAsia="ja-JP"/>
              </w:rPr>
              <w:t>2011</w:t>
            </w:r>
          </w:p>
        </w:tc>
        <w:tc>
          <w:tcPr>
            <w:tcW w:w="480" w:type="pct"/>
            <w:tcBorders>
              <w:top w:val="nil"/>
              <w:left w:val="nil"/>
              <w:bottom w:val="single" w:sz="4" w:space="0" w:color="auto"/>
              <w:right w:val="single" w:sz="4" w:space="0" w:color="auto"/>
            </w:tcBorders>
            <w:noWrap/>
            <w:vAlign w:val="bottom"/>
            <w:hideMark/>
          </w:tcPr>
          <w:p w14:paraId="52730AF4" w14:textId="77777777" w:rsidR="00810FAC" w:rsidRPr="00D33008" w:rsidRDefault="00810FAC" w:rsidP="00810FAC">
            <w:pPr>
              <w:pStyle w:val="CH5TableText"/>
              <w:rPr>
                <w:color w:val="000000"/>
                <w:lang w:eastAsia="ja-JP"/>
              </w:rPr>
            </w:pPr>
            <w:r w:rsidRPr="00D33008">
              <w:rPr>
                <w:color w:val="000000"/>
                <w:lang w:eastAsia="ja-JP"/>
              </w:rPr>
              <w:t>1.7%</w:t>
            </w:r>
          </w:p>
        </w:tc>
        <w:tc>
          <w:tcPr>
            <w:tcW w:w="492" w:type="pct"/>
            <w:tcBorders>
              <w:top w:val="nil"/>
              <w:left w:val="nil"/>
              <w:bottom w:val="single" w:sz="4" w:space="0" w:color="auto"/>
              <w:right w:val="single" w:sz="4" w:space="0" w:color="auto"/>
            </w:tcBorders>
            <w:noWrap/>
            <w:vAlign w:val="bottom"/>
            <w:hideMark/>
          </w:tcPr>
          <w:p w14:paraId="22781ACB" w14:textId="77777777" w:rsidR="00810FAC" w:rsidRPr="00D33008" w:rsidRDefault="00810FAC" w:rsidP="00810FAC">
            <w:pPr>
              <w:pStyle w:val="CH5TableText"/>
              <w:rPr>
                <w:color w:val="000000"/>
                <w:lang w:eastAsia="ja-JP"/>
              </w:rPr>
            </w:pPr>
            <w:r w:rsidRPr="00D33008">
              <w:rPr>
                <w:color w:val="000000"/>
                <w:lang w:eastAsia="ja-JP"/>
              </w:rPr>
              <w:t>2019</w:t>
            </w:r>
          </w:p>
        </w:tc>
        <w:tc>
          <w:tcPr>
            <w:tcW w:w="559" w:type="pct"/>
            <w:tcBorders>
              <w:top w:val="nil"/>
              <w:left w:val="nil"/>
              <w:bottom w:val="single" w:sz="4" w:space="0" w:color="auto"/>
              <w:right w:val="single" w:sz="4" w:space="0" w:color="auto"/>
            </w:tcBorders>
            <w:noWrap/>
            <w:vAlign w:val="bottom"/>
            <w:hideMark/>
          </w:tcPr>
          <w:p w14:paraId="74A8A3A7" w14:textId="77777777" w:rsidR="00810FAC" w:rsidRPr="00D33008" w:rsidRDefault="00810FAC" w:rsidP="00810FAC">
            <w:pPr>
              <w:pStyle w:val="CH5TableText"/>
              <w:rPr>
                <w:color w:val="000000"/>
                <w:lang w:eastAsia="ja-JP"/>
              </w:rPr>
            </w:pPr>
            <w:r w:rsidRPr="00D33008">
              <w:rPr>
                <w:color w:val="000000"/>
                <w:lang w:eastAsia="ja-JP"/>
              </w:rPr>
              <w:t>8</w:t>
            </w:r>
          </w:p>
        </w:tc>
        <w:tc>
          <w:tcPr>
            <w:tcW w:w="897" w:type="pct"/>
            <w:tcBorders>
              <w:top w:val="nil"/>
              <w:left w:val="nil"/>
              <w:bottom w:val="single" w:sz="4" w:space="0" w:color="auto"/>
              <w:right w:val="single" w:sz="4" w:space="0" w:color="auto"/>
            </w:tcBorders>
            <w:noWrap/>
            <w:hideMark/>
          </w:tcPr>
          <w:p w14:paraId="049B2992" w14:textId="77777777" w:rsidR="00810FAC" w:rsidRPr="00D33008" w:rsidRDefault="00810FAC" w:rsidP="00810FAC">
            <w:pPr>
              <w:pStyle w:val="CH5TableText"/>
              <w:rPr>
                <w:color w:val="000000"/>
                <w:lang w:eastAsia="ja-JP"/>
              </w:rPr>
            </w:pPr>
            <w:r w:rsidRPr="00D33008">
              <w:rPr>
                <w:rFonts w:eastAsia="Calibri"/>
              </w:rPr>
              <w:t>0.11%</w:t>
            </w:r>
          </w:p>
        </w:tc>
        <w:tc>
          <w:tcPr>
            <w:tcW w:w="785" w:type="pct"/>
            <w:tcBorders>
              <w:top w:val="nil"/>
              <w:left w:val="nil"/>
              <w:bottom w:val="single" w:sz="4" w:space="0" w:color="auto"/>
              <w:right w:val="single" w:sz="4" w:space="0" w:color="auto"/>
            </w:tcBorders>
            <w:noWrap/>
            <w:hideMark/>
          </w:tcPr>
          <w:p w14:paraId="4F9668BB" w14:textId="77777777" w:rsidR="00810FAC" w:rsidRPr="00D33008" w:rsidRDefault="00810FAC" w:rsidP="00810FAC">
            <w:pPr>
              <w:pStyle w:val="CH5TableText"/>
              <w:rPr>
                <w:color w:val="000000"/>
                <w:lang w:eastAsia="ja-JP"/>
              </w:rPr>
            </w:pPr>
            <w:r w:rsidRPr="00D33008">
              <w:rPr>
                <w:rFonts w:eastAsia="Calibri"/>
              </w:rPr>
              <w:t xml:space="preserve"> 9.3 </w:t>
            </w:r>
          </w:p>
        </w:tc>
      </w:tr>
      <w:tr w:rsidR="00810FAC" w:rsidRPr="00D33008" w14:paraId="0C258C9B" w14:textId="77777777" w:rsidTr="00810FAC">
        <w:trPr>
          <w:trHeight w:val="300"/>
        </w:trPr>
        <w:tc>
          <w:tcPr>
            <w:tcW w:w="858" w:type="pct"/>
            <w:tcBorders>
              <w:top w:val="nil"/>
              <w:left w:val="single" w:sz="4" w:space="0" w:color="auto"/>
              <w:bottom w:val="single" w:sz="4" w:space="0" w:color="auto"/>
              <w:right w:val="single" w:sz="4" w:space="0" w:color="auto"/>
            </w:tcBorders>
            <w:noWrap/>
            <w:vAlign w:val="bottom"/>
            <w:hideMark/>
          </w:tcPr>
          <w:p w14:paraId="2A8FC202" w14:textId="77777777" w:rsidR="00810FAC" w:rsidRPr="00207284" w:rsidRDefault="00810FAC" w:rsidP="00810FAC">
            <w:pPr>
              <w:pStyle w:val="CH5TableText"/>
              <w:rPr>
                <w:b/>
                <w:color w:val="000000"/>
                <w:lang w:eastAsia="ja-JP"/>
              </w:rPr>
            </w:pPr>
            <w:r w:rsidRPr="00207284">
              <w:rPr>
                <w:b/>
                <w:color w:val="000000"/>
                <w:lang w:eastAsia="ja-JP"/>
              </w:rPr>
              <w:t>Illinois</w:t>
            </w:r>
          </w:p>
        </w:tc>
        <w:tc>
          <w:tcPr>
            <w:tcW w:w="490" w:type="pct"/>
            <w:tcBorders>
              <w:top w:val="nil"/>
              <w:left w:val="nil"/>
              <w:bottom w:val="single" w:sz="4" w:space="0" w:color="auto"/>
              <w:right w:val="single" w:sz="4" w:space="0" w:color="auto"/>
            </w:tcBorders>
            <w:noWrap/>
            <w:vAlign w:val="bottom"/>
            <w:hideMark/>
          </w:tcPr>
          <w:p w14:paraId="68128DC2" w14:textId="77777777" w:rsidR="00810FAC" w:rsidRPr="00D33008" w:rsidRDefault="00810FAC" w:rsidP="00810FAC">
            <w:pPr>
              <w:pStyle w:val="CH5TableText"/>
              <w:rPr>
                <w:color w:val="000000"/>
                <w:lang w:eastAsia="ja-JP"/>
              </w:rPr>
            </w:pPr>
            <w:r w:rsidRPr="00D33008">
              <w:rPr>
                <w:color w:val="000000"/>
                <w:lang w:eastAsia="ja-JP"/>
              </w:rPr>
              <w:t>0.20%</w:t>
            </w:r>
          </w:p>
        </w:tc>
        <w:tc>
          <w:tcPr>
            <w:tcW w:w="439" w:type="pct"/>
            <w:tcBorders>
              <w:top w:val="nil"/>
              <w:left w:val="nil"/>
              <w:bottom w:val="single" w:sz="4" w:space="0" w:color="auto"/>
              <w:right w:val="single" w:sz="4" w:space="0" w:color="auto"/>
            </w:tcBorders>
            <w:noWrap/>
            <w:vAlign w:val="bottom"/>
            <w:hideMark/>
          </w:tcPr>
          <w:p w14:paraId="2AD52CCF" w14:textId="77777777" w:rsidR="00810FAC" w:rsidRPr="00D33008" w:rsidRDefault="00810FAC" w:rsidP="00810FAC">
            <w:pPr>
              <w:pStyle w:val="CH5TableText"/>
              <w:rPr>
                <w:color w:val="000000"/>
                <w:lang w:eastAsia="ja-JP"/>
              </w:rPr>
            </w:pPr>
            <w:r w:rsidRPr="00D33008">
              <w:rPr>
                <w:color w:val="000000"/>
                <w:lang w:eastAsia="ja-JP"/>
              </w:rPr>
              <w:t>2008</w:t>
            </w:r>
          </w:p>
        </w:tc>
        <w:tc>
          <w:tcPr>
            <w:tcW w:w="480" w:type="pct"/>
            <w:tcBorders>
              <w:top w:val="nil"/>
              <w:left w:val="nil"/>
              <w:bottom w:val="single" w:sz="4" w:space="0" w:color="auto"/>
              <w:right w:val="single" w:sz="4" w:space="0" w:color="auto"/>
            </w:tcBorders>
            <w:noWrap/>
            <w:vAlign w:val="bottom"/>
            <w:hideMark/>
          </w:tcPr>
          <w:p w14:paraId="4F24D92A" w14:textId="77777777" w:rsidR="00810FAC" w:rsidRPr="00D33008" w:rsidRDefault="00810FAC" w:rsidP="00810FAC">
            <w:pPr>
              <w:pStyle w:val="CH5TableText"/>
              <w:rPr>
                <w:color w:val="000000"/>
                <w:lang w:eastAsia="ja-JP"/>
              </w:rPr>
            </w:pPr>
            <w:r w:rsidRPr="00D33008">
              <w:rPr>
                <w:color w:val="000000"/>
                <w:lang w:eastAsia="ja-JP"/>
              </w:rPr>
              <w:t>2.0%</w:t>
            </w:r>
          </w:p>
        </w:tc>
        <w:tc>
          <w:tcPr>
            <w:tcW w:w="492" w:type="pct"/>
            <w:tcBorders>
              <w:top w:val="nil"/>
              <w:left w:val="nil"/>
              <w:bottom w:val="single" w:sz="4" w:space="0" w:color="auto"/>
              <w:right w:val="single" w:sz="4" w:space="0" w:color="auto"/>
            </w:tcBorders>
            <w:noWrap/>
            <w:vAlign w:val="bottom"/>
            <w:hideMark/>
          </w:tcPr>
          <w:p w14:paraId="53AC0389" w14:textId="77777777" w:rsidR="00810FAC" w:rsidRPr="00D33008" w:rsidRDefault="00810FAC" w:rsidP="00810FAC">
            <w:pPr>
              <w:pStyle w:val="CH5TableText"/>
              <w:rPr>
                <w:color w:val="000000"/>
                <w:lang w:eastAsia="ja-JP"/>
              </w:rPr>
            </w:pPr>
            <w:r w:rsidRPr="00D33008">
              <w:rPr>
                <w:color w:val="000000"/>
                <w:lang w:eastAsia="ja-JP"/>
              </w:rPr>
              <w:t>2015</w:t>
            </w:r>
          </w:p>
        </w:tc>
        <w:tc>
          <w:tcPr>
            <w:tcW w:w="559" w:type="pct"/>
            <w:tcBorders>
              <w:top w:val="nil"/>
              <w:left w:val="nil"/>
              <w:bottom w:val="single" w:sz="4" w:space="0" w:color="auto"/>
              <w:right w:val="single" w:sz="4" w:space="0" w:color="auto"/>
            </w:tcBorders>
            <w:noWrap/>
            <w:vAlign w:val="bottom"/>
            <w:hideMark/>
          </w:tcPr>
          <w:p w14:paraId="09109276" w14:textId="77777777" w:rsidR="00810FAC" w:rsidRPr="00D33008" w:rsidRDefault="00810FAC" w:rsidP="00810FAC">
            <w:pPr>
              <w:pStyle w:val="CH5TableText"/>
              <w:rPr>
                <w:color w:val="000000"/>
                <w:lang w:eastAsia="ja-JP"/>
              </w:rPr>
            </w:pPr>
            <w:r w:rsidRPr="00D33008">
              <w:rPr>
                <w:color w:val="000000"/>
                <w:lang w:eastAsia="ja-JP"/>
              </w:rPr>
              <w:t>7</w:t>
            </w:r>
          </w:p>
        </w:tc>
        <w:tc>
          <w:tcPr>
            <w:tcW w:w="897" w:type="pct"/>
            <w:tcBorders>
              <w:top w:val="nil"/>
              <w:left w:val="nil"/>
              <w:bottom w:val="single" w:sz="4" w:space="0" w:color="auto"/>
              <w:right w:val="single" w:sz="4" w:space="0" w:color="auto"/>
            </w:tcBorders>
            <w:noWrap/>
            <w:hideMark/>
          </w:tcPr>
          <w:p w14:paraId="5BCF7DBA" w14:textId="77777777" w:rsidR="00810FAC" w:rsidRPr="00D33008" w:rsidRDefault="00810FAC" w:rsidP="00810FAC">
            <w:pPr>
              <w:pStyle w:val="CH5TableText"/>
              <w:rPr>
                <w:color w:val="000000"/>
                <w:lang w:eastAsia="ja-JP"/>
              </w:rPr>
            </w:pPr>
            <w:r w:rsidRPr="00D33008">
              <w:rPr>
                <w:rFonts w:eastAsia="Calibri"/>
              </w:rPr>
              <w:t>0.26%</w:t>
            </w:r>
          </w:p>
        </w:tc>
        <w:tc>
          <w:tcPr>
            <w:tcW w:w="785" w:type="pct"/>
            <w:tcBorders>
              <w:top w:val="nil"/>
              <w:left w:val="nil"/>
              <w:bottom w:val="single" w:sz="4" w:space="0" w:color="auto"/>
              <w:right w:val="single" w:sz="4" w:space="0" w:color="auto"/>
            </w:tcBorders>
            <w:noWrap/>
            <w:hideMark/>
          </w:tcPr>
          <w:p w14:paraId="42171FA3" w14:textId="77777777" w:rsidR="00810FAC" w:rsidRPr="00D33008" w:rsidRDefault="00810FAC" w:rsidP="00810FAC">
            <w:pPr>
              <w:pStyle w:val="CH5TableText"/>
              <w:rPr>
                <w:color w:val="000000"/>
                <w:lang w:eastAsia="ja-JP"/>
              </w:rPr>
            </w:pPr>
            <w:r w:rsidRPr="00D33008">
              <w:rPr>
                <w:rFonts w:eastAsia="Calibri"/>
              </w:rPr>
              <w:t xml:space="preserve"> 3.9 </w:t>
            </w:r>
          </w:p>
        </w:tc>
      </w:tr>
      <w:tr w:rsidR="00810FAC" w:rsidRPr="00D33008" w14:paraId="33987BF5" w14:textId="77777777" w:rsidTr="00810FAC">
        <w:trPr>
          <w:trHeight w:val="300"/>
        </w:trPr>
        <w:tc>
          <w:tcPr>
            <w:tcW w:w="858" w:type="pct"/>
            <w:tcBorders>
              <w:top w:val="nil"/>
              <w:left w:val="single" w:sz="4" w:space="0" w:color="auto"/>
              <w:bottom w:val="single" w:sz="4" w:space="0" w:color="auto"/>
              <w:right w:val="single" w:sz="4" w:space="0" w:color="auto"/>
            </w:tcBorders>
            <w:noWrap/>
            <w:vAlign w:val="bottom"/>
            <w:hideMark/>
          </w:tcPr>
          <w:p w14:paraId="178FC85D" w14:textId="77777777" w:rsidR="00810FAC" w:rsidRPr="00207284" w:rsidRDefault="00810FAC" w:rsidP="00810FAC">
            <w:pPr>
              <w:pStyle w:val="CH5TableText"/>
              <w:rPr>
                <w:b/>
                <w:color w:val="000000"/>
                <w:lang w:eastAsia="ja-JP"/>
              </w:rPr>
            </w:pPr>
            <w:r w:rsidRPr="00207284">
              <w:rPr>
                <w:b/>
                <w:color w:val="000000"/>
                <w:lang w:eastAsia="ja-JP"/>
              </w:rPr>
              <w:t>Indiana</w:t>
            </w:r>
          </w:p>
        </w:tc>
        <w:tc>
          <w:tcPr>
            <w:tcW w:w="490" w:type="pct"/>
            <w:tcBorders>
              <w:top w:val="nil"/>
              <w:left w:val="nil"/>
              <w:bottom w:val="single" w:sz="4" w:space="0" w:color="auto"/>
              <w:right w:val="single" w:sz="4" w:space="0" w:color="auto"/>
            </w:tcBorders>
            <w:noWrap/>
            <w:vAlign w:val="bottom"/>
            <w:hideMark/>
          </w:tcPr>
          <w:p w14:paraId="02065827" w14:textId="77777777" w:rsidR="00810FAC" w:rsidRPr="00D33008" w:rsidRDefault="00810FAC" w:rsidP="00810FAC">
            <w:pPr>
              <w:pStyle w:val="CH5TableText"/>
              <w:rPr>
                <w:color w:val="000000"/>
                <w:lang w:eastAsia="ja-JP"/>
              </w:rPr>
            </w:pPr>
            <w:r w:rsidRPr="00D33008">
              <w:rPr>
                <w:color w:val="000000"/>
                <w:lang w:eastAsia="ja-JP"/>
              </w:rPr>
              <w:t>0.30%</w:t>
            </w:r>
          </w:p>
        </w:tc>
        <w:tc>
          <w:tcPr>
            <w:tcW w:w="439" w:type="pct"/>
            <w:tcBorders>
              <w:top w:val="nil"/>
              <w:left w:val="nil"/>
              <w:bottom w:val="single" w:sz="4" w:space="0" w:color="auto"/>
              <w:right w:val="single" w:sz="4" w:space="0" w:color="auto"/>
            </w:tcBorders>
            <w:noWrap/>
            <w:vAlign w:val="bottom"/>
            <w:hideMark/>
          </w:tcPr>
          <w:p w14:paraId="487084C4" w14:textId="77777777" w:rsidR="00810FAC" w:rsidRPr="00D33008" w:rsidRDefault="00810FAC" w:rsidP="00810FAC">
            <w:pPr>
              <w:pStyle w:val="CH5TableText"/>
              <w:rPr>
                <w:color w:val="000000"/>
                <w:lang w:eastAsia="ja-JP"/>
              </w:rPr>
            </w:pPr>
            <w:r w:rsidRPr="00D33008">
              <w:rPr>
                <w:color w:val="000000"/>
                <w:lang w:eastAsia="ja-JP"/>
              </w:rPr>
              <w:t>2010</w:t>
            </w:r>
          </w:p>
        </w:tc>
        <w:tc>
          <w:tcPr>
            <w:tcW w:w="480" w:type="pct"/>
            <w:tcBorders>
              <w:top w:val="nil"/>
              <w:left w:val="nil"/>
              <w:bottom w:val="single" w:sz="4" w:space="0" w:color="auto"/>
              <w:right w:val="single" w:sz="4" w:space="0" w:color="auto"/>
            </w:tcBorders>
            <w:noWrap/>
            <w:vAlign w:val="bottom"/>
            <w:hideMark/>
          </w:tcPr>
          <w:p w14:paraId="1FA240AE" w14:textId="77777777" w:rsidR="00810FAC" w:rsidRPr="00D33008" w:rsidRDefault="00810FAC" w:rsidP="00810FAC">
            <w:pPr>
              <w:pStyle w:val="CH5TableText"/>
              <w:rPr>
                <w:color w:val="000000"/>
                <w:lang w:eastAsia="ja-JP"/>
              </w:rPr>
            </w:pPr>
            <w:r w:rsidRPr="00D33008">
              <w:rPr>
                <w:color w:val="000000"/>
                <w:lang w:eastAsia="ja-JP"/>
              </w:rPr>
              <w:t>2.0%</w:t>
            </w:r>
          </w:p>
        </w:tc>
        <w:tc>
          <w:tcPr>
            <w:tcW w:w="492" w:type="pct"/>
            <w:tcBorders>
              <w:top w:val="nil"/>
              <w:left w:val="nil"/>
              <w:bottom w:val="single" w:sz="4" w:space="0" w:color="auto"/>
              <w:right w:val="single" w:sz="4" w:space="0" w:color="auto"/>
            </w:tcBorders>
            <w:noWrap/>
            <w:vAlign w:val="bottom"/>
            <w:hideMark/>
          </w:tcPr>
          <w:p w14:paraId="2E9805CA" w14:textId="77777777" w:rsidR="00810FAC" w:rsidRPr="00D33008" w:rsidRDefault="00810FAC" w:rsidP="00810FAC">
            <w:pPr>
              <w:pStyle w:val="CH5TableText"/>
              <w:rPr>
                <w:color w:val="000000"/>
                <w:lang w:eastAsia="ja-JP"/>
              </w:rPr>
            </w:pPr>
            <w:r w:rsidRPr="00D33008">
              <w:rPr>
                <w:color w:val="000000"/>
                <w:lang w:eastAsia="ja-JP"/>
              </w:rPr>
              <w:t>2019</w:t>
            </w:r>
          </w:p>
        </w:tc>
        <w:tc>
          <w:tcPr>
            <w:tcW w:w="559" w:type="pct"/>
            <w:tcBorders>
              <w:top w:val="nil"/>
              <w:left w:val="nil"/>
              <w:bottom w:val="single" w:sz="4" w:space="0" w:color="auto"/>
              <w:right w:val="single" w:sz="4" w:space="0" w:color="auto"/>
            </w:tcBorders>
            <w:noWrap/>
            <w:vAlign w:val="bottom"/>
            <w:hideMark/>
          </w:tcPr>
          <w:p w14:paraId="1922E12A" w14:textId="77777777" w:rsidR="00810FAC" w:rsidRPr="00D33008" w:rsidRDefault="00810FAC" w:rsidP="00810FAC">
            <w:pPr>
              <w:pStyle w:val="CH5TableText"/>
              <w:rPr>
                <w:color w:val="000000"/>
                <w:lang w:eastAsia="ja-JP"/>
              </w:rPr>
            </w:pPr>
            <w:r w:rsidRPr="00D33008">
              <w:rPr>
                <w:color w:val="000000"/>
                <w:lang w:eastAsia="ja-JP"/>
              </w:rPr>
              <w:t>9</w:t>
            </w:r>
          </w:p>
        </w:tc>
        <w:tc>
          <w:tcPr>
            <w:tcW w:w="897" w:type="pct"/>
            <w:tcBorders>
              <w:top w:val="nil"/>
              <w:left w:val="nil"/>
              <w:bottom w:val="single" w:sz="4" w:space="0" w:color="auto"/>
              <w:right w:val="single" w:sz="4" w:space="0" w:color="auto"/>
            </w:tcBorders>
            <w:noWrap/>
            <w:hideMark/>
          </w:tcPr>
          <w:p w14:paraId="6A24C65F" w14:textId="77777777" w:rsidR="00810FAC" w:rsidRPr="00D33008" w:rsidRDefault="00810FAC" w:rsidP="00810FAC">
            <w:pPr>
              <w:pStyle w:val="CH5TableText"/>
              <w:rPr>
                <w:color w:val="000000"/>
                <w:lang w:eastAsia="ja-JP"/>
              </w:rPr>
            </w:pPr>
            <w:r w:rsidRPr="00D33008">
              <w:rPr>
                <w:rFonts w:eastAsia="Calibri"/>
              </w:rPr>
              <w:t>0.19%</w:t>
            </w:r>
          </w:p>
        </w:tc>
        <w:tc>
          <w:tcPr>
            <w:tcW w:w="785" w:type="pct"/>
            <w:tcBorders>
              <w:top w:val="nil"/>
              <w:left w:val="nil"/>
              <w:bottom w:val="single" w:sz="4" w:space="0" w:color="auto"/>
              <w:right w:val="single" w:sz="4" w:space="0" w:color="auto"/>
            </w:tcBorders>
            <w:noWrap/>
            <w:hideMark/>
          </w:tcPr>
          <w:p w14:paraId="1FDB1A9B" w14:textId="77777777" w:rsidR="00810FAC" w:rsidRPr="00D33008" w:rsidRDefault="00810FAC" w:rsidP="00810FAC">
            <w:pPr>
              <w:pStyle w:val="CH5TableText"/>
              <w:rPr>
                <w:color w:val="000000"/>
                <w:lang w:eastAsia="ja-JP"/>
              </w:rPr>
            </w:pPr>
            <w:r w:rsidRPr="00D33008">
              <w:rPr>
                <w:rFonts w:eastAsia="Calibri"/>
              </w:rPr>
              <w:t xml:space="preserve"> 5.3 </w:t>
            </w:r>
          </w:p>
        </w:tc>
      </w:tr>
      <w:tr w:rsidR="00810FAC" w:rsidRPr="00D33008" w14:paraId="687FEFBC" w14:textId="77777777" w:rsidTr="00810FAC">
        <w:trPr>
          <w:trHeight w:val="300"/>
        </w:trPr>
        <w:tc>
          <w:tcPr>
            <w:tcW w:w="858" w:type="pct"/>
            <w:tcBorders>
              <w:top w:val="nil"/>
              <w:left w:val="single" w:sz="4" w:space="0" w:color="auto"/>
              <w:bottom w:val="single" w:sz="4" w:space="0" w:color="auto"/>
              <w:right w:val="single" w:sz="4" w:space="0" w:color="auto"/>
            </w:tcBorders>
            <w:noWrap/>
            <w:vAlign w:val="bottom"/>
            <w:hideMark/>
          </w:tcPr>
          <w:p w14:paraId="7BD84310" w14:textId="77777777" w:rsidR="00810FAC" w:rsidRPr="00207284" w:rsidRDefault="00810FAC" w:rsidP="00810FAC">
            <w:pPr>
              <w:pStyle w:val="CH5TableText"/>
              <w:rPr>
                <w:b/>
                <w:color w:val="000000"/>
                <w:lang w:eastAsia="ja-JP"/>
              </w:rPr>
            </w:pPr>
            <w:r w:rsidRPr="00207284">
              <w:rPr>
                <w:b/>
                <w:color w:val="000000"/>
                <w:lang w:eastAsia="ja-JP"/>
              </w:rPr>
              <w:t>Massachusetts</w:t>
            </w:r>
          </w:p>
        </w:tc>
        <w:tc>
          <w:tcPr>
            <w:tcW w:w="490" w:type="pct"/>
            <w:tcBorders>
              <w:top w:val="nil"/>
              <w:left w:val="nil"/>
              <w:bottom w:val="single" w:sz="4" w:space="0" w:color="auto"/>
              <w:right w:val="single" w:sz="4" w:space="0" w:color="auto"/>
            </w:tcBorders>
            <w:noWrap/>
            <w:vAlign w:val="bottom"/>
            <w:hideMark/>
          </w:tcPr>
          <w:p w14:paraId="3291AD95" w14:textId="77777777" w:rsidR="00810FAC" w:rsidRPr="00D33008" w:rsidRDefault="00810FAC" w:rsidP="00810FAC">
            <w:pPr>
              <w:pStyle w:val="CH5TableText"/>
              <w:rPr>
                <w:color w:val="000000"/>
                <w:lang w:eastAsia="ja-JP"/>
              </w:rPr>
            </w:pPr>
            <w:r w:rsidRPr="00D33008">
              <w:rPr>
                <w:color w:val="000000"/>
                <w:lang w:eastAsia="ja-JP"/>
              </w:rPr>
              <w:t>1.4%</w:t>
            </w:r>
          </w:p>
        </w:tc>
        <w:tc>
          <w:tcPr>
            <w:tcW w:w="439" w:type="pct"/>
            <w:tcBorders>
              <w:top w:val="nil"/>
              <w:left w:val="nil"/>
              <w:bottom w:val="single" w:sz="4" w:space="0" w:color="auto"/>
              <w:right w:val="single" w:sz="4" w:space="0" w:color="auto"/>
            </w:tcBorders>
            <w:noWrap/>
            <w:vAlign w:val="bottom"/>
            <w:hideMark/>
          </w:tcPr>
          <w:p w14:paraId="19BCEED8" w14:textId="77777777" w:rsidR="00810FAC" w:rsidRPr="00D33008" w:rsidRDefault="00810FAC" w:rsidP="00810FAC">
            <w:pPr>
              <w:pStyle w:val="CH5TableText"/>
              <w:rPr>
                <w:color w:val="000000"/>
                <w:lang w:eastAsia="ja-JP"/>
              </w:rPr>
            </w:pPr>
            <w:r w:rsidRPr="00D33008">
              <w:rPr>
                <w:color w:val="000000"/>
                <w:lang w:eastAsia="ja-JP"/>
              </w:rPr>
              <w:t>2010</w:t>
            </w:r>
          </w:p>
        </w:tc>
        <w:tc>
          <w:tcPr>
            <w:tcW w:w="480" w:type="pct"/>
            <w:tcBorders>
              <w:top w:val="nil"/>
              <w:left w:val="nil"/>
              <w:bottom w:val="single" w:sz="4" w:space="0" w:color="auto"/>
              <w:right w:val="single" w:sz="4" w:space="0" w:color="auto"/>
            </w:tcBorders>
            <w:noWrap/>
            <w:vAlign w:val="bottom"/>
            <w:hideMark/>
          </w:tcPr>
          <w:p w14:paraId="0023936A" w14:textId="77777777" w:rsidR="00810FAC" w:rsidRPr="00D33008" w:rsidRDefault="00810FAC" w:rsidP="00810FAC">
            <w:pPr>
              <w:pStyle w:val="CH5TableText"/>
              <w:rPr>
                <w:color w:val="000000"/>
                <w:lang w:eastAsia="ja-JP"/>
              </w:rPr>
            </w:pPr>
            <w:r w:rsidRPr="00D33008">
              <w:rPr>
                <w:color w:val="000000"/>
                <w:lang w:eastAsia="ja-JP"/>
              </w:rPr>
              <w:t>2.6%</w:t>
            </w:r>
          </w:p>
        </w:tc>
        <w:tc>
          <w:tcPr>
            <w:tcW w:w="492" w:type="pct"/>
            <w:tcBorders>
              <w:top w:val="nil"/>
              <w:left w:val="nil"/>
              <w:bottom w:val="single" w:sz="4" w:space="0" w:color="auto"/>
              <w:right w:val="single" w:sz="4" w:space="0" w:color="auto"/>
            </w:tcBorders>
            <w:noWrap/>
            <w:vAlign w:val="bottom"/>
            <w:hideMark/>
          </w:tcPr>
          <w:p w14:paraId="6FDAECCC" w14:textId="77777777" w:rsidR="00810FAC" w:rsidRPr="00D33008" w:rsidRDefault="00810FAC" w:rsidP="00810FAC">
            <w:pPr>
              <w:pStyle w:val="CH5TableText"/>
              <w:rPr>
                <w:color w:val="000000"/>
                <w:lang w:eastAsia="ja-JP"/>
              </w:rPr>
            </w:pPr>
            <w:r w:rsidRPr="00D33008">
              <w:rPr>
                <w:color w:val="000000"/>
                <w:lang w:eastAsia="ja-JP"/>
              </w:rPr>
              <w:t>2015</w:t>
            </w:r>
          </w:p>
        </w:tc>
        <w:tc>
          <w:tcPr>
            <w:tcW w:w="559" w:type="pct"/>
            <w:tcBorders>
              <w:top w:val="nil"/>
              <w:left w:val="nil"/>
              <w:bottom w:val="single" w:sz="4" w:space="0" w:color="auto"/>
              <w:right w:val="single" w:sz="4" w:space="0" w:color="auto"/>
            </w:tcBorders>
            <w:noWrap/>
            <w:vAlign w:val="bottom"/>
            <w:hideMark/>
          </w:tcPr>
          <w:p w14:paraId="3CBB3D28" w14:textId="77777777" w:rsidR="00810FAC" w:rsidRPr="00D33008" w:rsidRDefault="00810FAC" w:rsidP="00810FAC">
            <w:pPr>
              <w:pStyle w:val="CH5TableText"/>
              <w:rPr>
                <w:color w:val="000000"/>
                <w:lang w:eastAsia="ja-JP"/>
              </w:rPr>
            </w:pPr>
            <w:r w:rsidRPr="00D33008">
              <w:rPr>
                <w:color w:val="000000"/>
                <w:lang w:eastAsia="ja-JP"/>
              </w:rPr>
              <w:t>5</w:t>
            </w:r>
          </w:p>
        </w:tc>
        <w:tc>
          <w:tcPr>
            <w:tcW w:w="897" w:type="pct"/>
            <w:tcBorders>
              <w:top w:val="nil"/>
              <w:left w:val="nil"/>
              <w:bottom w:val="single" w:sz="4" w:space="0" w:color="auto"/>
              <w:right w:val="single" w:sz="4" w:space="0" w:color="auto"/>
            </w:tcBorders>
            <w:noWrap/>
            <w:hideMark/>
          </w:tcPr>
          <w:p w14:paraId="7625F0BC" w14:textId="77777777" w:rsidR="00810FAC" w:rsidRPr="00D33008" w:rsidRDefault="00810FAC" w:rsidP="00810FAC">
            <w:pPr>
              <w:pStyle w:val="CH5TableText"/>
              <w:rPr>
                <w:color w:val="000000"/>
                <w:lang w:eastAsia="ja-JP"/>
              </w:rPr>
            </w:pPr>
            <w:r w:rsidRPr="00D33008">
              <w:rPr>
                <w:rFonts w:eastAsia="Calibri"/>
              </w:rPr>
              <w:t>0.24%</w:t>
            </w:r>
          </w:p>
        </w:tc>
        <w:tc>
          <w:tcPr>
            <w:tcW w:w="785" w:type="pct"/>
            <w:tcBorders>
              <w:top w:val="nil"/>
              <w:left w:val="nil"/>
              <w:bottom w:val="single" w:sz="4" w:space="0" w:color="auto"/>
              <w:right w:val="single" w:sz="4" w:space="0" w:color="auto"/>
            </w:tcBorders>
            <w:noWrap/>
            <w:hideMark/>
          </w:tcPr>
          <w:p w14:paraId="289147E5" w14:textId="77777777" w:rsidR="00810FAC" w:rsidRPr="00D33008" w:rsidRDefault="00810FAC" w:rsidP="00810FAC">
            <w:pPr>
              <w:pStyle w:val="CH5TableText"/>
              <w:rPr>
                <w:color w:val="000000"/>
                <w:lang w:eastAsia="ja-JP"/>
              </w:rPr>
            </w:pPr>
            <w:r w:rsidRPr="00D33008">
              <w:rPr>
                <w:rFonts w:eastAsia="Calibri"/>
              </w:rPr>
              <w:t xml:space="preserve"> 4.2 </w:t>
            </w:r>
          </w:p>
        </w:tc>
      </w:tr>
      <w:tr w:rsidR="00810FAC" w:rsidRPr="00D33008" w14:paraId="5187F605" w14:textId="77777777" w:rsidTr="00810FAC">
        <w:trPr>
          <w:trHeight w:val="300"/>
        </w:trPr>
        <w:tc>
          <w:tcPr>
            <w:tcW w:w="858" w:type="pct"/>
            <w:tcBorders>
              <w:top w:val="nil"/>
              <w:left w:val="single" w:sz="4" w:space="0" w:color="auto"/>
              <w:bottom w:val="single" w:sz="4" w:space="0" w:color="auto"/>
              <w:right w:val="single" w:sz="4" w:space="0" w:color="auto"/>
            </w:tcBorders>
            <w:noWrap/>
            <w:vAlign w:val="bottom"/>
            <w:hideMark/>
          </w:tcPr>
          <w:p w14:paraId="0F1CED72" w14:textId="77777777" w:rsidR="00810FAC" w:rsidRPr="00207284" w:rsidRDefault="00810FAC" w:rsidP="00810FAC">
            <w:pPr>
              <w:pStyle w:val="CH5TableText"/>
              <w:rPr>
                <w:b/>
                <w:color w:val="000000"/>
                <w:lang w:eastAsia="ja-JP"/>
              </w:rPr>
            </w:pPr>
            <w:r w:rsidRPr="00207284">
              <w:rPr>
                <w:b/>
                <w:color w:val="000000"/>
                <w:lang w:eastAsia="ja-JP"/>
              </w:rPr>
              <w:t>Michigan</w:t>
            </w:r>
          </w:p>
        </w:tc>
        <w:tc>
          <w:tcPr>
            <w:tcW w:w="490" w:type="pct"/>
            <w:tcBorders>
              <w:top w:val="nil"/>
              <w:left w:val="nil"/>
              <w:bottom w:val="single" w:sz="4" w:space="0" w:color="auto"/>
              <w:right w:val="single" w:sz="4" w:space="0" w:color="auto"/>
            </w:tcBorders>
            <w:noWrap/>
            <w:vAlign w:val="bottom"/>
            <w:hideMark/>
          </w:tcPr>
          <w:p w14:paraId="63CDE256" w14:textId="77777777" w:rsidR="00810FAC" w:rsidRPr="00D33008" w:rsidRDefault="00810FAC" w:rsidP="00810FAC">
            <w:pPr>
              <w:pStyle w:val="CH5TableText"/>
              <w:rPr>
                <w:color w:val="000000"/>
                <w:lang w:eastAsia="ja-JP"/>
              </w:rPr>
            </w:pPr>
            <w:r w:rsidRPr="00D33008">
              <w:rPr>
                <w:color w:val="000000"/>
                <w:lang w:eastAsia="ja-JP"/>
              </w:rPr>
              <w:t>0.3%</w:t>
            </w:r>
          </w:p>
        </w:tc>
        <w:tc>
          <w:tcPr>
            <w:tcW w:w="439" w:type="pct"/>
            <w:tcBorders>
              <w:top w:val="nil"/>
              <w:left w:val="nil"/>
              <w:bottom w:val="single" w:sz="4" w:space="0" w:color="auto"/>
              <w:right w:val="single" w:sz="4" w:space="0" w:color="auto"/>
            </w:tcBorders>
            <w:noWrap/>
            <w:vAlign w:val="bottom"/>
            <w:hideMark/>
          </w:tcPr>
          <w:p w14:paraId="6C70F8B9" w14:textId="77777777" w:rsidR="00810FAC" w:rsidRPr="00D33008" w:rsidRDefault="00810FAC" w:rsidP="00810FAC">
            <w:pPr>
              <w:pStyle w:val="CH5TableText"/>
              <w:rPr>
                <w:color w:val="000000"/>
                <w:lang w:eastAsia="ja-JP"/>
              </w:rPr>
            </w:pPr>
            <w:r w:rsidRPr="00D33008">
              <w:rPr>
                <w:color w:val="000000"/>
                <w:lang w:eastAsia="ja-JP"/>
              </w:rPr>
              <w:t>2009</w:t>
            </w:r>
          </w:p>
        </w:tc>
        <w:tc>
          <w:tcPr>
            <w:tcW w:w="480" w:type="pct"/>
            <w:tcBorders>
              <w:top w:val="nil"/>
              <w:left w:val="nil"/>
              <w:bottom w:val="single" w:sz="4" w:space="0" w:color="auto"/>
              <w:right w:val="single" w:sz="4" w:space="0" w:color="auto"/>
            </w:tcBorders>
            <w:noWrap/>
            <w:vAlign w:val="bottom"/>
            <w:hideMark/>
          </w:tcPr>
          <w:p w14:paraId="4502B83C" w14:textId="77777777" w:rsidR="00810FAC" w:rsidRPr="00D33008" w:rsidRDefault="00810FAC" w:rsidP="00810FAC">
            <w:pPr>
              <w:pStyle w:val="CH5TableText"/>
              <w:rPr>
                <w:color w:val="000000"/>
                <w:lang w:eastAsia="ja-JP"/>
              </w:rPr>
            </w:pPr>
            <w:r w:rsidRPr="00D33008">
              <w:rPr>
                <w:color w:val="000000"/>
                <w:lang w:eastAsia="ja-JP"/>
              </w:rPr>
              <w:t>1.0%</w:t>
            </w:r>
          </w:p>
        </w:tc>
        <w:tc>
          <w:tcPr>
            <w:tcW w:w="492" w:type="pct"/>
            <w:tcBorders>
              <w:top w:val="nil"/>
              <w:left w:val="nil"/>
              <w:bottom w:val="single" w:sz="4" w:space="0" w:color="auto"/>
              <w:right w:val="single" w:sz="4" w:space="0" w:color="auto"/>
            </w:tcBorders>
            <w:noWrap/>
            <w:vAlign w:val="bottom"/>
            <w:hideMark/>
          </w:tcPr>
          <w:p w14:paraId="1462A659" w14:textId="77777777" w:rsidR="00810FAC" w:rsidRPr="00D33008" w:rsidRDefault="00810FAC" w:rsidP="00810FAC">
            <w:pPr>
              <w:pStyle w:val="CH5TableText"/>
              <w:rPr>
                <w:color w:val="000000"/>
                <w:lang w:eastAsia="ja-JP"/>
              </w:rPr>
            </w:pPr>
            <w:r w:rsidRPr="00D33008">
              <w:rPr>
                <w:color w:val="000000"/>
                <w:lang w:eastAsia="ja-JP"/>
              </w:rPr>
              <w:t>2012</w:t>
            </w:r>
          </w:p>
        </w:tc>
        <w:tc>
          <w:tcPr>
            <w:tcW w:w="559" w:type="pct"/>
            <w:tcBorders>
              <w:top w:val="nil"/>
              <w:left w:val="nil"/>
              <w:bottom w:val="single" w:sz="4" w:space="0" w:color="auto"/>
              <w:right w:val="single" w:sz="4" w:space="0" w:color="auto"/>
            </w:tcBorders>
            <w:noWrap/>
            <w:vAlign w:val="bottom"/>
            <w:hideMark/>
          </w:tcPr>
          <w:p w14:paraId="279461ED" w14:textId="77777777" w:rsidR="00810FAC" w:rsidRPr="00D33008" w:rsidRDefault="00810FAC" w:rsidP="00810FAC">
            <w:pPr>
              <w:pStyle w:val="CH5TableText"/>
              <w:rPr>
                <w:color w:val="000000"/>
                <w:lang w:eastAsia="ja-JP"/>
              </w:rPr>
            </w:pPr>
            <w:r w:rsidRPr="00D33008">
              <w:rPr>
                <w:color w:val="000000"/>
                <w:lang w:eastAsia="ja-JP"/>
              </w:rPr>
              <w:t>3</w:t>
            </w:r>
          </w:p>
        </w:tc>
        <w:tc>
          <w:tcPr>
            <w:tcW w:w="897" w:type="pct"/>
            <w:tcBorders>
              <w:top w:val="nil"/>
              <w:left w:val="nil"/>
              <w:bottom w:val="single" w:sz="4" w:space="0" w:color="auto"/>
              <w:right w:val="single" w:sz="4" w:space="0" w:color="auto"/>
            </w:tcBorders>
            <w:noWrap/>
            <w:hideMark/>
          </w:tcPr>
          <w:p w14:paraId="027D806B" w14:textId="77777777" w:rsidR="00810FAC" w:rsidRPr="00D33008" w:rsidRDefault="00810FAC" w:rsidP="00810FAC">
            <w:pPr>
              <w:pStyle w:val="CH5TableText"/>
              <w:rPr>
                <w:color w:val="000000"/>
                <w:lang w:eastAsia="ja-JP"/>
              </w:rPr>
            </w:pPr>
            <w:r w:rsidRPr="00D33008">
              <w:rPr>
                <w:rFonts w:eastAsia="Calibri"/>
              </w:rPr>
              <w:t>0.23%</w:t>
            </w:r>
          </w:p>
        </w:tc>
        <w:tc>
          <w:tcPr>
            <w:tcW w:w="785" w:type="pct"/>
            <w:tcBorders>
              <w:top w:val="nil"/>
              <w:left w:val="nil"/>
              <w:bottom w:val="single" w:sz="4" w:space="0" w:color="auto"/>
              <w:right w:val="single" w:sz="4" w:space="0" w:color="auto"/>
            </w:tcBorders>
            <w:noWrap/>
            <w:hideMark/>
          </w:tcPr>
          <w:p w14:paraId="23B428A5" w14:textId="77777777" w:rsidR="00810FAC" w:rsidRPr="00D33008" w:rsidRDefault="00810FAC" w:rsidP="00810FAC">
            <w:pPr>
              <w:pStyle w:val="CH5TableText"/>
              <w:rPr>
                <w:color w:val="000000"/>
                <w:lang w:eastAsia="ja-JP"/>
              </w:rPr>
            </w:pPr>
            <w:r w:rsidRPr="00D33008">
              <w:rPr>
                <w:rFonts w:eastAsia="Calibri"/>
              </w:rPr>
              <w:t xml:space="preserve"> 4.3 </w:t>
            </w:r>
          </w:p>
        </w:tc>
      </w:tr>
      <w:tr w:rsidR="00810FAC" w:rsidRPr="00D33008" w14:paraId="7FA3F9DC" w14:textId="77777777" w:rsidTr="00810FAC">
        <w:trPr>
          <w:trHeight w:val="300"/>
        </w:trPr>
        <w:tc>
          <w:tcPr>
            <w:tcW w:w="858" w:type="pct"/>
            <w:tcBorders>
              <w:top w:val="nil"/>
              <w:left w:val="single" w:sz="4" w:space="0" w:color="auto"/>
              <w:bottom w:val="single" w:sz="4" w:space="0" w:color="auto"/>
              <w:right w:val="single" w:sz="4" w:space="0" w:color="auto"/>
            </w:tcBorders>
            <w:noWrap/>
            <w:vAlign w:val="bottom"/>
            <w:hideMark/>
          </w:tcPr>
          <w:p w14:paraId="67F5F182" w14:textId="77777777" w:rsidR="00810FAC" w:rsidRPr="00207284" w:rsidRDefault="00810FAC" w:rsidP="00810FAC">
            <w:pPr>
              <w:pStyle w:val="CH5TableText"/>
              <w:rPr>
                <w:b/>
                <w:color w:val="000000"/>
                <w:lang w:eastAsia="ja-JP"/>
              </w:rPr>
            </w:pPr>
            <w:r w:rsidRPr="00207284">
              <w:rPr>
                <w:b/>
                <w:color w:val="000000"/>
                <w:lang w:eastAsia="ja-JP"/>
              </w:rPr>
              <w:t>Ohio</w:t>
            </w:r>
          </w:p>
        </w:tc>
        <w:tc>
          <w:tcPr>
            <w:tcW w:w="490" w:type="pct"/>
            <w:tcBorders>
              <w:top w:val="nil"/>
              <w:left w:val="nil"/>
              <w:bottom w:val="single" w:sz="4" w:space="0" w:color="auto"/>
              <w:right w:val="single" w:sz="4" w:space="0" w:color="auto"/>
            </w:tcBorders>
            <w:noWrap/>
            <w:vAlign w:val="bottom"/>
            <w:hideMark/>
          </w:tcPr>
          <w:p w14:paraId="613F044E" w14:textId="77777777" w:rsidR="00810FAC" w:rsidRPr="00D33008" w:rsidRDefault="00810FAC" w:rsidP="00810FAC">
            <w:pPr>
              <w:pStyle w:val="CH5TableText"/>
              <w:rPr>
                <w:color w:val="000000"/>
                <w:lang w:eastAsia="ja-JP"/>
              </w:rPr>
            </w:pPr>
            <w:r w:rsidRPr="00D33008">
              <w:rPr>
                <w:color w:val="000000"/>
                <w:lang w:eastAsia="ja-JP"/>
              </w:rPr>
              <w:t>0.3%</w:t>
            </w:r>
          </w:p>
        </w:tc>
        <w:tc>
          <w:tcPr>
            <w:tcW w:w="439" w:type="pct"/>
            <w:tcBorders>
              <w:top w:val="nil"/>
              <w:left w:val="nil"/>
              <w:bottom w:val="single" w:sz="4" w:space="0" w:color="auto"/>
              <w:right w:val="single" w:sz="4" w:space="0" w:color="auto"/>
            </w:tcBorders>
            <w:noWrap/>
            <w:vAlign w:val="bottom"/>
            <w:hideMark/>
          </w:tcPr>
          <w:p w14:paraId="49951CBF" w14:textId="77777777" w:rsidR="00810FAC" w:rsidRPr="00D33008" w:rsidRDefault="00810FAC" w:rsidP="00810FAC">
            <w:pPr>
              <w:pStyle w:val="CH5TableText"/>
              <w:rPr>
                <w:color w:val="000000"/>
                <w:lang w:eastAsia="ja-JP"/>
              </w:rPr>
            </w:pPr>
            <w:r w:rsidRPr="00D33008">
              <w:rPr>
                <w:color w:val="000000"/>
                <w:lang w:eastAsia="ja-JP"/>
              </w:rPr>
              <w:t>2009</w:t>
            </w:r>
          </w:p>
        </w:tc>
        <w:tc>
          <w:tcPr>
            <w:tcW w:w="480" w:type="pct"/>
            <w:tcBorders>
              <w:top w:val="nil"/>
              <w:left w:val="nil"/>
              <w:bottom w:val="single" w:sz="4" w:space="0" w:color="auto"/>
              <w:right w:val="single" w:sz="4" w:space="0" w:color="auto"/>
            </w:tcBorders>
            <w:noWrap/>
            <w:vAlign w:val="bottom"/>
            <w:hideMark/>
          </w:tcPr>
          <w:p w14:paraId="787CA140" w14:textId="77777777" w:rsidR="00810FAC" w:rsidRPr="00D33008" w:rsidRDefault="00810FAC" w:rsidP="00810FAC">
            <w:pPr>
              <w:pStyle w:val="CH5TableText"/>
              <w:rPr>
                <w:color w:val="000000"/>
                <w:lang w:eastAsia="ja-JP"/>
              </w:rPr>
            </w:pPr>
            <w:r w:rsidRPr="00D33008">
              <w:rPr>
                <w:color w:val="000000"/>
                <w:lang w:eastAsia="ja-JP"/>
              </w:rPr>
              <w:t>1.2%</w:t>
            </w:r>
          </w:p>
        </w:tc>
        <w:tc>
          <w:tcPr>
            <w:tcW w:w="492" w:type="pct"/>
            <w:tcBorders>
              <w:top w:val="nil"/>
              <w:left w:val="nil"/>
              <w:bottom w:val="single" w:sz="4" w:space="0" w:color="auto"/>
              <w:right w:val="single" w:sz="4" w:space="0" w:color="auto"/>
            </w:tcBorders>
            <w:noWrap/>
            <w:vAlign w:val="bottom"/>
            <w:hideMark/>
          </w:tcPr>
          <w:p w14:paraId="60431A98" w14:textId="77777777" w:rsidR="00810FAC" w:rsidRPr="00D33008" w:rsidRDefault="00810FAC" w:rsidP="00810FAC">
            <w:pPr>
              <w:pStyle w:val="CH5TableText"/>
              <w:rPr>
                <w:color w:val="000000"/>
                <w:lang w:eastAsia="ja-JP"/>
              </w:rPr>
            </w:pPr>
            <w:r w:rsidRPr="00D33008">
              <w:rPr>
                <w:color w:val="000000"/>
                <w:lang w:eastAsia="ja-JP"/>
              </w:rPr>
              <w:t>2019</w:t>
            </w:r>
          </w:p>
        </w:tc>
        <w:tc>
          <w:tcPr>
            <w:tcW w:w="559" w:type="pct"/>
            <w:tcBorders>
              <w:top w:val="nil"/>
              <w:left w:val="nil"/>
              <w:bottom w:val="single" w:sz="4" w:space="0" w:color="auto"/>
              <w:right w:val="single" w:sz="4" w:space="0" w:color="auto"/>
            </w:tcBorders>
            <w:noWrap/>
            <w:vAlign w:val="bottom"/>
            <w:hideMark/>
          </w:tcPr>
          <w:p w14:paraId="09602D49" w14:textId="77777777" w:rsidR="00810FAC" w:rsidRPr="00D33008" w:rsidRDefault="00810FAC" w:rsidP="00810FAC">
            <w:pPr>
              <w:pStyle w:val="CH5TableText"/>
              <w:rPr>
                <w:color w:val="000000"/>
                <w:lang w:eastAsia="ja-JP"/>
              </w:rPr>
            </w:pPr>
            <w:r w:rsidRPr="00D33008">
              <w:rPr>
                <w:color w:val="000000"/>
                <w:lang w:eastAsia="ja-JP"/>
              </w:rPr>
              <w:t>10</w:t>
            </w:r>
          </w:p>
        </w:tc>
        <w:tc>
          <w:tcPr>
            <w:tcW w:w="897" w:type="pct"/>
            <w:tcBorders>
              <w:top w:val="nil"/>
              <w:left w:val="nil"/>
              <w:bottom w:val="single" w:sz="4" w:space="0" w:color="auto"/>
              <w:right w:val="single" w:sz="4" w:space="0" w:color="auto"/>
            </w:tcBorders>
            <w:noWrap/>
            <w:hideMark/>
          </w:tcPr>
          <w:p w14:paraId="49B60ADB" w14:textId="77777777" w:rsidR="00810FAC" w:rsidRPr="00D33008" w:rsidRDefault="00810FAC" w:rsidP="00810FAC">
            <w:pPr>
              <w:pStyle w:val="CH5TableText"/>
              <w:rPr>
                <w:color w:val="000000"/>
                <w:lang w:eastAsia="ja-JP"/>
              </w:rPr>
            </w:pPr>
            <w:r w:rsidRPr="00D33008">
              <w:rPr>
                <w:rFonts w:eastAsia="Calibri"/>
              </w:rPr>
              <w:t>0.17%</w:t>
            </w:r>
          </w:p>
        </w:tc>
        <w:tc>
          <w:tcPr>
            <w:tcW w:w="785" w:type="pct"/>
            <w:tcBorders>
              <w:top w:val="nil"/>
              <w:left w:val="nil"/>
              <w:bottom w:val="single" w:sz="4" w:space="0" w:color="auto"/>
              <w:right w:val="single" w:sz="4" w:space="0" w:color="auto"/>
            </w:tcBorders>
            <w:noWrap/>
            <w:hideMark/>
          </w:tcPr>
          <w:p w14:paraId="67CB5C62" w14:textId="77777777" w:rsidR="00810FAC" w:rsidRPr="00D33008" w:rsidRDefault="00810FAC" w:rsidP="00810FAC">
            <w:pPr>
              <w:pStyle w:val="CH5TableText"/>
              <w:rPr>
                <w:color w:val="000000"/>
                <w:lang w:eastAsia="ja-JP"/>
              </w:rPr>
            </w:pPr>
            <w:r w:rsidRPr="00D33008">
              <w:rPr>
                <w:rFonts w:eastAsia="Calibri"/>
              </w:rPr>
              <w:t xml:space="preserve"> 5.9 </w:t>
            </w:r>
          </w:p>
        </w:tc>
      </w:tr>
      <w:tr w:rsidR="00810FAC" w:rsidRPr="00D33008" w14:paraId="333B11D3" w14:textId="77777777" w:rsidTr="00810FAC">
        <w:trPr>
          <w:trHeight w:val="300"/>
        </w:trPr>
        <w:tc>
          <w:tcPr>
            <w:tcW w:w="858" w:type="pct"/>
            <w:tcBorders>
              <w:top w:val="nil"/>
              <w:left w:val="single" w:sz="4" w:space="0" w:color="auto"/>
              <w:bottom w:val="single" w:sz="4" w:space="0" w:color="auto"/>
              <w:right w:val="single" w:sz="4" w:space="0" w:color="auto"/>
            </w:tcBorders>
            <w:noWrap/>
            <w:vAlign w:val="bottom"/>
            <w:hideMark/>
          </w:tcPr>
          <w:p w14:paraId="50B55A17" w14:textId="77777777" w:rsidR="00810FAC" w:rsidRPr="00207284" w:rsidRDefault="00810FAC" w:rsidP="00810FAC">
            <w:pPr>
              <w:pStyle w:val="CH5TableText"/>
              <w:rPr>
                <w:b/>
                <w:color w:val="000000"/>
                <w:lang w:eastAsia="ja-JP"/>
              </w:rPr>
            </w:pPr>
            <w:r w:rsidRPr="00207284">
              <w:rPr>
                <w:b/>
                <w:color w:val="000000"/>
                <w:lang w:eastAsia="ja-JP"/>
              </w:rPr>
              <w:t>Oregon</w:t>
            </w:r>
          </w:p>
        </w:tc>
        <w:tc>
          <w:tcPr>
            <w:tcW w:w="490" w:type="pct"/>
            <w:tcBorders>
              <w:top w:val="nil"/>
              <w:left w:val="nil"/>
              <w:bottom w:val="single" w:sz="4" w:space="0" w:color="auto"/>
              <w:right w:val="single" w:sz="4" w:space="0" w:color="auto"/>
            </w:tcBorders>
            <w:noWrap/>
            <w:vAlign w:val="bottom"/>
            <w:hideMark/>
          </w:tcPr>
          <w:p w14:paraId="584E1738" w14:textId="77777777" w:rsidR="00810FAC" w:rsidRPr="00D33008" w:rsidRDefault="00810FAC" w:rsidP="00810FAC">
            <w:pPr>
              <w:pStyle w:val="CH5TableText"/>
              <w:rPr>
                <w:color w:val="000000"/>
                <w:lang w:eastAsia="ja-JP"/>
              </w:rPr>
            </w:pPr>
            <w:r w:rsidRPr="00D33008">
              <w:rPr>
                <w:color w:val="000000"/>
                <w:lang w:eastAsia="ja-JP"/>
              </w:rPr>
              <w:t>0.8%</w:t>
            </w:r>
          </w:p>
        </w:tc>
        <w:tc>
          <w:tcPr>
            <w:tcW w:w="439" w:type="pct"/>
            <w:tcBorders>
              <w:top w:val="nil"/>
              <w:left w:val="nil"/>
              <w:bottom w:val="single" w:sz="4" w:space="0" w:color="auto"/>
              <w:right w:val="single" w:sz="4" w:space="0" w:color="auto"/>
            </w:tcBorders>
            <w:noWrap/>
            <w:vAlign w:val="bottom"/>
            <w:hideMark/>
          </w:tcPr>
          <w:p w14:paraId="46DDAAA4" w14:textId="77777777" w:rsidR="00810FAC" w:rsidRPr="00D33008" w:rsidRDefault="00810FAC" w:rsidP="00810FAC">
            <w:pPr>
              <w:pStyle w:val="CH5TableText"/>
              <w:rPr>
                <w:color w:val="000000"/>
                <w:lang w:eastAsia="ja-JP"/>
              </w:rPr>
            </w:pPr>
            <w:r w:rsidRPr="00D33008">
              <w:rPr>
                <w:color w:val="000000"/>
                <w:lang w:eastAsia="ja-JP"/>
              </w:rPr>
              <w:t>2010</w:t>
            </w:r>
          </w:p>
        </w:tc>
        <w:tc>
          <w:tcPr>
            <w:tcW w:w="480" w:type="pct"/>
            <w:tcBorders>
              <w:top w:val="nil"/>
              <w:left w:val="nil"/>
              <w:bottom w:val="single" w:sz="4" w:space="0" w:color="auto"/>
              <w:right w:val="single" w:sz="4" w:space="0" w:color="auto"/>
            </w:tcBorders>
            <w:noWrap/>
            <w:vAlign w:val="bottom"/>
            <w:hideMark/>
          </w:tcPr>
          <w:p w14:paraId="40E8339D" w14:textId="77777777" w:rsidR="00810FAC" w:rsidRPr="00D33008" w:rsidRDefault="00810FAC" w:rsidP="00810FAC">
            <w:pPr>
              <w:pStyle w:val="CH5TableText"/>
              <w:rPr>
                <w:color w:val="000000"/>
                <w:lang w:eastAsia="ja-JP"/>
              </w:rPr>
            </w:pPr>
            <w:r w:rsidRPr="00D33008">
              <w:rPr>
                <w:color w:val="000000"/>
                <w:lang w:eastAsia="ja-JP"/>
              </w:rPr>
              <w:t>1.0%</w:t>
            </w:r>
          </w:p>
        </w:tc>
        <w:tc>
          <w:tcPr>
            <w:tcW w:w="492" w:type="pct"/>
            <w:tcBorders>
              <w:top w:val="nil"/>
              <w:left w:val="nil"/>
              <w:bottom w:val="single" w:sz="4" w:space="0" w:color="auto"/>
              <w:right w:val="single" w:sz="4" w:space="0" w:color="auto"/>
            </w:tcBorders>
            <w:noWrap/>
            <w:vAlign w:val="bottom"/>
            <w:hideMark/>
          </w:tcPr>
          <w:p w14:paraId="2710E64D" w14:textId="77777777" w:rsidR="00810FAC" w:rsidRPr="00D33008" w:rsidRDefault="00810FAC" w:rsidP="00810FAC">
            <w:pPr>
              <w:pStyle w:val="CH5TableText"/>
              <w:rPr>
                <w:color w:val="000000"/>
                <w:lang w:eastAsia="ja-JP"/>
              </w:rPr>
            </w:pPr>
            <w:r w:rsidRPr="00D33008">
              <w:rPr>
                <w:color w:val="000000"/>
                <w:lang w:eastAsia="ja-JP"/>
              </w:rPr>
              <w:t>2013</w:t>
            </w:r>
          </w:p>
        </w:tc>
        <w:tc>
          <w:tcPr>
            <w:tcW w:w="559" w:type="pct"/>
            <w:tcBorders>
              <w:top w:val="nil"/>
              <w:left w:val="nil"/>
              <w:bottom w:val="single" w:sz="4" w:space="0" w:color="auto"/>
              <w:right w:val="single" w:sz="4" w:space="0" w:color="auto"/>
            </w:tcBorders>
            <w:noWrap/>
            <w:vAlign w:val="bottom"/>
            <w:hideMark/>
          </w:tcPr>
          <w:p w14:paraId="4E5FF0C3" w14:textId="77777777" w:rsidR="00810FAC" w:rsidRPr="00D33008" w:rsidRDefault="00810FAC" w:rsidP="00810FAC">
            <w:pPr>
              <w:pStyle w:val="CH5TableText"/>
              <w:rPr>
                <w:color w:val="000000"/>
                <w:lang w:eastAsia="ja-JP"/>
              </w:rPr>
            </w:pPr>
            <w:r w:rsidRPr="00D33008">
              <w:rPr>
                <w:color w:val="000000"/>
                <w:lang w:eastAsia="ja-JP"/>
              </w:rPr>
              <w:t>3</w:t>
            </w:r>
          </w:p>
        </w:tc>
        <w:tc>
          <w:tcPr>
            <w:tcW w:w="897" w:type="pct"/>
            <w:tcBorders>
              <w:top w:val="nil"/>
              <w:left w:val="nil"/>
              <w:bottom w:val="single" w:sz="4" w:space="0" w:color="auto"/>
              <w:right w:val="single" w:sz="4" w:space="0" w:color="auto"/>
            </w:tcBorders>
            <w:noWrap/>
            <w:hideMark/>
          </w:tcPr>
          <w:p w14:paraId="51A44C0B" w14:textId="77777777" w:rsidR="00810FAC" w:rsidRPr="00D33008" w:rsidRDefault="00810FAC" w:rsidP="00810FAC">
            <w:pPr>
              <w:pStyle w:val="CH5TableText"/>
              <w:rPr>
                <w:color w:val="000000"/>
                <w:lang w:eastAsia="ja-JP"/>
              </w:rPr>
            </w:pPr>
            <w:r w:rsidRPr="00D33008">
              <w:rPr>
                <w:rFonts w:eastAsia="Calibri"/>
              </w:rPr>
              <w:t>0.07%</w:t>
            </w:r>
          </w:p>
        </w:tc>
        <w:tc>
          <w:tcPr>
            <w:tcW w:w="785" w:type="pct"/>
            <w:tcBorders>
              <w:top w:val="nil"/>
              <w:left w:val="nil"/>
              <w:bottom w:val="single" w:sz="4" w:space="0" w:color="auto"/>
              <w:right w:val="single" w:sz="4" w:space="0" w:color="auto"/>
            </w:tcBorders>
            <w:noWrap/>
            <w:hideMark/>
          </w:tcPr>
          <w:p w14:paraId="27062EB8" w14:textId="77777777" w:rsidR="00810FAC" w:rsidRPr="00D33008" w:rsidRDefault="00810FAC" w:rsidP="00810FAC">
            <w:pPr>
              <w:pStyle w:val="CH5TableText"/>
              <w:rPr>
                <w:color w:val="000000"/>
                <w:lang w:eastAsia="ja-JP"/>
              </w:rPr>
            </w:pPr>
            <w:r w:rsidRPr="00D33008">
              <w:rPr>
                <w:rFonts w:eastAsia="Calibri"/>
              </w:rPr>
              <w:t xml:space="preserve"> 15.0 </w:t>
            </w:r>
          </w:p>
        </w:tc>
      </w:tr>
      <w:tr w:rsidR="00810FAC" w:rsidRPr="00D33008" w14:paraId="6EA6A21C" w14:textId="77777777" w:rsidTr="00003324">
        <w:trPr>
          <w:trHeight w:val="300"/>
        </w:trPr>
        <w:tc>
          <w:tcPr>
            <w:tcW w:w="858" w:type="pct"/>
            <w:tcBorders>
              <w:top w:val="nil"/>
              <w:left w:val="single" w:sz="4" w:space="0" w:color="auto"/>
              <w:bottom w:val="single" w:sz="4" w:space="0" w:color="auto"/>
              <w:right w:val="single" w:sz="4" w:space="0" w:color="auto"/>
            </w:tcBorders>
            <w:noWrap/>
            <w:vAlign w:val="bottom"/>
            <w:hideMark/>
          </w:tcPr>
          <w:p w14:paraId="7C27A257" w14:textId="77777777" w:rsidR="00810FAC" w:rsidRPr="00207284" w:rsidRDefault="00810FAC" w:rsidP="00810FAC">
            <w:pPr>
              <w:pStyle w:val="CH5TableText"/>
              <w:rPr>
                <w:b/>
                <w:color w:val="000000"/>
                <w:lang w:eastAsia="ja-JP"/>
              </w:rPr>
            </w:pPr>
            <w:r w:rsidRPr="00207284">
              <w:rPr>
                <w:b/>
                <w:color w:val="000000"/>
                <w:lang w:eastAsia="ja-JP"/>
              </w:rPr>
              <w:t>Rhode Island</w:t>
            </w:r>
          </w:p>
        </w:tc>
        <w:tc>
          <w:tcPr>
            <w:tcW w:w="490" w:type="pct"/>
            <w:tcBorders>
              <w:top w:val="nil"/>
              <w:left w:val="nil"/>
              <w:bottom w:val="single" w:sz="4" w:space="0" w:color="auto"/>
              <w:right w:val="single" w:sz="4" w:space="0" w:color="auto"/>
            </w:tcBorders>
            <w:noWrap/>
            <w:vAlign w:val="bottom"/>
            <w:hideMark/>
          </w:tcPr>
          <w:p w14:paraId="178BE9E1" w14:textId="77777777" w:rsidR="00810FAC" w:rsidRPr="00D33008" w:rsidRDefault="00810FAC" w:rsidP="00810FAC">
            <w:pPr>
              <w:pStyle w:val="CH5TableText"/>
              <w:rPr>
                <w:color w:val="000000"/>
                <w:lang w:eastAsia="ja-JP"/>
              </w:rPr>
            </w:pPr>
            <w:r w:rsidRPr="00D33008">
              <w:rPr>
                <w:color w:val="000000"/>
                <w:lang w:eastAsia="ja-JP"/>
              </w:rPr>
              <w:t>1.7%</w:t>
            </w:r>
          </w:p>
        </w:tc>
        <w:tc>
          <w:tcPr>
            <w:tcW w:w="439" w:type="pct"/>
            <w:tcBorders>
              <w:top w:val="nil"/>
              <w:left w:val="nil"/>
              <w:bottom w:val="single" w:sz="4" w:space="0" w:color="auto"/>
              <w:right w:val="single" w:sz="4" w:space="0" w:color="auto"/>
            </w:tcBorders>
            <w:noWrap/>
            <w:vAlign w:val="bottom"/>
            <w:hideMark/>
          </w:tcPr>
          <w:p w14:paraId="6D982365" w14:textId="77777777" w:rsidR="00810FAC" w:rsidRPr="00D33008" w:rsidRDefault="00810FAC" w:rsidP="00810FAC">
            <w:pPr>
              <w:pStyle w:val="CH5TableText"/>
              <w:rPr>
                <w:color w:val="000000"/>
                <w:lang w:eastAsia="ja-JP"/>
              </w:rPr>
            </w:pPr>
            <w:r w:rsidRPr="00D33008">
              <w:rPr>
                <w:color w:val="000000"/>
                <w:lang w:eastAsia="ja-JP"/>
              </w:rPr>
              <w:t>2011</w:t>
            </w:r>
          </w:p>
        </w:tc>
        <w:tc>
          <w:tcPr>
            <w:tcW w:w="480" w:type="pct"/>
            <w:tcBorders>
              <w:top w:val="nil"/>
              <w:left w:val="nil"/>
              <w:bottom w:val="single" w:sz="4" w:space="0" w:color="auto"/>
              <w:right w:val="single" w:sz="4" w:space="0" w:color="auto"/>
            </w:tcBorders>
            <w:noWrap/>
            <w:vAlign w:val="bottom"/>
            <w:hideMark/>
          </w:tcPr>
          <w:p w14:paraId="0092BE8D" w14:textId="77777777" w:rsidR="00810FAC" w:rsidRPr="00D33008" w:rsidRDefault="00810FAC" w:rsidP="00810FAC">
            <w:pPr>
              <w:pStyle w:val="CH5TableText"/>
              <w:rPr>
                <w:color w:val="000000"/>
                <w:lang w:eastAsia="ja-JP"/>
              </w:rPr>
            </w:pPr>
            <w:r w:rsidRPr="00D33008">
              <w:rPr>
                <w:color w:val="000000"/>
                <w:lang w:eastAsia="ja-JP"/>
              </w:rPr>
              <w:t>2.5%</w:t>
            </w:r>
          </w:p>
        </w:tc>
        <w:tc>
          <w:tcPr>
            <w:tcW w:w="492" w:type="pct"/>
            <w:tcBorders>
              <w:top w:val="nil"/>
              <w:left w:val="nil"/>
              <w:bottom w:val="single" w:sz="4" w:space="0" w:color="auto"/>
              <w:right w:val="single" w:sz="4" w:space="0" w:color="auto"/>
            </w:tcBorders>
            <w:noWrap/>
            <w:vAlign w:val="bottom"/>
            <w:hideMark/>
          </w:tcPr>
          <w:p w14:paraId="18A4C738" w14:textId="77777777" w:rsidR="00810FAC" w:rsidRPr="00D33008" w:rsidRDefault="00810FAC" w:rsidP="00810FAC">
            <w:pPr>
              <w:pStyle w:val="CH5TableText"/>
              <w:rPr>
                <w:color w:val="000000"/>
                <w:lang w:eastAsia="ja-JP"/>
              </w:rPr>
            </w:pPr>
            <w:r w:rsidRPr="00D33008">
              <w:rPr>
                <w:color w:val="000000"/>
                <w:lang w:eastAsia="ja-JP"/>
              </w:rPr>
              <w:t>2013</w:t>
            </w:r>
          </w:p>
        </w:tc>
        <w:tc>
          <w:tcPr>
            <w:tcW w:w="559" w:type="pct"/>
            <w:tcBorders>
              <w:top w:val="nil"/>
              <w:left w:val="nil"/>
              <w:bottom w:val="single" w:sz="4" w:space="0" w:color="auto"/>
              <w:right w:val="single" w:sz="4" w:space="0" w:color="auto"/>
            </w:tcBorders>
            <w:noWrap/>
            <w:vAlign w:val="bottom"/>
            <w:hideMark/>
          </w:tcPr>
          <w:p w14:paraId="047B7854" w14:textId="77777777" w:rsidR="00810FAC" w:rsidRPr="00D33008" w:rsidRDefault="00810FAC" w:rsidP="00810FAC">
            <w:pPr>
              <w:pStyle w:val="CH5TableText"/>
              <w:rPr>
                <w:color w:val="000000"/>
                <w:lang w:eastAsia="ja-JP"/>
              </w:rPr>
            </w:pPr>
            <w:r w:rsidRPr="00D33008">
              <w:rPr>
                <w:color w:val="000000"/>
                <w:lang w:eastAsia="ja-JP"/>
              </w:rPr>
              <w:t>2</w:t>
            </w:r>
          </w:p>
        </w:tc>
        <w:tc>
          <w:tcPr>
            <w:tcW w:w="897" w:type="pct"/>
            <w:tcBorders>
              <w:top w:val="nil"/>
              <w:left w:val="nil"/>
              <w:bottom w:val="single" w:sz="4" w:space="0" w:color="auto"/>
              <w:right w:val="single" w:sz="4" w:space="0" w:color="auto"/>
            </w:tcBorders>
            <w:noWrap/>
            <w:hideMark/>
          </w:tcPr>
          <w:p w14:paraId="0FC3EA59" w14:textId="77777777" w:rsidR="00810FAC" w:rsidRPr="00D33008" w:rsidRDefault="00810FAC" w:rsidP="00810FAC">
            <w:pPr>
              <w:pStyle w:val="CH5TableText"/>
              <w:rPr>
                <w:color w:val="000000"/>
                <w:lang w:eastAsia="ja-JP"/>
              </w:rPr>
            </w:pPr>
            <w:r w:rsidRPr="00D33008">
              <w:rPr>
                <w:rFonts w:eastAsia="Calibri"/>
              </w:rPr>
              <w:t>0.40%</w:t>
            </w:r>
          </w:p>
        </w:tc>
        <w:tc>
          <w:tcPr>
            <w:tcW w:w="785" w:type="pct"/>
            <w:tcBorders>
              <w:top w:val="nil"/>
              <w:left w:val="nil"/>
              <w:bottom w:val="single" w:sz="4" w:space="0" w:color="auto"/>
              <w:right w:val="single" w:sz="4" w:space="0" w:color="auto"/>
            </w:tcBorders>
            <w:noWrap/>
            <w:hideMark/>
          </w:tcPr>
          <w:p w14:paraId="6A022086" w14:textId="77777777" w:rsidR="00810FAC" w:rsidRPr="00D33008" w:rsidRDefault="00810FAC" w:rsidP="00810FAC">
            <w:pPr>
              <w:pStyle w:val="CH5TableText"/>
              <w:rPr>
                <w:color w:val="000000"/>
                <w:lang w:eastAsia="ja-JP"/>
              </w:rPr>
            </w:pPr>
            <w:r w:rsidRPr="00D33008">
              <w:rPr>
                <w:rFonts w:eastAsia="Calibri"/>
              </w:rPr>
              <w:t xml:space="preserve"> 2.5 </w:t>
            </w:r>
          </w:p>
        </w:tc>
      </w:tr>
      <w:tr w:rsidR="00810FAC" w:rsidRPr="00D33008" w14:paraId="3DDB0EAF" w14:textId="77777777" w:rsidTr="00003324">
        <w:trPr>
          <w:trHeight w:val="300"/>
        </w:trPr>
        <w:tc>
          <w:tcPr>
            <w:tcW w:w="85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9A60436" w14:textId="77777777" w:rsidR="00810FAC" w:rsidRPr="00207284" w:rsidRDefault="00810FAC" w:rsidP="00810FAC">
            <w:pPr>
              <w:pStyle w:val="CH5TableText"/>
              <w:rPr>
                <w:b/>
                <w:color w:val="000000"/>
                <w:lang w:eastAsia="ja-JP"/>
              </w:rPr>
            </w:pPr>
            <w:r w:rsidRPr="00207284">
              <w:rPr>
                <w:b/>
                <w:color w:val="000000"/>
                <w:lang w:eastAsia="ja-JP"/>
              </w:rPr>
              <w:t>Average</w:t>
            </w:r>
          </w:p>
        </w:tc>
        <w:tc>
          <w:tcPr>
            <w:tcW w:w="490"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0FC3ECB" w14:textId="77777777" w:rsidR="00810FAC" w:rsidRPr="00D33008" w:rsidRDefault="00810FAC" w:rsidP="00810FAC">
            <w:pPr>
              <w:pStyle w:val="CH5TableText"/>
              <w:rPr>
                <w:color w:val="000000"/>
                <w:lang w:eastAsia="ja-JP"/>
              </w:rPr>
            </w:pPr>
          </w:p>
        </w:tc>
        <w:tc>
          <w:tcPr>
            <w:tcW w:w="439"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801CDE9" w14:textId="77777777" w:rsidR="00810FAC" w:rsidRPr="00D33008" w:rsidRDefault="00810FAC" w:rsidP="00810FAC">
            <w:pPr>
              <w:pStyle w:val="CH5TableText"/>
              <w:rPr>
                <w:rFonts w:eastAsia="Times"/>
              </w:rPr>
            </w:pPr>
          </w:p>
        </w:tc>
        <w:tc>
          <w:tcPr>
            <w:tcW w:w="480"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8452727" w14:textId="77777777" w:rsidR="00810FAC" w:rsidRPr="00D33008" w:rsidRDefault="00810FAC" w:rsidP="00810FAC">
            <w:pPr>
              <w:pStyle w:val="CH5TableText"/>
              <w:rPr>
                <w:rFonts w:eastAsia="Times"/>
              </w:rPr>
            </w:pPr>
          </w:p>
        </w:tc>
        <w:tc>
          <w:tcPr>
            <w:tcW w:w="49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FFBF642" w14:textId="77777777" w:rsidR="00810FAC" w:rsidRPr="00D33008" w:rsidRDefault="00810FAC" w:rsidP="00810FAC">
            <w:pPr>
              <w:pStyle w:val="CH5TableText"/>
              <w:rPr>
                <w:rFonts w:eastAsia="Times"/>
              </w:rPr>
            </w:pPr>
          </w:p>
        </w:tc>
        <w:tc>
          <w:tcPr>
            <w:tcW w:w="559"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0231BD1" w14:textId="77777777" w:rsidR="00810FAC" w:rsidRPr="00D33008" w:rsidRDefault="00810FAC" w:rsidP="00810FAC">
            <w:pPr>
              <w:pStyle w:val="CH5TableText"/>
              <w:rPr>
                <w:rFonts w:eastAsia="Times"/>
              </w:rPr>
            </w:pPr>
          </w:p>
        </w:tc>
        <w:tc>
          <w:tcPr>
            <w:tcW w:w="897"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1DEEF29A" w14:textId="77777777" w:rsidR="00810FAC" w:rsidRPr="00D33008" w:rsidRDefault="00810FAC" w:rsidP="00810FAC">
            <w:pPr>
              <w:pStyle w:val="CH5TableText"/>
              <w:rPr>
                <w:color w:val="000000"/>
                <w:lang w:eastAsia="ja-JP"/>
              </w:rPr>
            </w:pPr>
            <w:r w:rsidRPr="00D33008">
              <w:rPr>
                <w:rFonts w:eastAsia="Calibri"/>
              </w:rPr>
              <w:t>0.21%</w:t>
            </w:r>
          </w:p>
        </w:tc>
        <w:tc>
          <w:tcPr>
            <w:tcW w:w="785"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72DDB0F8" w14:textId="77777777" w:rsidR="00810FAC" w:rsidRPr="00D33008" w:rsidRDefault="00810FAC" w:rsidP="00810FAC">
            <w:pPr>
              <w:pStyle w:val="CH5TableText"/>
              <w:rPr>
                <w:color w:val="000000"/>
                <w:lang w:eastAsia="ja-JP"/>
              </w:rPr>
            </w:pPr>
            <w:r w:rsidRPr="00D33008">
              <w:rPr>
                <w:rFonts w:eastAsia="Calibri"/>
              </w:rPr>
              <w:t xml:space="preserve"> 4.8 </w:t>
            </w:r>
          </w:p>
        </w:tc>
      </w:tr>
    </w:tbl>
    <w:p w14:paraId="17CF1B54" w14:textId="7057F030" w:rsidR="00810FAC" w:rsidRPr="00885ACB" w:rsidRDefault="00810FAC" w:rsidP="00810FAC">
      <w:pPr>
        <w:pStyle w:val="CH5TableSource"/>
      </w:pPr>
      <w:r w:rsidRPr="00885ACB">
        <w:t>Sources: ACEEE 201</w:t>
      </w:r>
      <w:r>
        <w:t xml:space="preserve">4c </w:t>
      </w:r>
      <w:r w:rsidRPr="00CF0D49">
        <w:t>and</w:t>
      </w:r>
      <w:r>
        <w:t xml:space="preserve"> </w:t>
      </w:r>
      <w:r w:rsidRPr="00885ACB">
        <w:t>APSC 2013</w:t>
      </w:r>
    </w:p>
    <w:p w14:paraId="7F58317D" w14:textId="77777777" w:rsidR="00810FAC" w:rsidRPr="00D33008" w:rsidRDefault="00810FAC" w:rsidP="00810FAC">
      <w:pPr>
        <w:spacing w:line="360" w:lineRule="auto"/>
        <w:rPr>
          <w:rFonts w:cs="Times New Roman"/>
          <w:b/>
          <w:color w:val="000000"/>
          <w:sz w:val="24"/>
          <w:szCs w:val="24"/>
        </w:rPr>
      </w:pPr>
    </w:p>
    <w:p w14:paraId="756F8FA7" w14:textId="77777777" w:rsidR="00810FAC" w:rsidRDefault="00810FAC">
      <w:pPr>
        <w:rPr>
          <w:rFonts w:cs="Times New Roman"/>
          <w:b/>
          <w:bCs/>
          <w:sz w:val="28"/>
        </w:rPr>
      </w:pPr>
      <w:r>
        <w:br w:type="page"/>
      </w:r>
    </w:p>
    <w:p w14:paraId="53E6F4A0" w14:textId="78A661C9" w:rsidR="00810FAC" w:rsidRPr="00D33008" w:rsidRDefault="00810FAC" w:rsidP="006E6A19">
      <w:pPr>
        <w:pStyle w:val="Heading7"/>
      </w:pPr>
      <w:bookmarkStart w:id="179" w:name="_Toc424675685"/>
      <w:bookmarkStart w:id="180" w:name="_Toc424720245"/>
      <w:r w:rsidRPr="00D33008">
        <w:lastRenderedPageBreak/>
        <w:t xml:space="preserve">Appendix </w:t>
      </w:r>
      <w:r>
        <w:t>3</w:t>
      </w:r>
      <w:r w:rsidR="00C50014">
        <w:t>:</w:t>
      </w:r>
      <w:r>
        <w:br/>
        <w:t xml:space="preserve">Demand-Side Energy Efficiency Plan Scenario: Data, Calculations </w:t>
      </w:r>
      <w:r w:rsidRPr="00D33008">
        <w:t xml:space="preserve">and </w:t>
      </w:r>
      <w:r>
        <w:t>Results</w:t>
      </w:r>
      <w:bookmarkEnd w:id="179"/>
      <w:bookmarkEnd w:id="180"/>
    </w:p>
    <w:p w14:paraId="5DCB4B7D" w14:textId="77777777" w:rsidR="00810FAC" w:rsidRPr="00FD14CA" w:rsidRDefault="00810FAC" w:rsidP="00003324">
      <w:pPr>
        <w:pStyle w:val="CH5BodyText"/>
      </w:pPr>
      <w:r w:rsidRPr="00FD14CA">
        <w:t xml:space="preserve">See attached files for comprehensive data, calculations, and results supporting the illustrative demand-side energy efficiency </w:t>
      </w:r>
      <w:r>
        <w:t xml:space="preserve">(EE) </w:t>
      </w:r>
      <w:r w:rsidRPr="00FD14CA">
        <w:t xml:space="preserve">plan scenario. These files address the magnitude and timing of savings, and the assessment of costs of the </w:t>
      </w:r>
      <w:r>
        <w:t>demand-side energy efficiency included in the illustrative plan scenario of the Regulatory Impacts Assessment (RIA). The two files reflect costs discounted at 3% and 7%, respectively:</w:t>
      </w:r>
    </w:p>
    <w:p w14:paraId="55207321" w14:textId="77777777" w:rsidR="00810FAC" w:rsidRDefault="00810FAC" w:rsidP="00003324">
      <w:pPr>
        <w:pStyle w:val="CH5BulletList"/>
      </w:pPr>
      <w:r w:rsidRPr="00FD14CA">
        <w:t>GHG Abatement Measures TSD – Demand-Side EE @ 3%.xlsx</w:t>
      </w:r>
    </w:p>
    <w:p w14:paraId="58ED985F" w14:textId="77777777" w:rsidR="00810FAC" w:rsidRPr="00FD14CA" w:rsidRDefault="00810FAC" w:rsidP="00003324">
      <w:pPr>
        <w:pStyle w:val="CH5BulletListlast"/>
      </w:pPr>
      <w:r>
        <w:t>GHG Abatement Measures TSD – Demand-Side EE @ 7%.xlsx</w:t>
      </w:r>
    </w:p>
    <w:p w14:paraId="2DFB571E" w14:textId="77777777" w:rsidR="00810FAC" w:rsidRDefault="00810FAC">
      <w:pPr>
        <w:rPr>
          <w:rFonts w:cs="Times New Roman"/>
          <w:sz w:val="24"/>
        </w:rPr>
      </w:pPr>
      <w:r>
        <w:rPr>
          <w:b/>
          <w:bCs/>
          <w:sz w:val="24"/>
        </w:rPr>
        <w:br w:type="page"/>
      </w:r>
    </w:p>
    <w:p w14:paraId="1E49F53D" w14:textId="77777777" w:rsidR="00810FAC" w:rsidRDefault="00810FAC" w:rsidP="00B562BA">
      <w:pPr>
        <w:pStyle w:val="Heading1notnumbered"/>
      </w:pPr>
      <w:bookmarkStart w:id="181" w:name="_Toc424721614"/>
      <w:r w:rsidRPr="00F87B6E">
        <w:lastRenderedPageBreak/>
        <w:t>References</w:t>
      </w:r>
      <w:bookmarkEnd w:id="181"/>
    </w:p>
    <w:p w14:paraId="19AD78F6" w14:textId="77777777" w:rsidR="00211D59" w:rsidRPr="00F87B6E" w:rsidRDefault="00211D59" w:rsidP="00B562BA">
      <w:pPr>
        <w:pStyle w:val="Heading1notnumbered"/>
      </w:pPr>
    </w:p>
    <w:p w14:paraId="1651E8C0" w14:textId="12B397E3" w:rsidR="00810FAC" w:rsidRPr="00F87B6E" w:rsidRDefault="00810FAC" w:rsidP="00BC1432">
      <w:pPr>
        <w:pStyle w:val="CH5References"/>
      </w:pPr>
      <w:r w:rsidRPr="00F87B6E">
        <w:t xml:space="preserve">ACEEE. 2000. Utility Energy Efficiency Programs: A Brief Synopsis of Past and Present Efforts. American Council for an Energy-Efficient Economy. Available at </w:t>
      </w:r>
      <w:hyperlink r:id="rId32" w:history="1">
        <w:r w:rsidR="00B046CD" w:rsidRPr="008173BC">
          <w:rPr>
            <w:rStyle w:val="Hyperlink"/>
          </w:rPr>
          <w:t>http://aceee.org/sites/default/files/publications/researchreports/U007.pdf</w:t>
        </w:r>
      </w:hyperlink>
      <w:r w:rsidR="00B046CD">
        <w:t>.</w:t>
      </w:r>
    </w:p>
    <w:p w14:paraId="36C7EA59" w14:textId="77777777" w:rsidR="00810FAC" w:rsidRPr="00F87B6E" w:rsidRDefault="00810FAC" w:rsidP="007838AF">
      <w:pPr>
        <w:pStyle w:val="CH5References"/>
      </w:pPr>
      <w:r w:rsidRPr="00F87B6E">
        <w:t xml:space="preserve">ACEEE. 2004. Five Years In: An Examination of the First Half-Decade of Public Benefits Energy Efficiency Policies. American Council for an Energy-Efficient Economy. Available at </w:t>
      </w:r>
      <w:hyperlink r:id="rId33" w:history="1">
        <w:r w:rsidRPr="00F87B6E">
          <w:rPr>
            <w:rStyle w:val="Hyperlink"/>
            <w:iCs/>
          </w:rPr>
          <w:t>http://aceee.org/research-report/u042</w:t>
        </w:r>
      </w:hyperlink>
      <w:r w:rsidRPr="00F87B6E">
        <w:t xml:space="preserve">. </w:t>
      </w:r>
    </w:p>
    <w:p w14:paraId="2E762A61" w14:textId="77777777" w:rsidR="00810FAC" w:rsidRPr="00F87B6E" w:rsidRDefault="00810FAC" w:rsidP="007838AF">
      <w:pPr>
        <w:pStyle w:val="CH5References"/>
      </w:pPr>
      <w:r w:rsidRPr="00F87B6E">
        <w:t>ACEEE. 2008. State-Level Energy Efficiency Analysis:</w:t>
      </w:r>
      <w:r w:rsidRPr="00F87B6E" w:rsidDel="00221939">
        <w:t xml:space="preserve"> </w:t>
      </w:r>
      <w:r w:rsidRPr="00F87B6E">
        <w:t xml:space="preserve">Goals, Methods, and Lessons Learned. American Council for an Energy-Efficient Economy. Available at </w:t>
      </w:r>
      <w:hyperlink r:id="rId34" w:history="1">
        <w:r w:rsidRPr="00F87B6E">
          <w:rPr>
            <w:rStyle w:val="Hyperlink"/>
          </w:rPr>
          <w:t>http://aceee.org/files/proceedings/2008/data/papers/8_468.pdf</w:t>
        </w:r>
      </w:hyperlink>
      <w:r w:rsidRPr="00F87B6E">
        <w:t>.</w:t>
      </w:r>
      <w:r w:rsidRPr="00F87B6E" w:rsidDel="00221939">
        <w:t xml:space="preserve">  </w:t>
      </w:r>
      <w:r w:rsidRPr="00F87B6E">
        <w:t xml:space="preserve">  </w:t>
      </w:r>
    </w:p>
    <w:p w14:paraId="41A3C866" w14:textId="0F865D50" w:rsidR="00853239" w:rsidRDefault="00810FAC" w:rsidP="00810FAC">
      <w:pPr>
        <w:pStyle w:val="CH5References"/>
        <w:spacing w:after="360"/>
      </w:pPr>
      <w:r w:rsidRPr="00F87B6E">
        <w:t xml:space="preserve">ACEEE. 2009. Saving Energy Cost-Effectively: A National Review of the Cost of Energy Saved Through Utility-Sector Energy Efficiency Programs. American Council for an Energy-Efficient Economy. Available at </w:t>
      </w:r>
      <w:hyperlink r:id="rId35" w:history="1">
        <w:r w:rsidR="00853239" w:rsidRPr="008173BC">
          <w:rPr>
            <w:rStyle w:val="Hyperlink"/>
          </w:rPr>
          <w:t>http://aceee.org/sites/default/files/publications/researchreports/U092.pdf</w:t>
        </w:r>
      </w:hyperlink>
      <w:r w:rsidR="00853239">
        <w:t>.</w:t>
      </w:r>
    </w:p>
    <w:p w14:paraId="0C8585F9" w14:textId="4F2F342E" w:rsidR="00853239" w:rsidRDefault="00810FAC" w:rsidP="007838AF">
      <w:pPr>
        <w:pStyle w:val="CH5References"/>
      </w:pPr>
      <w:r w:rsidRPr="00F87B6E">
        <w:t xml:space="preserve">ACEEE. 2011. Energy Efficiency Resources Standards: A Progress Report on State Experience. American Council for an Energy-Efficient Economy. Available at </w:t>
      </w:r>
      <w:hyperlink r:id="rId36" w:history="1">
        <w:r w:rsidR="00853239" w:rsidRPr="008173BC">
          <w:rPr>
            <w:rStyle w:val="Hyperlink"/>
          </w:rPr>
          <w:t>http://aceee.org/sites/default/files/publications/researchreports/u112.pdf</w:t>
        </w:r>
      </w:hyperlink>
      <w:r w:rsidR="00853239">
        <w:t>.</w:t>
      </w:r>
    </w:p>
    <w:p w14:paraId="33B64854" w14:textId="1E9EB465" w:rsidR="001950DB" w:rsidRDefault="00810FAC" w:rsidP="007838AF">
      <w:pPr>
        <w:pStyle w:val="CH5References"/>
      </w:pPr>
      <w:r w:rsidRPr="00F87B6E">
        <w:t xml:space="preserve">ACEEE. 2012a. A National Survey of State Policies and Practices for the Evaluation of Ratepayer-Funded Energy Efficiency Programs. American Council for an Energy-Efficient Economy. Available at </w:t>
      </w:r>
      <w:hyperlink r:id="rId37" w:history="1">
        <w:r w:rsidR="001950DB" w:rsidRPr="008173BC">
          <w:rPr>
            <w:rStyle w:val="Hyperlink"/>
          </w:rPr>
          <w:t>http://aceee.org/sites/default/files/publications/researchreports/u122.pdf</w:t>
        </w:r>
      </w:hyperlink>
      <w:r w:rsidR="001950DB">
        <w:t>.</w:t>
      </w:r>
    </w:p>
    <w:p w14:paraId="78BC95DD" w14:textId="1BB088B7" w:rsidR="00E80363" w:rsidRDefault="00810FAC" w:rsidP="007838AF">
      <w:pPr>
        <w:pStyle w:val="CH5References"/>
      </w:pPr>
      <w:r w:rsidRPr="00F87B6E">
        <w:t xml:space="preserve">ACEEE. 2012b. Three Decades and Counting: A Historical Review and Current Assessment of Electric Utility Energy Efficiency Activity in the States. American Council for an Energy-Efficient Economy. Available at </w:t>
      </w:r>
      <w:hyperlink r:id="rId38" w:history="1">
        <w:r w:rsidR="00E80363" w:rsidRPr="008173BC">
          <w:rPr>
            <w:rStyle w:val="Hyperlink"/>
          </w:rPr>
          <w:t>http://aceee.org/sites/default/files/publications/researchreports/u123.pdf</w:t>
        </w:r>
      </w:hyperlink>
      <w:r w:rsidR="00E80363">
        <w:t>.</w:t>
      </w:r>
    </w:p>
    <w:p w14:paraId="1EE96BEA" w14:textId="09B9A028" w:rsidR="00E80363" w:rsidRDefault="00810FAC" w:rsidP="007838AF">
      <w:pPr>
        <w:pStyle w:val="CH5References"/>
      </w:pPr>
      <w:r w:rsidRPr="00B97CD4">
        <w:lastRenderedPageBreak/>
        <w:t>ACEEE.</w:t>
      </w:r>
      <w:r w:rsidRPr="00F87B6E">
        <w:t xml:space="preserve"> 2013. Leaders of the Pack: ACEEE’s Third National Review of Exemplary Energy Efficiency Programs. American Council for an Energy-Efficient Economy. Available at </w:t>
      </w:r>
      <w:hyperlink r:id="rId39" w:history="1">
        <w:r w:rsidR="00E80363" w:rsidRPr="008173BC">
          <w:rPr>
            <w:rStyle w:val="Hyperlink"/>
          </w:rPr>
          <w:t>http://aceee.org/sites/default/files/publications/researchreports/u132.pdf</w:t>
        </w:r>
      </w:hyperlink>
      <w:r w:rsidR="00E80363">
        <w:t>.</w:t>
      </w:r>
    </w:p>
    <w:p w14:paraId="316DD0B4" w14:textId="3801DCFC" w:rsidR="00E80363" w:rsidRDefault="00810FAC" w:rsidP="007838AF">
      <w:pPr>
        <w:pStyle w:val="CH5References"/>
      </w:pPr>
      <w:r w:rsidRPr="00F87B6E">
        <w:t xml:space="preserve">ACEEE. 2014a. Change Is in the Air: How States Can Harness Energy Efficiency to Strengthen the Economy and Reduce Pollution. American Council for an Energy-Efficient Economy. Available at </w:t>
      </w:r>
      <w:hyperlink r:id="rId40" w:history="1">
        <w:r w:rsidR="00E80363" w:rsidRPr="008173BC">
          <w:rPr>
            <w:rStyle w:val="Hyperlink"/>
          </w:rPr>
          <w:t>http://aceee.org/sites/default/files/publications/researchreports/e1401.pdf</w:t>
        </w:r>
      </w:hyperlink>
      <w:r w:rsidR="00E80363">
        <w:t>.</w:t>
      </w:r>
    </w:p>
    <w:p w14:paraId="46BF9F03" w14:textId="77777777" w:rsidR="00810FAC" w:rsidRPr="00F87B6E" w:rsidRDefault="00810FAC" w:rsidP="007838AF">
      <w:pPr>
        <w:pStyle w:val="CH5References"/>
      </w:pPr>
      <w:r w:rsidRPr="00F87B6E">
        <w:t xml:space="preserve">ACEEE. 2014b. Cracking the TEAPOT: Technical, Economic, and Achievable Energy Efficiency Potential Studies. American Council for an Energy-Efficient Economy. Available at </w:t>
      </w:r>
      <w:hyperlink r:id="rId41" w:history="1">
        <w:r w:rsidRPr="00F87B6E">
          <w:rPr>
            <w:rStyle w:val="Hyperlink"/>
          </w:rPr>
          <w:t>http://aceee.org/sites/default/files/publications/researchreports/u1407.pdf</w:t>
        </w:r>
      </w:hyperlink>
      <w:r w:rsidRPr="00F87B6E">
        <w:t>.</w:t>
      </w:r>
    </w:p>
    <w:p w14:paraId="6C76B4B0" w14:textId="2E7DC308" w:rsidR="00E80363" w:rsidRDefault="00810FAC" w:rsidP="007838AF">
      <w:pPr>
        <w:pStyle w:val="CH5References"/>
      </w:pPr>
      <w:r w:rsidRPr="00F87B6E">
        <w:t>ACEEE. 2014c. The 2014 State Energy Efficiency Sco</w:t>
      </w:r>
      <w:r w:rsidRPr="007838AF">
        <w:t>r</w:t>
      </w:r>
      <w:r w:rsidRPr="00F87B6E">
        <w:t xml:space="preserve">ecard. American Council for an Energy-Efficient Economy. Available at </w:t>
      </w:r>
      <w:hyperlink r:id="rId42" w:history="1">
        <w:r w:rsidR="00E80363" w:rsidRPr="008173BC">
          <w:rPr>
            <w:rStyle w:val="Hyperlink"/>
          </w:rPr>
          <w:t>http://aceee.org/sites/default/files/publications/researchreports/u1408.pdf</w:t>
        </w:r>
      </w:hyperlink>
      <w:r w:rsidR="00E80363">
        <w:t>.</w:t>
      </w:r>
    </w:p>
    <w:p w14:paraId="0293D272" w14:textId="6A45E419" w:rsidR="00E80363" w:rsidRDefault="00810FAC" w:rsidP="00810FAC">
      <w:pPr>
        <w:pStyle w:val="CH5References"/>
        <w:spacing w:after="360"/>
      </w:pPr>
      <w:r w:rsidRPr="00F87B6E">
        <w:t>ACEEE. 2014</w:t>
      </w:r>
      <w:r>
        <w:t>d</w:t>
      </w:r>
      <w:r w:rsidRPr="00F87B6E">
        <w:t xml:space="preserve">. The Best Value for America’s Energy Dollar: A National Review of the Cost of Utility Energy Efficiency Programs. American Council for an Energy-Efficient Economy. Available at </w:t>
      </w:r>
      <w:hyperlink r:id="rId43" w:history="1">
        <w:r w:rsidR="00E80363" w:rsidRPr="008173BC">
          <w:rPr>
            <w:rStyle w:val="Hyperlink"/>
          </w:rPr>
          <w:t>http://aceee.org/sites/default/files/publications/researchreports/u1402.pdf</w:t>
        </w:r>
      </w:hyperlink>
      <w:r w:rsidR="00E80363">
        <w:t>.</w:t>
      </w:r>
    </w:p>
    <w:p w14:paraId="49BB8EB7" w14:textId="77777777" w:rsidR="00810FAC" w:rsidRPr="00F87B6E" w:rsidRDefault="00810FAC" w:rsidP="00BC1432">
      <w:pPr>
        <w:pStyle w:val="CH5References"/>
        <w:spacing w:after="360"/>
      </w:pPr>
      <w:r w:rsidRPr="00F87B6E">
        <w:t xml:space="preserve">ACEEE. 2015a. The Role of Building Energy Codes in the Clean Power Plan. American Council for an Energy-Efficient Economy. Available at </w:t>
      </w:r>
      <w:hyperlink r:id="rId44" w:history="1">
        <w:r w:rsidRPr="00F87B6E">
          <w:rPr>
            <w:rStyle w:val="Hyperlink"/>
          </w:rPr>
          <w:t>http://aceee.org/sites/default/files/building-codes-111d-1-22-15.pdf</w:t>
        </w:r>
      </w:hyperlink>
      <w:r w:rsidRPr="00F87B6E">
        <w:t>.</w:t>
      </w:r>
    </w:p>
    <w:p w14:paraId="3B5ED56D" w14:textId="77777777" w:rsidR="00810FAC" w:rsidRPr="00F87B6E" w:rsidRDefault="00810FAC" w:rsidP="007838AF">
      <w:pPr>
        <w:pStyle w:val="CH5References"/>
      </w:pPr>
      <w:r w:rsidRPr="00F87B6E">
        <w:t>ACEEE</w:t>
      </w:r>
      <w:r>
        <w:t>.</w:t>
      </w:r>
      <w:r w:rsidRPr="00F87B6E">
        <w:t xml:space="preserve"> 2015b. State Energy Efficiency Resource Standards (April 2015). American Council for an Energy-Efficient Economy. Available at </w:t>
      </w:r>
      <w:hyperlink r:id="rId45" w:history="1">
        <w:r w:rsidRPr="00F87B6E">
          <w:rPr>
            <w:rStyle w:val="Hyperlink"/>
            <w:rFonts w:eastAsia="Calibri"/>
          </w:rPr>
          <w:t>http://aceee.org/sites/default/files/eers-04072015.pdf</w:t>
        </w:r>
      </w:hyperlink>
      <w:r w:rsidRPr="00F87B6E">
        <w:t>.</w:t>
      </w:r>
    </w:p>
    <w:p w14:paraId="402E935C" w14:textId="77777777" w:rsidR="00810FAC" w:rsidRPr="00F87B6E" w:rsidRDefault="00810FAC" w:rsidP="007838AF">
      <w:pPr>
        <w:pStyle w:val="CH5References"/>
      </w:pPr>
      <w:r w:rsidRPr="00F87B6E">
        <w:t xml:space="preserve">Allcott, H., and M. Greenstone. 2012. Is There an Energy Efficiency Gap? </w:t>
      </w:r>
      <w:r w:rsidRPr="00F87B6E">
        <w:rPr>
          <w:i/>
          <w:iCs/>
        </w:rPr>
        <w:t>J Econ Perspect</w:t>
      </w:r>
      <w:r w:rsidRPr="00F87B6E">
        <w:rPr>
          <w:iCs/>
        </w:rPr>
        <w:t>,</w:t>
      </w:r>
      <w:r w:rsidRPr="00F87B6E">
        <w:rPr>
          <w:i/>
          <w:iCs/>
        </w:rPr>
        <w:t xml:space="preserve"> </w:t>
      </w:r>
      <w:r w:rsidRPr="00F87B6E">
        <w:t>26</w:t>
      </w:r>
      <w:r w:rsidRPr="00F87B6E" w:rsidDel="00ED77B1">
        <w:t xml:space="preserve"> </w:t>
      </w:r>
      <w:r w:rsidRPr="00F87B6E">
        <w:t xml:space="preserve">(1): 3–28. </w:t>
      </w:r>
    </w:p>
    <w:p w14:paraId="55D80551" w14:textId="4002A031" w:rsidR="00810FAC" w:rsidRDefault="00810FAC" w:rsidP="007838AF">
      <w:pPr>
        <w:pStyle w:val="CH5References"/>
      </w:pPr>
      <w:r w:rsidRPr="00F87B6E">
        <w:t>APSC. 2013. Docket Nos. 13-002-U, Order No. 7. Arkansas Public Service Commission.</w:t>
      </w:r>
      <w:r w:rsidR="0047161C">
        <w:t xml:space="preserve"> Available at </w:t>
      </w:r>
      <w:hyperlink r:id="rId46" w:history="1">
        <w:r w:rsidR="0047161C" w:rsidRPr="008173BC">
          <w:rPr>
            <w:rStyle w:val="Hyperlink"/>
          </w:rPr>
          <w:t>http://www.apscservices.info/pdf/13/13-002-u_72_1.pdf</w:t>
        </w:r>
      </w:hyperlink>
      <w:r w:rsidR="0047161C">
        <w:t>.</w:t>
      </w:r>
    </w:p>
    <w:p w14:paraId="5B50C68C" w14:textId="77777777" w:rsidR="00810FAC" w:rsidRPr="00F87B6E" w:rsidRDefault="00810FAC" w:rsidP="007838AF">
      <w:pPr>
        <w:pStyle w:val="CH5References"/>
      </w:pPr>
      <w:r w:rsidRPr="00F87B6E">
        <w:lastRenderedPageBreak/>
        <w:t xml:space="preserve">Arimura, T.H., S. Li, R. Newell, and K. Palmer. 2012. Cost-Effectiveness of Electricity Energy Efficiency Programs. </w:t>
      </w:r>
      <w:r w:rsidRPr="00F87B6E">
        <w:rPr>
          <w:i/>
        </w:rPr>
        <w:t>Energy Journal</w:t>
      </w:r>
      <w:r w:rsidRPr="00F87B6E">
        <w:t>, 33(2).</w:t>
      </w:r>
    </w:p>
    <w:p w14:paraId="0AF61988" w14:textId="77777777" w:rsidR="00810FAC" w:rsidRPr="00F87B6E" w:rsidRDefault="00810FAC" w:rsidP="007838AF">
      <w:pPr>
        <w:pStyle w:val="CH5References"/>
      </w:pPr>
      <w:r w:rsidRPr="00F87B6E">
        <w:t xml:space="preserve">ASAP. 2012. The Efficiency Boom: Cashing In on the Savings from Appliance Standards. Appliance Standards Awareness Project. Available at </w:t>
      </w:r>
      <w:hyperlink r:id="rId47" w:history="1">
        <w:r w:rsidRPr="00F87B6E">
          <w:rPr>
            <w:rStyle w:val="Hyperlink"/>
          </w:rPr>
          <w:t>http://www.appliance-standards.org/sites/default/files/The%20Efficiency%20Boom.pdf</w:t>
        </w:r>
      </w:hyperlink>
      <w:r w:rsidRPr="00F87B6E">
        <w:t>.</w:t>
      </w:r>
    </w:p>
    <w:p w14:paraId="1E3E1E0C" w14:textId="77777777" w:rsidR="00810FAC" w:rsidRPr="00F87B6E" w:rsidRDefault="00810FAC" w:rsidP="00C50014">
      <w:pPr>
        <w:pStyle w:val="CH5References"/>
      </w:pPr>
      <w:r w:rsidRPr="00F87B6E">
        <w:t xml:space="preserve">ASAP. 2014. Energy and Water Efficiency Standards Adopted and Pending by State. Appliance Standard Awareness Project. Available at </w:t>
      </w:r>
      <w:hyperlink r:id="rId48" w:history="1">
        <w:r w:rsidRPr="00F87B6E">
          <w:rPr>
            <w:rStyle w:val="Hyperlink"/>
          </w:rPr>
          <w:t>http://www.appliance-standards.org/sites/default/files/State_status_grid_Feb_21_2014.pdf</w:t>
        </w:r>
      </w:hyperlink>
      <w:r w:rsidRPr="00F87B6E">
        <w:t>.</w:t>
      </w:r>
    </w:p>
    <w:p w14:paraId="50136935" w14:textId="527F9905" w:rsidR="00810FAC" w:rsidRPr="00F87B6E" w:rsidRDefault="00810FAC" w:rsidP="007838AF">
      <w:pPr>
        <w:pStyle w:val="CH5References"/>
      </w:pPr>
      <w:r w:rsidRPr="00F87B6E">
        <w:t>Auffhammer</w:t>
      </w:r>
      <w:r>
        <w:t>,</w:t>
      </w:r>
      <w:r w:rsidRPr="00F87B6E">
        <w:t xml:space="preserve"> M., C. Blumstein, and M. Fowlie. 2008. Demand Side Management and Energy Efficiency Revisited. </w:t>
      </w:r>
      <w:r w:rsidRPr="00F87B6E">
        <w:rPr>
          <w:i/>
        </w:rPr>
        <w:t>Energy Journal</w:t>
      </w:r>
      <w:r w:rsidRPr="00F87B6E">
        <w:t>, 29(3): 91</w:t>
      </w:r>
      <w:r>
        <w:t>–</w:t>
      </w:r>
      <w:r w:rsidRPr="00F87B6E">
        <w:t>104.</w:t>
      </w:r>
    </w:p>
    <w:p w14:paraId="163AE2B3" w14:textId="6050897E" w:rsidR="00CC2BC1" w:rsidRDefault="001A7D56" w:rsidP="00CF0D49">
      <w:pPr>
        <w:pStyle w:val="CH5References"/>
      </w:pPr>
      <w:r>
        <w:t xml:space="preserve">Barbose, G.L., </w:t>
      </w:r>
      <w:r w:rsidR="00CC2BC1" w:rsidRPr="00CC2BC1">
        <w:t>C.A.</w:t>
      </w:r>
      <w:r>
        <w:t xml:space="preserve"> Goldman</w:t>
      </w:r>
      <w:r w:rsidR="00CC2BC1" w:rsidRPr="00CC2BC1">
        <w:t xml:space="preserve">, </w:t>
      </w:r>
      <w:r>
        <w:t xml:space="preserve">I.M. </w:t>
      </w:r>
      <w:r w:rsidR="00CC2BC1" w:rsidRPr="00CC2BC1">
        <w:t>Ho</w:t>
      </w:r>
      <w:r>
        <w:t>ffman</w:t>
      </w:r>
      <w:r w:rsidR="00CC2BC1">
        <w:t xml:space="preserve">, </w:t>
      </w:r>
      <w:r>
        <w:t>M.A. Billingsley</w:t>
      </w:r>
      <w:r w:rsidR="00CC2BC1">
        <w:t xml:space="preserve">. </w:t>
      </w:r>
      <w:r w:rsidR="00CC2BC1" w:rsidRPr="00CC2BC1">
        <w:t>2013</w:t>
      </w:r>
      <w:r w:rsidR="00CC2BC1">
        <w:t>.</w:t>
      </w:r>
      <w:r w:rsidR="00CC2BC1" w:rsidRPr="00CC2BC1">
        <w:t xml:space="preserve"> The Future of Utility Customer-Funded Energy Efficiency Programs in the United States: Projected Spending and Savings to 2025. </w:t>
      </w:r>
      <w:r w:rsidR="00CC2BC1" w:rsidRPr="00CC2BC1">
        <w:rPr>
          <w:i/>
          <w:iCs/>
        </w:rPr>
        <w:t>Energy Efficiency</w:t>
      </w:r>
      <w:r w:rsidR="00CC2BC1">
        <w:rPr>
          <w:i/>
          <w:iCs/>
        </w:rPr>
        <w:t>,</w:t>
      </w:r>
      <w:r w:rsidR="00CC2BC1" w:rsidRPr="00CC2BC1">
        <w:rPr>
          <w:rFonts w:ascii="AdvTT3713a231" w:hAnsi="AdvTT3713a231" w:cs="AdvTT3713a231"/>
          <w:color w:val="131413"/>
          <w:sz w:val="17"/>
          <w:szCs w:val="17"/>
        </w:rPr>
        <w:t xml:space="preserve"> </w:t>
      </w:r>
      <w:r w:rsidR="00CC2BC1" w:rsidRPr="00CC2BC1">
        <w:rPr>
          <w:i/>
          <w:iCs/>
        </w:rPr>
        <w:t>6:475–493</w:t>
      </w:r>
      <w:r w:rsidR="00CC2BC1">
        <w:rPr>
          <w:i/>
          <w:iCs/>
        </w:rPr>
        <w:t>.</w:t>
      </w:r>
    </w:p>
    <w:p w14:paraId="12491CFB" w14:textId="77777777" w:rsidR="00810FAC" w:rsidRPr="00F87B6E" w:rsidRDefault="00810FAC" w:rsidP="00CF0D49">
      <w:pPr>
        <w:pStyle w:val="CH5References"/>
      </w:pPr>
      <w:r w:rsidRPr="00F87B6E">
        <w:t xml:space="preserve">BCAP. n.d. The History of Energy Codes in the United States. Building Codes Assistance Project. Available at </w:t>
      </w:r>
      <w:hyperlink r:id="rId49" w:history="1">
        <w:r w:rsidRPr="00F87B6E">
          <w:rPr>
            <w:rStyle w:val="Hyperlink"/>
          </w:rPr>
          <w:t>http://energycodesocean.org/sites/default/files/resources/The%20History%20of%20Energy%20Codes%20in%20the%20United%20States.pdf</w:t>
        </w:r>
      </w:hyperlink>
      <w:r w:rsidRPr="00F87B6E">
        <w:t>.</w:t>
      </w:r>
    </w:p>
    <w:p w14:paraId="19E981E8" w14:textId="77777777" w:rsidR="00810FAC" w:rsidRPr="00F87B6E" w:rsidRDefault="00810FAC" w:rsidP="007838AF">
      <w:pPr>
        <w:pStyle w:val="CH5References"/>
      </w:pPr>
      <w:r>
        <w:t>Booz Allen</w:t>
      </w:r>
      <w:r w:rsidRPr="00F87B6E">
        <w:t xml:space="preserve">. 2012. Energy Efficiency in the Forward Capacity Market: Evaluating the Business Case for Building Energy Efficiency as a Resource for the Electric Grid. </w:t>
      </w:r>
      <w:r>
        <w:t xml:space="preserve">Booz Allen Hamilton. </w:t>
      </w:r>
      <w:r w:rsidRPr="00F87B6E">
        <w:t xml:space="preserve">Available at </w:t>
      </w:r>
      <w:hyperlink r:id="rId50" w:history="1">
        <w:r w:rsidRPr="00F87B6E">
          <w:rPr>
            <w:rStyle w:val="Hyperlink"/>
          </w:rPr>
          <w:t>http://aceee.org/files/proceedings/2012/data/papers/0193-000167.pdf</w:t>
        </w:r>
      </w:hyperlink>
      <w:r w:rsidRPr="00F87B6E">
        <w:t>.</w:t>
      </w:r>
    </w:p>
    <w:p w14:paraId="5349A118" w14:textId="77777777" w:rsidR="00810FAC" w:rsidRPr="00F87B6E" w:rsidRDefault="00810FAC" w:rsidP="00C50014">
      <w:pPr>
        <w:pStyle w:val="CH5References"/>
      </w:pPr>
      <w:r w:rsidRPr="00F87B6E">
        <w:t xml:space="preserve">Boyd, G.A., and J.X. Pang. 2000. Estimating the Linkage Between Energy Efficiency and Productivity. </w:t>
      </w:r>
      <w:r w:rsidRPr="00F87B6E">
        <w:rPr>
          <w:i/>
        </w:rPr>
        <w:t>Energy Policy</w:t>
      </w:r>
      <w:r w:rsidRPr="00F87B6E">
        <w:t>, 28: 289–296.</w:t>
      </w:r>
    </w:p>
    <w:p w14:paraId="4AB5F780" w14:textId="77777777" w:rsidR="00810FAC" w:rsidRPr="00F87B6E" w:rsidRDefault="00810FAC" w:rsidP="00B562BA">
      <w:pPr>
        <w:pStyle w:val="CH5References"/>
      </w:pPr>
      <w:r w:rsidRPr="00F87B6E">
        <w:t xml:space="preserve">BPA. n.d. BPA Study of Smart Grid Economics Identifies Attractive Opportunities and Key Uncertainties. Bonneville Power Administration. Available at </w:t>
      </w:r>
      <w:hyperlink r:id="rId51" w:history="1">
        <w:r w:rsidRPr="00F87B6E">
          <w:rPr>
            <w:rStyle w:val="Hyperlink"/>
          </w:rPr>
          <w:t>http://www.bpa.gov/Projects/Initiatives/SmartGrid/DocumentsSmartGrid/BPA-Smart-Grid-Regional-Business-Case-Summary-White-Paper.pdf</w:t>
        </w:r>
      </w:hyperlink>
      <w:r w:rsidRPr="00F87B6E">
        <w:t>.</w:t>
      </w:r>
    </w:p>
    <w:p w14:paraId="7358D6E2" w14:textId="77777777" w:rsidR="00810FAC" w:rsidRPr="00F87B6E" w:rsidRDefault="00810FAC" w:rsidP="007838AF">
      <w:pPr>
        <w:pStyle w:val="CH5References"/>
      </w:pPr>
      <w:r w:rsidRPr="00F87B6E">
        <w:lastRenderedPageBreak/>
        <w:t xml:space="preserve">California GOPR. 2002. California Standard Practice Manual: Economic Analysis of Demand-Side Programs and Projects. California Governor’s Office of Planning and Research. Available at </w:t>
      </w:r>
      <w:hyperlink r:id="rId52" w:history="1">
        <w:r w:rsidRPr="00F87B6E">
          <w:rPr>
            <w:rStyle w:val="Hyperlink"/>
          </w:rPr>
          <w:t>http://www.calmac.org/events/SPM_9_20_02.pdf</w:t>
        </w:r>
      </w:hyperlink>
      <w:r w:rsidRPr="00F87B6E">
        <w:t>.</w:t>
      </w:r>
    </w:p>
    <w:p w14:paraId="3238988F" w14:textId="77777777" w:rsidR="00810FAC" w:rsidRPr="00F87B6E" w:rsidRDefault="00810FAC" w:rsidP="007838AF">
      <w:pPr>
        <w:pStyle w:val="CH5References"/>
      </w:pPr>
      <w:r w:rsidRPr="00F87B6E">
        <w:t xml:space="preserve">CEC. 2013. 2013 Integrated Energy Policy Report. California Energy Commission. Available at </w:t>
      </w:r>
      <w:hyperlink r:id="rId53" w:history="1">
        <w:r w:rsidRPr="00F87B6E">
          <w:rPr>
            <w:rStyle w:val="Hyperlink"/>
          </w:rPr>
          <w:t>http://www.energy.ca.gov/2013publications/CEC-100-2013-001/CEC-100-2013-001-CMF.pdf</w:t>
        </w:r>
      </w:hyperlink>
      <w:r w:rsidRPr="00F87B6E">
        <w:t>.</w:t>
      </w:r>
    </w:p>
    <w:p w14:paraId="30CB7E4D" w14:textId="356C82F3" w:rsidR="00601462" w:rsidRDefault="00810FAC" w:rsidP="007838AF">
      <w:pPr>
        <w:pStyle w:val="CH5References"/>
      </w:pPr>
      <w:r w:rsidRPr="00F87B6E">
        <w:t>CEC. 2014. Notice of Pre-Rulemaking Schedule. California Energy Commi</w:t>
      </w:r>
      <w:r w:rsidRPr="007838AF">
        <w:t>s</w:t>
      </w:r>
      <w:r w:rsidRPr="00F87B6E">
        <w:t xml:space="preserve">sion. Available at </w:t>
      </w:r>
      <w:hyperlink r:id="rId54" w:history="1">
        <w:r w:rsidR="00601462" w:rsidRPr="003A3B1D">
          <w:rPr>
            <w:rStyle w:val="Hyperlink"/>
          </w:rPr>
          <w:t>http://www.energy.ca.gov/appliances/2013rulemaking/documents/pre-reulemaking_schedule.pdf</w:t>
        </w:r>
      </w:hyperlink>
      <w:r w:rsidR="00601462">
        <w:t>.</w:t>
      </w:r>
    </w:p>
    <w:p w14:paraId="7ACB7B53" w14:textId="04F47170" w:rsidR="00CB7F14" w:rsidRDefault="00810FAC" w:rsidP="007838AF">
      <w:pPr>
        <w:pStyle w:val="CH5References"/>
      </w:pPr>
      <w:r w:rsidRPr="00F87B6E">
        <w:t xml:space="preserve">CEE. 2015. 2014 State of the Efficiency Program Industry Report. Consortium for Energy Efficiency. Available at </w:t>
      </w:r>
      <w:hyperlink r:id="rId55" w:history="1">
        <w:r w:rsidR="00CB7F14" w:rsidRPr="008173BC">
          <w:rPr>
            <w:rStyle w:val="Hyperlink"/>
          </w:rPr>
          <w:t>http://library.cee1.org/sites/default/files/library/12193/CEE_2014_Annual_Industry_Report.pdf</w:t>
        </w:r>
      </w:hyperlink>
      <w:r w:rsidR="00CB7F14">
        <w:t>.</w:t>
      </w:r>
    </w:p>
    <w:p w14:paraId="05DD63E3" w14:textId="77777777" w:rsidR="00810FAC" w:rsidRPr="00F87B6E" w:rsidRDefault="00810FAC" w:rsidP="007838AF">
      <w:pPr>
        <w:pStyle w:val="CH5References"/>
      </w:pPr>
      <w:r w:rsidRPr="00F87B6E">
        <w:t xml:space="preserve">Clarke, L., A. Fawcett, J. Weyant, J. McFarland, V. Chaturvedi, and Y. Zhou. 2014. Technology and U.S. Emissions Reductions Goals: Results of the EMF 24 Modeling Exercise. </w:t>
      </w:r>
      <w:r w:rsidRPr="00F87B6E">
        <w:rPr>
          <w:i/>
        </w:rPr>
        <w:t>Energy Journal</w:t>
      </w:r>
      <w:r w:rsidRPr="00F87B6E">
        <w:t xml:space="preserve">, 35 (SI I): 9–31. Available at </w:t>
      </w:r>
      <w:hyperlink r:id="rId56" w:history="1">
        <w:r w:rsidRPr="00F87B6E">
          <w:rPr>
            <w:rStyle w:val="Hyperlink"/>
          </w:rPr>
          <w:t>https://web.stanford.edu/group/emf-research/docs/emf24/EMF_24.pdf</w:t>
        </w:r>
      </w:hyperlink>
      <w:r w:rsidRPr="00F87B6E">
        <w:t>.</w:t>
      </w:r>
    </w:p>
    <w:p w14:paraId="194DB310" w14:textId="77777777" w:rsidR="00810FAC" w:rsidRDefault="00810FAC" w:rsidP="007838AF">
      <w:pPr>
        <w:pStyle w:val="CH5References"/>
      </w:pPr>
      <w:r w:rsidRPr="00F87B6E">
        <w:t xml:space="preserve">Comstock, O., and E. Boedecker. 2011. Energy and Emissions in the Building Sector: A Comparison of Three Policies and Their Combinations. </w:t>
      </w:r>
      <w:r w:rsidRPr="00F87B6E">
        <w:rPr>
          <w:i/>
        </w:rPr>
        <w:t>Energy Journal</w:t>
      </w:r>
      <w:r w:rsidRPr="00F87B6E">
        <w:t xml:space="preserve">, 32: 23–41. </w:t>
      </w:r>
    </w:p>
    <w:p w14:paraId="54DB3E1C" w14:textId="77777777" w:rsidR="00810FAC" w:rsidRPr="00F87B6E" w:rsidRDefault="00810FAC" w:rsidP="007838AF">
      <w:pPr>
        <w:pStyle w:val="CH5References"/>
      </w:pPr>
      <w:r>
        <w:t xml:space="preserve">Congress. </w:t>
      </w:r>
      <w:r w:rsidRPr="00F87B6E">
        <w:t>1975. Public Law 94-173</w:t>
      </w:r>
      <w:r>
        <w:t>: Energy Policy and Conservation Act</w:t>
      </w:r>
      <w:r w:rsidRPr="00F87B6E">
        <w:t>.</w:t>
      </w:r>
      <w:r>
        <w:t xml:space="preserve"> U.S. Congress.</w:t>
      </w:r>
      <w:r w:rsidRPr="00F87B6E">
        <w:t xml:space="preserve"> Available at </w:t>
      </w:r>
      <w:hyperlink r:id="rId57" w:history="1">
        <w:r w:rsidRPr="00F87B6E">
          <w:rPr>
            <w:rStyle w:val="Hyperlink"/>
          </w:rPr>
          <w:t>http://www.gpo.gov/fdsys/pkg/STATUTE-89/pdf/STATUTE-89-Pg871.pdf</w:t>
        </w:r>
      </w:hyperlink>
      <w:r w:rsidRPr="00F87B6E">
        <w:t>.</w:t>
      </w:r>
    </w:p>
    <w:p w14:paraId="79EA9514" w14:textId="77777777" w:rsidR="00810FAC" w:rsidRPr="00F87B6E" w:rsidRDefault="00810FAC" w:rsidP="007838AF">
      <w:pPr>
        <w:pStyle w:val="CH5References"/>
      </w:pPr>
      <w:r>
        <w:t xml:space="preserve">Congress. </w:t>
      </w:r>
      <w:r w:rsidRPr="00F87B6E">
        <w:t>1978</w:t>
      </w:r>
      <w:r>
        <w:t>a</w:t>
      </w:r>
      <w:r w:rsidRPr="00F87B6E">
        <w:t>. Public Law 95-619</w:t>
      </w:r>
      <w:r>
        <w:t>: National Energy Conservation Policy Act</w:t>
      </w:r>
      <w:r w:rsidRPr="00F87B6E">
        <w:t>.</w:t>
      </w:r>
      <w:r>
        <w:t xml:space="preserve"> U.S. Congress. </w:t>
      </w:r>
      <w:r w:rsidRPr="00F87B6E">
        <w:t xml:space="preserve">Available at </w:t>
      </w:r>
      <w:hyperlink r:id="rId58" w:history="1">
        <w:r w:rsidRPr="00F87B6E">
          <w:rPr>
            <w:rStyle w:val="Hyperlink"/>
          </w:rPr>
          <w:t>http://www.gpo.gov/fdsys/pkg/STATUTE-92/pdf/STATUTE-92-Pg3206.pdf</w:t>
        </w:r>
      </w:hyperlink>
      <w:r w:rsidRPr="00F87B6E">
        <w:t>.</w:t>
      </w:r>
    </w:p>
    <w:p w14:paraId="65515DD2" w14:textId="32043C81" w:rsidR="00810FAC" w:rsidRDefault="00810FAC" w:rsidP="00CF0D49">
      <w:pPr>
        <w:pStyle w:val="CH5References"/>
      </w:pPr>
      <w:r w:rsidRPr="008A3FF3">
        <w:t xml:space="preserve">Congress. 1978b. Public Utility Regulatory Policies Act. U.S. Congress. Available at </w:t>
      </w:r>
      <w:hyperlink r:id="rId59" w:history="1">
        <w:r w:rsidRPr="008A3FF3">
          <w:rPr>
            <w:rStyle w:val="Hyperlink"/>
          </w:rPr>
          <w:t>http://www.usbr.gov/power/legislation/purpa.pdf</w:t>
        </w:r>
      </w:hyperlink>
      <w:r w:rsidRPr="008A3FF3">
        <w:t>.</w:t>
      </w:r>
    </w:p>
    <w:p w14:paraId="6388629A" w14:textId="77777777" w:rsidR="006E4444" w:rsidRPr="00F87B6E" w:rsidRDefault="006E4444" w:rsidP="006E4444">
      <w:pPr>
        <w:pStyle w:val="CH5References"/>
      </w:pPr>
      <w:r>
        <w:t>Congress</w:t>
      </w:r>
      <w:r w:rsidRPr="00F87B6E">
        <w:t xml:space="preserve">. 1987. National Appliance Energy Conservation Act. </w:t>
      </w:r>
      <w:r>
        <w:t xml:space="preserve">U.S. Congress. </w:t>
      </w:r>
      <w:r w:rsidRPr="00F87B6E">
        <w:t xml:space="preserve">Available at </w:t>
      </w:r>
      <w:hyperlink r:id="rId60" w:history="1">
        <w:r w:rsidRPr="00F87B6E">
          <w:rPr>
            <w:rStyle w:val="Hyperlink"/>
          </w:rPr>
          <w:t>https://www.congress.gov/bill/100th-congress/house-bill/87</w:t>
        </w:r>
      </w:hyperlink>
      <w:r w:rsidRPr="00F87B6E">
        <w:t>.</w:t>
      </w:r>
    </w:p>
    <w:p w14:paraId="4EC60CC0" w14:textId="274D7C6A" w:rsidR="004B609E" w:rsidRPr="00F87B6E" w:rsidRDefault="004B609E" w:rsidP="004B609E">
      <w:pPr>
        <w:pStyle w:val="CH5References"/>
      </w:pPr>
      <w:r>
        <w:lastRenderedPageBreak/>
        <w:t>Congress</w:t>
      </w:r>
      <w:r w:rsidRPr="00F87B6E">
        <w:t xml:space="preserve">. 1992. Energy Policy Act of 1992. </w:t>
      </w:r>
      <w:r>
        <w:t xml:space="preserve">U.S. Congress. </w:t>
      </w:r>
      <w:r w:rsidRPr="00F87B6E">
        <w:t xml:space="preserve">Available at </w:t>
      </w:r>
      <w:hyperlink r:id="rId61" w:history="1">
        <w:r w:rsidRPr="00F87B6E">
          <w:rPr>
            <w:rStyle w:val="Hyperlink"/>
          </w:rPr>
          <w:t>http://www.usbr.gov/power/legislation/epa92.pdf</w:t>
        </w:r>
      </w:hyperlink>
      <w:r w:rsidRPr="00F87B6E">
        <w:t>.</w:t>
      </w:r>
    </w:p>
    <w:p w14:paraId="1EE41238" w14:textId="62AABAC8" w:rsidR="004B609E" w:rsidRPr="00F87B6E" w:rsidRDefault="004B609E" w:rsidP="004B609E">
      <w:pPr>
        <w:pStyle w:val="CH5References"/>
      </w:pPr>
      <w:r>
        <w:t>Congress</w:t>
      </w:r>
      <w:r w:rsidRPr="00F87B6E">
        <w:t xml:space="preserve">. 2005. Energy Policy Act of 2005. </w:t>
      </w:r>
      <w:r>
        <w:t xml:space="preserve">U.S. Congress. </w:t>
      </w:r>
      <w:r w:rsidRPr="00F87B6E">
        <w:t xml:space="preserve">Available at </w:t>
      </w:r>
      <w:hyperlink r:id="rId62" w:history="1">
        <w:r w:rsidRPr="00F87B6E">
          <w:rPr>
            <w:rStyle w:val="Hyperlink"/>
          </w:rPr>
          <w:t>http://energy.gov/sites/prod/files/2013/10/f3/epact_2005.pdf</w:t>
        </w:r>
      </w:hyperlink>
      <w:r w:rsidRPr="00F87B6E">
        <w:t>.</w:t>
      </w:r>
    </w:p>
    <w:p w14:paraId="6C41E2D8" w14:textId="4AE218E4" w:rsidR="004A0B64" w:rsidRDefault="004A0B64" w:rsidP="007838AF">
      <w:pPr>
        <w:pStyle w:val="CH5References"/>
      </w:pPr>
      <w:r>
        <w:t>Congress. 2007.</w:t>
      </w:r>
      <w:r w:rsidR="004E4EA4">
        <w:t xml:space="preserve"> Public Law 110-140: Energy Independence and Security Act of 2007. U.S. Congress. Available at</w:t>
      </w:r>
      <w:r>
        <w:t xml:space="preserve"> </w:t>
      </w:r>
      <w:hyperlink r:id="rId63" w:history="1">
        <w:r w:rsidRPr="008F693E">
          <w:rPr>
            <w:rStyle w:val="Hyperlink"/>
          </w:rPr>
          <w:t>http://www.gpo.gov/fdsys/pkg/PLAW-110publ140/html/PLAW-110publ140.htm</w:t>
        </w:r>
      </w:hyperlink>
      <w:r w:rsidR="004E4EA4">
        <w:t>.</w:t>
      </w:r>
    </w:p>
    <w:p w14:paraId="7D8925D7" w14:textId="77777777" w:rsidR="00810FAC" w:rsidRPr="00F87B6E" w:rsidRDefault="00810FAC" w:rsidP="007838AF">
      <w:pPr>
        <w:pStyle w:val="CH5References"/>
      </w:pPr>
      <w:r w:rsidRPr="00F87B6E">
        <w:t xml:space="preserve">CRS. 2007. The Potential for Energy Savings Certificates as a Major Tool in Greenhouse Gas Reduction Programs. Center for Resource Solutions. Available at </w:t>
      </w:r>
      <w:hyperlink r:id="rId64" w:history="1">
        <w:r w:rsidRPr="00F87B6E">
          <w:rPr>
            <w:rStyle w:val="Hyperlink"/>
          </w:rPr>
          <w:t>http://www.resource-solutions.org/pub_pdfs/Draft_Report_ESC_V12_cleanFINAL_5-24-07.pdf</w:t>
        </w:r>
      </w:hyperlink>
      <w:r>
        <w:rPr>
          <w:rStyle w:val="Hyperlink"/>
        </w:rPr>
        <w:t>.</w:t>
      </w:r>
    </w:p>
    <w:p w14:paraId="117DA02B" w14:textId="77777777" w:rsidR="00810FAC" w:rsidRPr="00F87B6E" w:rsidRDefault="00810FAC" w:rsidP="007838AF">
      <w:pPr>
        <w:pStyle w:val="CH5References"/>
      </w:pPr>
      <w:r w:rsidRPr="00F87B6E">
        <w:t>Davis, L.W. 2008.</w:t>
      </w:r>
      <w:r w:rsidRPr="00F87B6E">
        <w:rPr>
          <w:color w:val="131413"/>
        </w:rPr>
        <w:t xml:space="preserve"> </w:t>
      </w:r>
      <w:r w:rsidRPr="00F87B6E">
        <w:t xml:space="preserve">Durable Goods and Residential Demand for Energy and Water: Evidence from a Field Trial. </w:t>
      </w:r>
      <w:r w:rsidRPr="00F87B6E">
        <w:rPr>
          <w:i/>
        </w:rPr>
        <w:t>RAND J Econ</w:t>
      </w:r>
      <w:r w:rsidRPr="00F87B6E">
        <w:t>, 39: 530–546.</w:t>
      </w:r>
    </w:p>
    <w:p w14:paraId="1B765D3A" w14:textId="77777777" w:rsidR="00810FAC" w:rsidRPr="00F87B6E" w:rsidRDefault="00810FAC" w:rsidP="007838AF">
      <w:pPr>
        <w:pStyle w:val="CH5References"/>
        <w:rPr>
          <w:b/>
        </w:rPr>
      </w:pPr>
      <w:r w:rsidRPr="00F87B6E">
        <w:t xml:space="preserve">DeCanio, S. 1998. The Efficiency Paradox: Bureaucratic and Organizational Barriers to Profitable Energy-Saving Investments. </w:t>
      </w:r>
      <w:r w:rsidRPr="00F87B6E">
        <w:rPr>
          <w:i/>
        </w:rPr>
        <w:t>Energy Policy</w:t>
      </w:r>
      <w:r w:rsidRPr="00F87B6E">
        <w:t>, 26(5): 441–458.</w:t>
      </w:r>
    </w:p>
    <w:p w14:paraId="26E3381D" w14:textId="77777777" w:rsidR="00810FAC" w:rsidRPr="00F87B6E" w:rsidRDefault="00810FAC" w:rsidP="007838AF">
      <w:pPr>
        <w:pStyle w:val="CH5References"/>
      </w:pPr>
      <w:r w:rsidRPr="00F87B6E">
        <w:t>DeCanio, S., and W.E. Watkins. 2008. Investment in Energy Efficiency: Do the Characteristics of Firms Matter?</w:t>
      </w:r>
      <w:r w:rsidRPr="00F87B6E">
        <w:rPr>
          <w:b/>
          <w:bCs/>
        </w:rPr>
        <w:t xml:space="preserve"> </w:t>
      </w:r>
      <w:r w:rsidRPr="00F87B6E">
        <w:rPr>
          <w:i/>
          <w:iCs/>
        </w:rPr>
        <w:t>Rev Econ Stat</w:t>
      </w:r>
      <w:r w:rsidRPr="00F87B6E">
        <w:t>, 80: 95–107.</w:t>
      </w:r>
    </w:p>
    <w:p w14:paraId="0B0FFE62" w14:textId="77777777" w:rsidR="00810FAC" w:rsidRPr="00F87B6E" w:rsidRDefault="00810FAC" w:rsidP="007838AF">
      <w:pPr>
        <w:pStyle w:val="CH5References"/>
      </w:pPr>
      <w:r w:rsidRPr="00F87B6E">
        <w:t xml:space="preserve">DOE. 2011. Energy Efficiency in Distribution Systems: Impact Analysis Approach. U.S. Department of Energy. Available at </w:t>
      </w:r>
      <w:hyperlink r:id="rId65" w:history="1">
        <w:r w:rsidRPr="00F87B6E">
          <w:rPr>
            <w:rStyle w:val="Hyperlink"/>
          </w:rPr>
          <w:t>https://www.smartgrid.gov/sites/default/files/Distribution%20System%20Energy%20Efficiency%2017Nov11.pdf</w:t>
        </w:r>
      </w:hyperlink>
      <w:r w:rsidRPr="00F87B6E">
        <w:t>.</w:t>
      </w:r>
    </w:p>
    <w:p w14:paraId="7F9EAC12" w14:textId="77777777" w:rsidR="00810FAC" w:rsidRPr="00F87B6E" w:rsidRDefault="00810FAC" w:rsidP="007838AF">
      <w:pPr>
        <w:pStyle w:val="CH5References"/>
      </w:pPr>
      <w:r w:rsidRPr="00F87B6E">
        <w:t xml:space="preserve">DOE. 2012a. Application of Automated Controls for Voltage and Reactive Power Management—Initial Results. U.S. Department of Energy. Available at </w:t>
      </w:r>
      <w:hyperlink r:id="rId66" w:history="1">
        <w:r w:rsidRPr="00F87B6E">
          <w:rPr>
            <w:rStyle w:val="Hyperlink"/>
          </w:rPr>
          <w:t>https://www.smartgrid.gov/sites/default/files/doc/files/VVO%20Report%20-%20Final.pdf</w:t>
        </w:r>
      </w:hyperlink>
      <w:r w:rsidRPr="00F87B6E">
        <w:t>.</w:t>
      </w:r>
    </w:p>
    <w:p w14:paraId="053C30C5" w14:textId="61D84DE4" w:rsidR="00810FAC" w:rsidRPr="00F87B6E" w:rsidRDefault="00810FAC" w:rsidP="007838AF">
      <w:pPr>
        <w:pStyle w:val="CH5References"/>
      </w:pPr>
      <w:r w:rsidRPr="00F87B6E">
        <w:t xml:space="preserve">DOE. 2012b. Arizona Energy and Cost Savings for New Single- and Multifamily Homes: 2009 and 2012 IECC as Compared to 2006 IECC. U.S. Department of Energy. Available at </w:t>
      </w:r>
      <w:hyperlink r:id="rId67" w:history="1">
        <w:r w:rsidRPr="00F87B6E">
          <w:rPr>
            <w:rStyle w:val="Hyperlink"/>
          </w:rPr>
          <w:t>http://www.energycodes.gov/sites/default/files/documents/ArizonaResidentialCostEffectiveness.pdf</w:t>
        </w:r>
      </w:hyperlink>
      <w:r w:rsidRPr="00F87B6E">
        <w:t>.</w:t>
      </w:r>
    </w:p>
    <w:p w14:paraId="71279D5A" w14:textId="77777777" w:rsidR="00810FAC" w:rsidRPr="00F87B6E" w:rsidRDefault="00810FAC" w:rsidP="007838AF">
      <w:pPr>
        <w:pStyle w:val="CH5References"/>
      </w:pPr>
      <w:r w:rsidRPr="00F87B6E">
        <w:t xml:space="preserve">DOE. 2012c. Department of Energy: Successes of the Recovery Act. U.S. Department of Energy. Available at </w:t>
      </w:r>
      <w:hyperlink r:id="rId68" w:history="1">
        <w:r w:rsidRPr="00F87B6E">
          <w:rPr>
            <w:rStyle w:val="Hyperlink"/>
          </w:rPr>
          <w:t>http://www.energy.gov/sites/prod/files/RecoveryActSuccess_Jan2012final.pdf</w:t>
        </w:r>
      </w:hyperlink>
      <w:r w:rsidRPr="00F87B6E">
        <w:t>.</w:t>
      </w:r>
    </w:p>
    <w:p w14:paraId="17CC70D8" w14:textId="28B5EA4C" w:rsidR="00810FAC" w:rsidRPr="00F87B6E" w:rsidRDefault="00810FAC" w:rsidP="007838AF">
      <w:pPr>
        <w:pStyle w:val="CH5References"/>
      </w:pPr>
      <w:r w:rsidRPr="00F87B6E">
        <w:t xml:space="preserve">DOE. 2014. Step 1. Understand the Benefits of Code Adoption. U.S. Department of Energy. Available at </w:t>
      </w:r>
      <w:hyperlink r:id="rId69" w:history="1">
        <w:r w:rsidRPr="00F87B6E">
          <w:rPr>
            <w:rStyle w:val="Hyperlink"/>
          </w:rPr>
          <w:t>https://www.energycodes.gov/resource-center/ACE/adoption/step1</w:t>
        </w:r>
      </w:hyperlink>
      <w:r w:rsidRPr="00F87B6E">
        <w:t>.</w:t>
      </w:r>
      <w:r w:rsidR="00FD5C00">
        <w:t xml:space="preserve"> Accessed July 28, 2015.</w:t>
      </w:r>
    </w:p>
    <w:p w14:paraId="58D95A5C" w14:textId="567B658F" w:rsidR="00DF7D4F" w:rsidRDefault="00810FAC" w:rsidP="007838AF">
      <w:pPr>
        <w:pStyle w:val="CH5References"/>
      </w:pPr>
      <w:r w:rsidRPr="00F87B6E">
        <w:t xml:space="preserve">DOE. 2015a. Saving Energy and Money with Appliance and Equipment Standards in the United States. U.S. Department of Energy. Available at </w:t>
      </w:r>
      <w:hyperlink r:id="rId70" w:history="1">
        <w:r w:rsidR="00DF7D4F" w:rsidRPr="00CF24C5">
          <w:rPr>
            <w:rStyle w:val="Hyperlink"/>
          </w:rPr>
          <w:t>http://energy.gov/sites/prod/files/2015/07/f24/Appliance%20and%20Equipment%20Standards%20Fact%20Sheet%207-21-15.pdf</w:t>
        </w:r>
      </w:hyperlink>
      <w:r w:rsidR="00DF7D4F">
        <w:t>.</w:t>
      </w:r>
    </w:p>
    <w:p w14:paraId="7856EA6E" w14:textId="77777777" w:rsidR="00FD5C00" w:rsidRPr="00F87B6E" w:rsidRDefault="00810FAC" w:rsidP="00FD5C00">
      <w:pPr>
        <w:pStyle w:val="CH5References"/>
      </w:pPr>
      <w:r w:rsidRPr="00F87B6E">
        <w:t xml:space="preserve">DOE. 2015b. Rulemakings and Notices. U.S. Department of Energy. Available at </w:t>
      </w:r>
      <w:hyperlink r:id="rId71" w:history="1">
        <w:r w:rsidRPr="00F87B6E">
          <w:rPr>
            <w:rStyle w:val="Hyperlink"/>
          </w:rPr>
          <w:t>http://energy.gov/eere/buildings/rulemakings-and-notices</w:t>
        </w:r>
      </w:hyperlink>
      <w:r w:rsidRPr="00F87B6E">
        <w:t>.</w:t>
      </w:r>
      <w:r w:rsidR="00FD5C00">
        <w:t xml:space="preserve"> Accessed July 28, 2015.</w:t>
      </w:r>
    </w:p>
    <w:p w14:paraId="7B1A961D" w14:textId="77777777" w:rsidR="00810FAC" w:rsidRPr="00F87B6E" w:rsidRDefault="00810FAC" w:rsidP="007838AF">
      <w:pPr>
        <w:pStyle w:val="CH5References"/>
      </w:pPr>
      <w:r w:rsidRPr="00F87B6E">
        <w:t xml:space="preserve">EIA. 2012a. Electric Power Sales, Revenue, and Energy Efficiency Form EIA-861 Detailed Data Files. U.S. Energy Information Administration. Available at </w:t>
      </w:r>
      <w:hyperlink r:id="rId72" w:history="1">
        <w:r w:rsidRPr="00F87B6E">
          <w:rPr>
            <w:rStyle w:val="Hyperlink"/>
          </w:rPr>
          <w:t>http://www.eia.gov/electricity/data/eia861/</w:t>
        </w:r>
      </w:hyperlink>
      <w:r w:rsidRPr="00F87B6E">
        <w:t>.</w:t>
      </w:r>
    </w:p>
    <w:p w14:paraId="45FDD431" w14:textId="77777777" w:rsidR="00810FAC" w:rsidRPr="00F87B6E" w:rsidRDefault="00810FAC" w:rsidP="007838AF">
      <w:pPr>
        <w:pStyle w:val="CH5References"/>
      </w:pPr>
      <w:r w:rsidRPr="00F87B6E">
        <w:t xml:space="preserve">EIA. 2012b. State Electricity Profiles 2010. U.S. Energy Information Administration. Available at </w:t>
      </w:r>
      <w:hyperlink r:id="rId73" w:history="1">
        <w:r w:rsidRPr="00F87B6E">
          <w:rPr>
            <w:rStyle w:val="Hyperlink"/>
          </w:rPr>
          <w:t>http://www.eia.gov/electricity/state/pdf/sep2010.pdf</w:t>
        </w:r>
      </w:hyperlink>
      <w:r w:rsidRPr="00F87B6E">
        <w:t>.</w:t>
      </w:r>
    </w:p>
    <w:p w14:paraId="35C226CE" w14:textId="77777777" w:rsidR="00810FAC" w:rsidRPr="00F87B6E" w:rsidRDefault="00810FAC" w:rsidP="007838AF">
      <w:pPr>
        <w:pStyle w:val="CH5References"/>
      </w:pPr>
      <w:r w:rsidRPr="00F87B6E">
        <w:t xml:space="preserve">EIA. 2013. Electric Power Sales, Revenue, and Energy Efficiency Form EIA-861 Detailed Data Files. U.S. Energy Information Administration. Available at </w:t>
      </w:r>
      <w:hyperlink r:id="rId74" w:history="1">
        <w:r w:rsidRPr="00F87B6E">
          <w:rPr>
            <w:rStyle w:val="Hyperlink"/>
          </w:rPr>
          <w:t>http://www.eia.gov/electricity/data/eia861/</w:t>
        </w:r>
      </w:hyperlink>
      <w:r w:rsidRPr="00F87B6E">
        <w:t>.</w:t>
      </w:r>
    </w:p>
    <w:p w14:paraId="7F2C621F" w14:textId="0336FF81" w:rsidR="0030759B" w:rsidRDefault="00810FAC" w:rsidP="00F92AE3">
      <w:pPr>
        <w:pStyle w:val="CH5References"/>
      </w:pPr>
      <w:r w:rsidRPr="00F87B6E">
        <w:t xml:space="preserve">EIA. 2015. Annual Energy Outlook 2015: Table: Electricity Supply, Disposition, Prices, and Emissions. </w:t>
      </w:r>
      <w:r>
        <w:t xml:space="preserve">U.S. </w:t>
      </w:r>
      <w:r w:rsidRPr="00F87B6E">
        <w:t xml:space="preserve">Energy Information Administration. Available at </w:t>
      </w:r>
      <w:hyperlink r:id="rId75" w:history="1">
        <w:r w:rsidR="0030759B" w:rsidRPr="00CF24C5">
          <w:rPr>
            <w:rStyle w:val="Hyperlink"/>
          </w:rPr>
          <w:t>http://www.eia.gov/forecasts/aeo/pdf/0383%282015%29.pdf</w:t>
        </w:r>
      </w:hyperlink>
      <w:r w:rsidR="0030759B">
        <w:t>.</w:t>
      </w:r>
    </w:p>
    <w:p w14:paraId="6D936265" w14:textId="18CE26B2" w:rsidR="00810FAC" w:rsidRPr="00F87B6E" w:rsidRDefault="00810FAC" w:rsidP="00F92AE3">
      <w:pPr>
        <w:pStyle w:val="CH5References"/>
      </w:pPr>
      <w:r w:rsidRPr="00F87B6E">
        <w:lastRenderedPageBreak/>
        <w:t>ENERGY STAR. 2012a. ENERGY STAR Products</w:t>
      </w:r>
      <w:r>
        <w:t>:</w:t>
      </w:r>
      <w:r w:rsidRPr="00F87B6E">
        <w:t xml:space="preserve"> 20 Years of Helping America Save Energy, Save Monday and Protect the Environment. Available at </w:t>
      </w:r>
      <w:hyperlink r:id="rId76" w:history="1">
        <w:r>
          <w:rPr>
            <w:rStyle w:val="Hyperlink"/>
          </w:rPr>
          <w:t>http://www.energystar.gov/ia/products/downloads/ES_Anniv_Book_030712_508compliant_v2.pdf</w:t>
        </w:r>
      </w:hyperlink>
      <w:r w:rsidRPr="00F87B6E">
        <w:t>.</w:t>
      </w:r>
    </w:p>
    <w:p w14:paraId="07DD889B" w14:textId="194F53BE" w:rsidR="00B101F0" w:rsidRDefault="00810FAC" w:rsidP="00F92AE3">
      <w:pPr>
        <w:pStyle w:val="CH5References"/>
      </w:pPr>
      <w:r w:rsidRPr="00F87B6E">
        <w:t xml:space="preserve">ENERGY STAR. 2012b. Celebrating 20 Years of ENERGY STAR. Available at </w:t>
      </w:r>
      <w:hyperlink r:id="rId77" w:history="1">
        <w:r w:rsidR="00B101F0" w:rsidRPr="00CF24C5">
          <w:rPr>
            <w:rStyle w:val="Hyperlink"/>
          </w:rPr>
          <w:t>http://www.energystar.gov/ia/about/20_years/ES_20th_Anniv_brochure_spreads.pdf?ab0b-60a9</w:t>
        </w:r>
      </w:hyperlink>
      <w:r w:rsidR="00B101F0">
        <w:t>.</w:t>
      </w:r>
    </w:p>
    <w:p w14:paraId="1A7A7EB8" w14:textId="02850A3B" w:rsidR="00810FAC" w:rsidRPr="00F87B6E" w:rsidRDefault="00810FAC" w:rsidP="00F92AE3">
      <w:pPr>
        <w:pStyle w:val="CH5References"/>
      </w:pPr>
      <w:r w:rsidRPr="00F87B6E">
        <w:t>EPA. 2006. Clean Energy and Environment Guide to Action: State Policies and Best Practices for Advancing Energy Efficiency, Renewable Energy, and Combined Heat and Power. U.S. Environmental Protection Agency.</w:t>
      </w:r>
    </w:p>
    <w:p w14:paraId="0C87D2A8" w14:textId="68DBAE19" w:rsidR="00B101F0" w:rsidRDefault="00810FAC" w:rsidP="007838AF">
      <w:pPr>
        <w:pStyle w:val="CH5References"/>
      </w:pPr>
      <w:r w:rsidRPr="00F87B6E">
        <w:t xml:space="preserve">EPA. 2014a. Clean Power Plan Proposed Rule: Greenhouse Gas Abatement Measures Technical Support Document. U.S. Environmental Protection Agency. Available at </w:t>
      </w:r>
      <w:hyperlink r:id="rId78" w:history="1">
        <w:r w:rsidR="00B101F0" w:rsidRPr="00CF24C5">
          <w:rPr>
            <w:rStyle w:val="Hyperlink"/>
          </w:rPr>
          <w:t>http://www2.epa.gov/sites/production/files/2014-06/documents/20140602tsd-ghg-abatement-measures.pdf</w:t>
        </w:r>
      </w:hyperlink>
      <w:r w:rsidR="00B101F0">
        <w:t>.</w:t>
      </w:r>
    </w:p>
    <w:p w14:paraId="663D1BE7" w14:textId="1A6327DB" w:rsidR="00B101F0" w:rsidRDefault="00810FAC" w:rsidP="007838AF">
      <w:pPr>
        <w:pStyle w:val="CH5References"/>
      </w:pPr>
      <w:r w:rsidRPr="00F87B6E">
        <w:t xml:space="preserve">EPA. 2014b. Clean Power Plan Proposed Rule: State Plan Considerations Technical Support Document. U.S. Environmental Protection Agency. Available at </w:t>
      </w:r>
      <w:hyperlink r:id="rId79" w:history="1">
        <w:r w:rsidR="00B101F0" w:rsidRPr="00CF24C5">
          <w:rPr>
            <w:rStyle w:val="Hyperlink"/>
          </w:rPr>
          <w:t>http://www2.epa.gov/sites/production/files/2014-06/documents/20140602tsd-state-plan-considerations.pdf</w:t>
        </w:r>
      </w:hyperlink>
      <w:r w:rsidR="00B101F0">
        <w:t>.</w:t>
      </w:r>
    </w:p>
    <w:p w14:paraId="1EBF0842" w14:textId="77777777" w:rsidR="00810FAC" w:rsidRPr="00F87B6E" w:rsidRDefault="00810FAC" w:rsidP="007838AF">
      <w:pPr>
        <w:pStyle w:val="CH5References"/>
      </w:pPr>
      <w:r w:rsidRPr="00F87B6E">
        <w:t xml:space="preserve">EPA. 2015. Energy and Environment Guide to Action: State Policies and Best Practices for Advancing Energy Efficiency, Renewable Energy, and Combined Heat and Power. U.S. Environmental Protection Agency. Available at </w:t>
      </w:r>
      <w:hyperlink r:id="rId80" w:history="1">
        <w:r w:rsidRPr="00F87B6E">
          <w:rPr>
            <w:rStyle w:val="Hyperlink"/>
          </w:rPr>
          <w:t>http://epa.gov/statelocalclimate/documents/pdf/guide_action_full.pdf</w:t>
        </w:r>
      </w:hyperlink>
      <w:r w:rsidRPr="00F87B6E">
        <w:t>.</w:t>
      </w:r>
    </w:p>
    <w:p w14:paraId="21AC95EF" w14:textId="77777777" w:rsidR="00810FAC" w:rsidRPr="00F87B6E" w:rsidRDefault="00810FAC" w:rsidP="007838AF">
      <w:pPr>
        <w:pStyle w:val="CH5References"/>
      </w:pPr>
      <w:r w:rsidRPr="00F87B6E">
        <w:t xml:space="preserve">EPA and DOE. 2006. National Action Plan for Energy Efficiency: A Plan Developed by More Than 50 Leading Organizations in Pursuit of Energy Savings and Environmental Benefits through Electric and Natural Gas Energy Efficiency. U.S. Environmental Protection Agency and U.S. Department of Energy. Available at </w:t>
      </w:r>
      <w:hyperlink r:id="rId81" w:history="1">
        <w:r w:rsidRPr="00F87B6E">
          <w:rPr>
            <w:rStyle w:val="Hyperlink"/>
          </w:rPr>
          <w:t>http://www.epa.gov/cleanenergy/documents/suca/napee_report.pdf</w:t>
        </w:r>
      </w:hyperlink>
      <w:r w:rsidRPr="00F87B6E">
        <w:t>.</w:t>
      </w:r>
    </w:p>
    <w:p w14:paraId="7500B003" w14:textId="77777777" w:rsidR="00810FAC" w:rsidRPr="00F87B6E" w:rsidRDefault="00810FAC" w:rsidP="007838AF">
      <w:pPr>
        <w:pStyle w:val="CH5References"/>
      </w:pPr>
      <w:r w:rsidRPr="00F87B6E">
        <w:lastRenderedPageBreak/>
        <w:t>EPA and DOE. 2007</w:t>
      </w:r>
      <w:r w:rsidRPr="00F87B6E">
        <w:rPr>
          <w:color w:val="auto"/>
        </w:rPr>
        <w:t>a</w:t>
      </w:r>
      <w:r w:rsidRPr="00F87B6E">
        <w:t xml:space="preserve">. Guide for Conducting Energy Efficiency Potential Studies: A Resource of the National Action Plan for Energy Efficiency. U.S. Environmental Protection Agency and U.S. Department of Energy. Available at </w:t>
      </w:r>
      <w:hyperlink r:id="rId82" w:history="1">
        <w:r w:rsidRPr="00F87B6E">
          <w:rPr>
            <w:rStyle w:val="Hyperlink"/>
          </w:rPr>
          <w:t>http://www.epa.gov/cleanenergy/documents/suca/potential_guide.pdf</w:t>
        </w:r>
      </w:hyperlink>
      <w:r w:rsidRPr="00F87B6E">
        <w:t xml:space="preserve">. </w:t>
      </w:r>
    </w:p>
    <w:p w14:paraId="366D5A27" w14:textId="77777777" w:rsidR="00810FAC" w:rsidRPr="00F87B6E" w:rsidRDefault="00810FAC" w:rsidP="007838AF">
      <w:pPr>
        <w:pStyle w:val="CH5References"/>
      </w:pPr>
      <w:r w:rsidRPr="00F87B6E">
        <w:t>EPA and DOE. 2007</w:t>
      </w:r>
      <w:r w:rsidRPr="00F87B6E">
        <w:rPr>
          <w:color w:val="auto"/>
        </w:rPr>
        <w:t>b</w:t>
      </w:r>
      <w:r w:rsidRPr="00F87B6E">
        <w:t xml:space="preserve">. Guide to Resource Planning with Energy Efficiency: A Resource of the National Action Plan for Energy Efficiency. U.S. Environmental Protection Agency and U.S. Department of Energy. Available at </w:t>
      </w:r>
      <w:hyperlink r:id="rId83" w:history="1">
        <w:r w:rsidRPr="00F87B6E">
          <w:rPr>
            <w:rStyle w:val="Hyperlink"/>
          </w:rPr>
          <w:t>http://www.epa.gov/cleanenergy/documents/suca/resource_planning.pdf</w:t>
        </w:r>
      </w:hyperlink>
      <w:r w:rsidRPr="00F87B6E">
        <w:t xml:space="preserve">. </w:t>
      </w:r>
    </w:p>
    <w:p w14:paraId="1C2855C6" w14:textId="77777777" w:rsidR="00810FAC" w:rsidRPr="00F87B6E" w:rsidRDefault="00810FAC" w:rsidP="007838AF">
      <w:pPr>
        <w:pStyle w:val="CH5References"/>
      </w:pPr>
      <w:r w:rsidRPr="00F87B6E">
        <w:t xml:space="preserve">EPA and DOE. 2008. Understanding Cost-Effectiveness of Energy Efficiency Programs: Best Practices, Technical Methods, and Emerging Issues for Policy-Makers—A Resource of the National Action Plan for Energy Efficiency. U.S. Environmental Protection Agency and U.S. Department of Energy. Available at </w:t>
      </w:r>
      <w:hyperlink r:id="rId84" w:history="1">
        <w:r w:rsidRPr="00F87B6E">
          <w:rPr>
            <w:rStyle w:val="Hyperlink"/>
          </w:rPr>
          <w:t>http://www.epa.gov/cleanenergy/documents/suca/cost-effectiveness.pdf</w:t>
        </w:r>
      </w:hyperlink>
      <w:r w:rsidRPr="00F87B6E">
        <w:t>.</w:t>
      </w:r>
    </w:p>
    <w:p w14:paraId="526F4AF8" w14:textId="77777777" w:rsidR="00810FAC" w:rsidRPr="00F87B6E" w:rsidRDefault="00810FAC" w:rsidP="00C50014">
      <w:pPr>
        <w:pStyle w:val="CH5References"/>
      </w:pPr>
      <w:r w:rsidRPr="00F87B6E">
        <w:t xml:space="preserve">EPA and DOE. 2009. Energy Efficiency as a Low-Cost Resource for Achieving Carbon Emissions Reductions: A Resource of the National Action Plan for Energy Efficiency. U.S. Environmental Protection Agency and U.S. Department of Energy. Available at </w:t>
      </w:r>
      <w:hyperlink r:id="rId85" w:history="1">
        <w:r w:rsidRPr="00F87B6E">
          <w:rPr>
            <w:rStyle w:val="Hyperlink"/>
          </w:rPr>
          <w:t>http://www.epa.gov/cleanenergy/documents/suca/ee_and_carbon.pdf</w:t>
        </w:r>
      </w:hyperlink>
      <w:r w:rsidRPr="00F87B6E">
        <w:t>.</w:t>
      </w:r>
    </w:p>
    <w:p w14:paraId="3D7AA82E" w14:textId="77777777" w:rsidR="00810FAC" w:rsidRPr="00F87B6E" w:rsidRDefault="00810FAC" w:rsidP="007838AF">
      <w:pPr>
        <w:pStyle w:val="CH5References"/>
      </w:pPr>
      <w:r w:rsidRPr="00F87B6E">
        <w:t xml:space="preserve">Fischer, C. 2005. On the Importance of the Supply Side in Demand-Side Management. </w:t>
      </w:r>
      <w:r w:rsidRPr="00F87B6E">
        <w:rPr>
          <w:i/>
        </w:rPr>
        <w:t>Energ Econ</w:t>
      </w:r>
      <w:r w:rsidRPr="00F87B6E">
        <w:t xml:space="preserve">, </w:t>
      </w:r>
      <w:r w:rsidRPr="00F87B6E">
        <w:rPr>
          <w:bCs/>
        </w:rPr>
        <w:t>27</w:t>
      </w:r>
      <w:r w:rsidRPr="00F87B6E">
        <w:t>: 165–180.</w:t>
      </w:r>
    </w:p>
    <w:p w14:paraId="2592CC3F" w14:textId="77777777" w:rsidR="00810FAC" w:rsidRPr="00F87B6E" w:rsidRDefault="00810FAC" w:rsidP="007838AF">
      <w:pPr>
        <w:pStyle w:val="CH5References"/>
      </w:pPr>
      <w:r>
        <w:t>GEEG</w:t>
      </w:r>
      <w:r w:rsidRPr="00F87B6E">
        <w:t>. 2012. An Empirical Model for Predicting Electric Energy Efficiency Resource Acquisition Costs in North America: Analysis and Application. Green Energy Economics, Inc</w:t>
      </w:r>
      <w:r>
        <w:t>.</w:t>
      </w:r>
      <w:r w:rsidRPr="00F87B6E" w:rsidDel="00CE40E9">
        <w:t xml:space="preserve"> </w:t>
      </w:r>
      <w:r>
        <w:t>A</w:t>
      </w:r>
      <w:r w:rsidRPr="00F87B6E">
        <w:t xml:space="preserve">vailable at </w:t>
      </w:r>
      <w:hyperlink r:id="rId86" w:history="1">
        <w:r w:rsidRPr="00F87B6E">
          <w:rPr>
            <w:rStyle w:val="Hyperlink"/>
          </w:rPr>
          <w:t>http://aceee.org/files/proceedings/2012/data/papers/0193-000170.pdf</w:t>
        </w:r>
      </w:hyperlink>
      <w:r w:rsidRPr="00F87B6E">
        <w:t>.</w:t>
      </w:r>
    </w:p>
    <w:p w14:paraId="0AE020B7" w14:textId="1BC603E9" w:rsidR="001E3BF8" w:rsidRDefault="001E3BF8" w:rsidP="007838AF">
      <w:pPr>
        <w:pStyle w:val="CH5References"/>
      </w:pPr>
      <w:r>
        <w:t xml:space="preserve">Gerarden, T., R.G. Newell, and R.N. Stavins. 2015. Deconstructing the Energy-Efficiency Gap: Conceptual Frameworks and Evidence. </w:t>
      </w:r>
      <w:r>
        <w:rPr>
          <w:i/>
          <w:iCs/>
        </w:rPr>
        <w:t>American Economic Review</w:t>
      </w:r>
      <w:r>
        <w:t>, 105(5): 183-86.</w:t>
      </w:r>
    </w:p>
    <w:p w14:paraId="22EB12DB" w14:textId="77777777" w:rsidR="00810FAC" w:rsidRPr="00F87B6E" w:rsidRDefault="00810FAC" w:rsidP="007838AF">
      <w:pPr>
        <w:pStyle w:val="CH5References"/>
      </w:pPr>
      <w:r w:rsidRPr="00F87B6E">
        <w:t>Gillingham, K., and K. Palmer. 2014. Bridging the Energy Efficiency Gap: Policy Insights from Economic</w:t>
      </w:r>
      <w:r w:rsidRPr="00F87B6E">
        <w:rPr>
          <w:rFonts w:eastAsia="Times New Roman"/>
        </w:rPr>
        <w:t xml:space="preserve"> </w:t>
      </w:r>
      <w:r w:rsidRPr="00F87B6E">
        <w:t xml:space="preserve">Theory and Empirical Evidence. </w:t>
      </w:r>
      <w:r w:rsidRPr="00F87B6E">
        <w:rPr>
          <w:i/>
        </w:rPr>
        <w:t>Rev Env Econ Policy</w:t>
      </w:r>
      <w:r w:rsidRPr="00F87B6E">
        <w:t>, 8(1): 18–38.</w:t>
      </w:r>
    </w:p>
    <w:p w14:paraId="2F3F2E81" w14:textId="77777777" w:rsidR="00810FAC" w:rsidRPr="00F87B6E" w:rsidRDefault="00810FAC" w:rsidP="007838AF">
      <w:pPr>
        <w:pStyle w:val="CH5References"/>
      </w:pPr>
      <w:r w:rsidRPr="00F87B6E">
        <w:lastRenderedPageBreak/>
        <w:t xml:space="preserve">Gillingham, K., M.J. Kotchen, D.S. Rapson, and G. Wagner. 2013. Energy Policy: The Rebound Effect is Overplayed. </w:t>
      </w:r>
      <w:r w:rsidRPr="00F87B6E">
        <w:rPr>
          <w:i/>
          <w:iCs/>
        </w:rPr>
        <w:t>Nature</w:t>
      </w:r>
      <w:r w:rsidRPr="00F87B6E">
        <w:rPr>
          <w:iCs/>
        </w:rPr>
        <w:t>,</w:t>
      </w:r>
      <w:r w:rsidRPr="00F87B6E">
        <w:t xml:space="preserve"> 493: 475–476.</w:t>
      </w:r>
    </w:p>
    <w:p w14:paraId="37AA6D9A" w14:textId="6ED89D6F" w:rsidR="0086014D" w:rsidRDefault="0086014D" w:rsidP="003F02F1">
      <w:pPr>
        <w:pStyle w:val="CH5References"/>
      </w:pPr>
      <w:r>
        <w:t xml:space="preserve">Gillingham, K., </w:t>
      </w:r>
      <w:r w:rsidR="003F02F1">
        <w:t xml:space="preserve">R. Newell, and K. Palmer. 2006. </w:t>
      </w:r>
      <w:r w:rsidR="003F02F1" w:rsidRPr="00F87B6E">
        <w:t>Retrospective Examination of Demand-Side Energy Efficiency Pol</w:t>
      </w:r>
      <w:r w:rsidR="003F02F1">
        <w:t xml:space="preserve">icies. </w:t>
      </w:r>
      <w:r w:rsidR="003F02F1" w:rsidRPr="003F02F1">
        <w:rPr>
          <w:i/>
        </w:rPr>
        <w:t>Annual Review of Environment and Resources</w:t>
      </w:r>
      <w:r w:rsidR="003F02F1">
        <w:rPr>
          <w:i/>
        </w:rPr>
        <w:t xml:space="preserve">, </w:t>
      </w:r>
      <w:r w:rsidR="003F02F1">
        <w:t>Vol. 31: 161-192.</w:t>
      </w:r>
    </w:p>
    <w:p w14:paraId="75F70AF8" w14:textId="2A87FFFA" w:rsidR="003F02F1" w:rsidRDefault="003F02F1" w:rsidP="003F02F1">
      <w:pPr>
        <w:pStyle w:val="CH5References"/>
      </w:pPr>
      <w:r w:rsidRPr="003F02F1">
        <w:t xml:space="preserve">Gillingham, K., R. Newell, and K. Palmer. 2009. Energy Efficiency Economics and Policy. </w:t>
      </w:r>
      <w:r w:rsidRPr="003F02F1">
        <w:rPr>
          <w:i/>
          <w:iCs/>
        </w:rPr>
        <w:t>Annu Rev Resour Economics</w:t>
      </w:r>
      <w:r w:rsidRPr="003F02F1">
        <w:rPr>
          <w:iCs/>
        </w:rPr>
        <w:t>,</w:t>
      </w:r>
      <w:r w:rsidRPr="003F02F1">
        <w:t xml:space="preserve"> 1: 597–619.</w:t>
      </w:r>
    </w:p>
    <w:p w14:paraId="32AB410B" w14:textId="5C968DAC" w:rsidR="00810FAC" w:rsidRPr="00F87B6E" w:rsidRDefault="00810FAC" w:rsidP="007838AF">
      <w:pPr>
        <w:pStyle w:val="CH5References"/>
      </w:pPr>
      <w:r w:rsidRPr="00F87B6E">
        <w:t xml:space="preserve">Greening, L.A., D.L. Greene, and C. Difiglio. 2000. Energy Efficiency and Consumption—the Rebound Effect—a Survey. </w:t>
      </w:r>
      <w:r w:rsidRPr="00F87B6E">
        <w:rPr>
          <w:i/>
        </w:rPr>
        <w:t>Energy Policy</w:t>
      </w:r>
      <w:r w:rsidRPr="00F87B6E">
        <w:t>, 28: 389–401.</w:t>
      </w:r>
    </w:p>
    <w:p w14:paraId="7C230DDE" w14:textId="77777777" w:rsidR="00FD5C00" w:rsidRPr="00F87B6E" w:rsidRDefault="00810FAC" w:rsidP="00FD5C00">
      <w:pPr>
        <w:pStyle w:val="CH5References"/>
      </w:pPr>
      <w:r w:rsidRPr="00F87B6E">
        <w:t xml:space="preserve">HUD. 2014. Energy Performance Contracting. U.S. Department of Housing and Urban Development. Available at </w:t>
      </w:r>
      <w:hyperlink r:id="rId87" w:history="1">
        <w:r w:rsidRPr="00F87B6E">
          <w:rPr>
            <w:rStyle w:val="Hyperlink"/>
          </w:rPr>
          <w:t>http://portal.hud.gov/hudportal/HUD?src=/program_offices/public_indian_housing/programs/ph/phecc/eperformance</w:t>
        </w:r>
      </w:hyperlink>
      <w:r w:rsidRPr="00F87B6E">
        <w:t>.</w:t>
      </w:r>
      <w:r w:rsidR="00FD5C00">
        <w:t xml:space="preserve"> Accessed July 28, 2015.</w:t>
      </w:r>
    </w:p>
    <w:p w14:paraId="455C071C" w14:textId="77777777" w:rsidR="00810FAC" w:rsidRPr="00F87B6E" w:rsidRDefault="00810FAC" w:rsidP="007838AF">
      <w:pPr>
        <w:pStyle w:val="CH5References"/>
      </w:pPr>
      <w:r w:rsidRPr="00F87B6E">
        <w:t xml:space="preserve">ICF. 2007. Introduction to Energy Performance Contracting. ICF International. Available at </w:t>
      </w:r>
      <w:hyperlink r:id="rId88" w:history="1">
        <w:r w:rsidRPr="00F87B6E">
          <w:rPr>
            <w:rStyle w:val="Hyperlink"/>
            <w:rFonts w:eastAsia="Times New Roman"/>
          </w:rPr>
          <w:t>http://www.energystar.gov/ia/partners/spp_res/Introduction_to_Performance_Contracting.pdf</w:t>
        </w:r>
      </w:hyperlink>
      <w:r w:rsidRPr="00F87B6E">
        <w:t>.</w:t>
      </w:r>
    </w:p>
    <w:p w14:paraId="4A0F34A6" w14:textId="33965D87" w:rsidR="005218AE" w:rsidRPr="005218AE" w:rsidRDefault="00810FAC" w:rsidP="005218AE">
      <w:pPr>
        <w:pStyle w:val="CH5References"/>
      </w:pPr>
      <w:r w:rsidRPr="00F87B6E">
        <w:t>IEA. 2012a. Best Practices in Designing and Implementing Energy Efficiency Obligation Schemes. International Energy Agency. Available at</w:t>
      </w:r>
      <w:r w:rsidR="005218AE">
        <w:t xml:space="preserve"> </w:t>
      </w:r>
      <w:hyperlink r:id="rId89" w:history="1">
        <w:r w:rsidR="005218AE" w:rsidRPr="005218AE">
          <w:rPr>
            <w:rStyle w:val="Hyperlink"/>
          </w:rPr>
          <w:t>http://www.raponline.org/document/download/id/7235</w:t>
        </w:r>
      </w:hyperlink>
      <w:r w:rsidR="005218AE">
        <w:t>.</w:t>
      </w:r>
    </w:p>
    <w:p w14:paraId="4CB94500" w14:textId="77777777" w:rsidR="00810FAC" w:rsidRPr="00F87B6E" w:rsidRDefault="00810FAC" w:rsidP="007838AF">
      <w:pPr>
        <w:pStyle w:val="CH5References"/>
      </w:pPr>
      <w:r w:rsidRPr="00F87B6E">
        <w:t xml:space="preserve">IEA. 2012b. World Energy Outlook 2012. International Energy Agency. Available at </w:t>
      </w:r>
      <w:hyperlink r:id="rId90" w:history="1">
        <w:r w:rsidRPr="00F87B6E">
          <w:rPr>
            <w:rStyle w:val="Hyperlink"/>
            <w:rFonts w:eastAsia="Times New Roman"/>
          </w:rPr>
          <w:t>http://www.iea.org/publications/freepublications/publication/WEO2012_free.pdf</w:t>
        </w:r>
      </w:hyperlink>
      <w:r w:rsidRPr="00F87B6E">
        <w:t xml:space="preserve">. </w:t>
      </w:r>
    </w:p>
    <w:p w14:paraId="7A98F327" w14:textId="77777777" w:rsidR="00810FAC" w:rsidRPr="00F87B6E" w:rsidRDefault="00810FAC" w:rsidP="007838AF">
      <w:pPr>
        <w:pStyle w:val="CH5References"/>
      </w:pPr>
      <w:r w:rsidRPr="00F87B6E">
        <w:t xml:space="preserve">IEEE. 2014. CVR as an Energy Efficiency Resource. Institute of Electrical and Electronics Engineers. Available at </w:t>
      </w:r>
      <w:hyperlink r:id="rId91" w:history="1">
        <w:r w:rsidRPr="00F87B6E">
          <w:rPr>
            <w:rStyle w:val="Hyperlink"/>
            <w:rFonts w:eastAsia="Calibri"/>
          </w:rPr>
          <w:t>http://sites.ieee.org/isgt2014/files/2014/03/Day1_Panel1C_KWarner.pdf</w:t>
        </w:r>
      </w:hyperlink>
      <w:r w:rsidRPr="00F87B6E">
        <w:t>.</w:t>
      </w:r>
    </w:p>
    <w:p w14:paraId="78294BC1" w14:textId="0B705995" w:rsidR="005218AE" w:rsidRDefault="00810FAC" w:rsidP="005218AE">
      <w:pPr>
        <w:pStyle w:val="CH5References"/>
      </w:pPr>
      <w:r w:rsidRPr="00F87B6E">
        <w:t>IEI. 2014. State of Electric Regulatory Frameworks (December 2014). The Edison Foundation’s Institute for Electric Innovation</w:t>
      </w:r>
      <w:r>
        <w:t>.</w:t>
      </w:r>
      <w:r w:rsidRPr="00F87B6E">
        <w:t xml:space="preserve"> Available at </w:t>
      </w:r>
      <w:hyperlink r:id="rId92" w:history="1">
        <w:r w:rsidR="005218AE" w:rsidRPr="00CF24C5">
          <w:rPr>
            <w:rStyle w:val="Hyperlink"/>
          </w:rPr>
          <w:t>http://www.edisonfoundation.net/iei/Documents/IEI_stateEEpolicyupdate_1214.pdf</w:t>
        </w:r>
      </w:hyperlink>
      <w:r w:rsidR="005218AE">
        <w:t>.</w:t>
      </w:r>
    </w:p>
    <w:p w14:paraId="4FC64895" w14:textId="77777777" w:rsidR="00FD5C00" w:rsidRPr="00F87B6E" w:rsidRDefault="00810FAC" w:rsidP="00FD5C00">
      <w:pPr>
        <w:pStyle w:val="CH5References"/>
      </w:pPr>
      <w:r w:rsidRPr="00F87B6E">
        <w:rPr>
          <w:rFonts w:eastAsia="Calibri"/>
        </w:rPr>
        <w:lastRenderedPageBreak/>
        <w:t xml:space="preserve">IHS. 2013. Optimize Prime: The Market for Volt/VAR Optimization Set to Transform. IHS Technology. Available at </w:t>
      </w:r>
      <w:hyperlink r:id="rId93" w:history="1">
        <w:r w:rsidRPr="00F87B6E">
          <w:rPr>
            <w:rStyle w:val="Hyperlink"/>
            <w:rFonts w:eastAsia="Calibri"/>
          </w:rPr>
          <w:t>https://technology.ihs.com/480591/optimize-prime-the-market-for-voltvar-optimization-set-to-transform</w:t>
        </w:r>
      </w:hyperlink>
      <w:r w:rsidRPr="00F87B6E">
        <w:rPr>
          <w:rFonts w:eastAsia="Calibri"/>
        </w:rPr>
        <w:t>.</w:t>
      </w:r>
      <w:r w:rsidR="00FD5C00">
        <w:rPr>
          <w:rFonts w:eastAsia="Calibri"/>
        </w:rPr>
        <w:t xml:space="preserve"> </w:t>
      </w:r>
      <w:r w:rsidR="00FD5C00">
        <w:t>Accessed July 28, 2015.</w:t>
      </w:r>
    </w:p>
    <w:p w14:paraId="7A0C5512" w14:textId="60BD0DC6" w:rsidR="00810FAC" w:rsidRPr="00F87B6E" w:rsidRDefault="00810FAC" w:rsidP="005218AE">
      <w:pPr>
        <w:pStyle w:val="CH5References"/>
        <w:rPr>
          <w:rFonts w:eastAsia="Calibri"/>
        </w:rPr>
      </w:pPr>
    </w:p>
    <w:p w14:paraId="462894DE" w14:textId="75691A53" w:rsidR="00810FAC" w:rsidRPr="00F87B6E" w:rsidRDefault="00810FAC" w:rsidP="00F92AE3">
      <w:pPr>
        <w:pStyle w:val="CH5References"/>
      </w:pPr>
      <w:r w:rsidRPr="00F87B6E">
        <w:t xml:space="preserve">Italy. 2014. Sixth National Communication </w:t>
      </w:r>
      <w:r>
        <w:t>under</w:t>
      </w:r>
      <w:r w:rsidRPr="00F87B6E">
        <w:t xml:space="preserve"> the UN Framework Convention on Climate Change. Available at </w:t>
      </w:r>
      <w:hyperlink r:id="rId94" w:history="1">
        <w:r w:rsidRPr="00AA28A5">
          <w:rPr>
            <w:rStyle w:val="Hyperlink"/>
            <w:rFonts w:eastAsia="Calibri"/>
          </w:rPr>
          <w:t>http://unfccc.int/files/national_reports/annex_i_natcom/submitted_natcom/application/pdf/ita_nc6_resubmission.pdf</w:t>
        </w:r>
      </w:hyperlink>
      <w:r w:rsidRPr="00F87B6E">
        <w:t>.</w:t>
      </w:r>
      <w:r>
        <w:t xml:space="preserve"> </w:t>
      </w:r>
    </w:p>
    <w:p w14:paraId="1DE3CFE8" w14:textId="77777777" w:rsidR="00810FAC" w:rsidRPr="00F87B6E" w:rsidRDefault="00810FAC" w:rsidP="00C50014">
      <w:pPr>
        <w:pStyle w:val="CH5References"/>
      </w:pPr>
      <w:r w:rsidRPr="00F87B6E">
        <w:t xml:space="preserve">Jaffe, A.B., and R.N. Stavins. 1994. The Energy Paradox and the Diffusion of Conservation Technology. </w:t>
      </w:r>
      <w:r w:rsidRPr="00F87B6E">
        <w:rPr>
          <w:i/>
          <w:iCs/>
        </w:rPr>
        <w:t>Resour Energy Econ</w:t>
      </w:r>
      <w:r w:rsidRPr="00F87B6E">
        <w:rPr>
          <w:iCs/>
        </w:rPr>
        <w:t>,</w:t>
      </w:r>
      <w:r w:rsidRPr="00F87B6E">
        <w:rPr>
          <w:i/>
          <w:iCs/>
        </w:rPr>
        <w:t xml:space="preserve"> </w:t>
      </w:r>
      <w:r w:rsidRPr="00F87B6E">
        <w:t>16(2): 91–122.</w:t>
      </w:r>
    </w:p>
    <w:p w14:paraId="47ABC728" w14:textId="77777777" w:rsidR="00810FAC" w:rsidRPr="00F87B6E" w:rsidRDefault="00810FAC" w:rsidP="00C50014">
      <w:pPr>
        <w:pStyle w:val="CH5References"/>
      </w:pPr>
      <w:r w:rsidRPr="00F87B6E">
        <w:t xml:space="preserve">Jaffe, A.B., R.G. Newell, and R.N. Stavins. 2003. Chapter 11: Technological Change and the Environment. </w:t>
      </w:r>
      <w:r w:rsidRPr="00F87B6E">
        <w:rPr>
          <w:i/>
        </w:rPr>
        <w:t xml:space="preserve">Handbook Environ Econ, </w:t>
      </w:r>
      <w:r w:rsidRPr="00F87B6E">
        <w:t xml:space="preserve">1: 461–516. Available at </w:t>
      </w:r>
      <w:hyperlink r:id="rId95" w:history="1">
        <w:r w:rsidRPr="00F87B6E">
          <w:rPr>
            <w:rStyle w:val="Hyperlink"/>
          </w:rPr>
          <w:t>http://www.hks.harvard.edu/fs/rstavins/Papers/Technological_Change_and_the_Environment_Handbook_Chapter.pdf</w:t>
        </w:r>
      </w:hyperlink>
      <w:r w:rsidRPr="00F87B6E">
        <w:t xml:space="preserve">. </w:t>
      </w:r>
    </w:p>
    <w:p w14:paraId="24041523" w14:textId="438B8BEC" w:rsidR="00810FAC" w:rsidRPr="00F87B6E" w:rsidRDefault="00810FAC" w:rsidP="007838AF">
      <w:pPr>
        <w:pStyle w:val="CH5References"/>
      </w:pPr>
      <w:r w:rsidRPr="00F87B6E">
        <w:t xml:space="preserve">Joskow, P.L., and D.B. Marron. 1992. What Does a </w:t>
      </w:r>
      <w:r w:rsidR="005218AE">
        <w:t>N</w:t>
      </w:r>
      <w:r w:rsidRPr="00F87B6E">
        <w:t xml:space="preserve">egawatt Really Cost? Evidence from Utility Conservation Programs. </w:t>
      </w:r>
      <w:r w:rsidRPr="00F87B6E">
        <w:rPr>
          <w:i/>
          <w:iCs/>
        </w:rPr>
        <w:t>Energy Journal</w:t>
      </w:r>
      <w:r w:rsidRPr="00F87B6E">
        <w:rPr>
          <w:iCs/>
        </w:rPr>
        <w:t xml:space="preserve">, </w:t>
      </w:r>
      <w:r w:rsidRPr="00F87B6E">
        <w:t>13(4):41–74.</w:t>
      </w:r>
    </w:p>
    <w:p w14:paraId="11CFDE3E" w14:textId="77777777" w:rsidR="00810FAC" w:rsidRPr="00F87B6E" w:rsidRDefault="00810FAC" w:rsidP="007838AF">
      <w:pPr>
        <w:pStyle w:val="CH5References"/>
      </w:pPr>
      <w:r w:rsidRPr="00F87B6E">
        <w:t xml:space="preserve">Kriegler, E., J. P. Weyant, G. J. Blanford, V. Krey, L. Clarke, J. Edmonds, A. Fawcett, G. Luderer, K. Riahi, R. Richels, S.K. Rose, M. Tavoni, and D.P. van Vurren. 2014. The Role of Technology for Achieving Climate Policy Objectives: Overview of the EMF 27 Study on Global Technology and Climate Policy Strategies. </w:t>
      </w:r>
      <w:r w:rsidRPr="00F87B6E">
        <w:rPr>
          <w:i/>
        </w:rPr>
        <w:t>Climatic Change</w:t>
      </w:r>
      <w:r w:rsidRPr="00F87B6E">
        <w:t xml:space="preserve">, 123: 353–367. </w:t>
      </w:r>
    </w:p>
    <w:p w14:paraId="6E8D9DED" w14:textId="77777777" w:rsidR="00810FAC" w:rsidRPr="00F87B6E" w:rsidRDefault="00810FAC" w:rsidP="007838AF">
      <w:pPr>
        <w:pStyle w:val="CH5References"/>
      </w:pPr>
      <w:r w:rsidRPr="00F87B6E">
        <w:t xml:space="preserve">Kyle, P., L. Clarke, S.J. Smith, S. Kim, M. Nathan, and M. Wise. 2011. The Value of Advanced End-Use Energy Technologies in Meeting U.S. Climate Policy Goals. </w:t>
      </w:r>
      <w:r w:rsidRPr="00F87B6E">
        <w:rPr>
          <w:i/>
        </w:rPr>
        <w:t>Energy Journal</w:t>
      </w:r>
      <w:r w:rsidRPr="00F87B6E">
        <w:t>, 32: 61–87.</w:t>
      </w:r>
    </w:p>
    <w:p w14:paraId="49F09026" w14:textId="77777777" w:rsidR="00810FAC" w:rsidRPr="00F87B6E" w:rsidRDefault="00810FAC" w:rsidP="007838AF">
      <w:pPr>
        <w:pStyle w:val="CH5References"/>
      </w:pPr>
      <w:r w:rsidRPr="00F87B6E">
        <w:t xml:space="preserve">LBNL. 1996. The Past, Present, and Future of U.S. Utility Demand-Side Management Programs. Lawrence Berkeley National Laboratory. Available at </w:t>
      </w:r>
      <w:hyperlink r:id="rId96" w:history="1">
        <w:r w:rsidRPr="00F87B6E">
          <w:rPr>
            <w:rStyle w:val="Hyperlink"/>
          </w:rPr>
          <w:t>http://emp.lbl.gov/sites/all/files/39931.pdf</w:t>
        </w:r>
      </w:hyperlink>
      <w:r w:rsidRPr="00F87B6E">
        <w:t>.</w:t>
      </w:r>
    </w:p>
    <w:p w14:paraId="2CD6CFCE" w14:textId="77777777" w:rsidR="00810FAC" w:rsidRPr="00F87B6E" w:rsidRDefault="00810FAC" w:rsidP="007838AF">
      <w:pPr>
        <w:pStyle w:val="CH5References"/>
      </w:pPr>
      <w:r w:rsidRPr="00F87B6E">
        <w:lastRenderedPageBreak/>
        <w:t xml:space="preserve">LBNL. 2013a. Current Size and Remaining Market Potential of the U.S. Energy Service Company Industry. Lawrence Berkeley National Laboratory. Available at </w:t>
      </w:r>
      <w:hyperlink r:id="rId97" w:history="1">
        <w:r w:rsidRPr="00F87B6E">
          <w:rPr>
            <w:rStyle w:val="Hyperlink"/>
            <w:bCs/>
            <w:iCs/>
          </w:rPr>
          <w:t>http://emp.lbl.gov/sites/all/files/lbnl-6300e_0.pdf</w:t>
        </w:r>
      </w:hyperlink>
      <w:r w:rsidRPr="00F87B6E">
        <w:t>.</w:t>
      </w:r>
    </w:p>
    <w:p w14:paraId="47EEEF0C" w14:textId="77777777" w:rsidR="00810FAC" w:rsidRPr="00F87B6E" w:rsidRDefault="00810FAC" w:rsidP="007838AF">
      <w:pPr>
        <w:pStyle w:val="CH5References"/>
      </w:pPr>
      <w:r w:rsidRPr="00F87B6E">
        <w:rPr>
          <w:iCs/>
        </w:rPr>
        <w:t xml:space="preserve">LBNL. </w:t>
      </w:r>
      <w:r w:rsidRPr="00F87B6E">
        <w:t xml:space="preserve">2013b. Energy Efficiency Program Typology and Data Metrics: Enabling Multi-State Analyses Through the Use of Common Terminology. </w:t>
      </w:r>
      <w:r w:rsidRPr="00F87B6E">
        <w:rPr>
          <w:iCs/>
        </w:rPr>
        <w:t>Lawrence Berkeley National Laboratory.</w:t>
      </w:r>
      <w:r w:rsidRPr="00F87B6E">
        <w:t xml:space="preserve"> Available at </w:t>
      </w:r>
      <w:hyperlink r:id="rId98" w:history="1">
        <w:r w:rsidRPr="00F87B6E">
          <w:rPr>
            <w:rStyle w:val="Hyperlink"/>
          </w:rPr>
          <w:t>http://emp.lbl.gov/sites/all/files/lbnl-6370e.pdf</w:t>
        </w:r>
      </w:hyperlink>
      <w:r w:rsidRPr="00F87B6E">
        <w:t>.</w:t>
      </w:r>
    </w:p>
    <w:p w14:paraId="4DDDEDC9" w14:textId="77777777" w:rsidR="00810FAC" w:rsidRPr="00F87B6E" w:rsidRDefault="00810FAC" w:rsidP="007838AF">
      <w:pPr>
        <w:pStyle w:val="CH5References"/>
      </w:pPr>
      <w:r w:rsidRPr="00F87B6E">
        <w:t xml:space="preserve">LBNL. 2014a. Estimating Customer Electricity Savings from Projects Installed by the U.S. ESCO industry. Lawrence Berkeley National Laboratory. Available at </w:t>
      </w:r>
      <w:hyperlink r:id="rId99" w:history="1">
        <w:r w:rsidRPr="00F87B6E">
          <w:rPr>
            <w:rStyle w:val="Hyperlink"/>
          </w:rPr>
          <w:t>http://emp.lbl.gov/sites/all/files/lbnl-6877e.pdf</w:t>
        </w:r>
      </w:hyperlink>
      <w:r w:rsidRPr="00F87B6E">
        <w:t>.</w:t>
      </w:r>
    </w:p>
    <w:p w14:paraId="77326DB6" w14:textId="092E471F" w:rsidR="009934E5" w:rsidRDefault="00810FAC" w:rsidP="007838AF">
      <w:pPr>
        <w:pStyle w:val="CH5References"/>
      </w:pPr>
      <w:r w:rsidRPr="00F87B6E">
        <w:t>LBNL. 2014</w:t>
      </w:r>
      <w:r>
        <w:t>b</w:t>
      </w:r>
      <w:r w:rsidRPr="00F87B6E">
        <w:t xml:space="preserve">. The Program Administrator Cost of Saved Energy for Utility Customer-Funded Energy Efficiency Programs. Lawrence Berkeley National Laboratory. Available at </w:t>
      </w:r>
      <w:hyperlink r:id="rId100" w:history="1">
        <w:r w:rsidR="009934E5" w:rsidRPr="00CF24C5">
          <w:rPr>
            <w:rStyle w:val="Hyperlink"/>
          </w:rPr>
          <w:t>http://emp.lbl.gov/sites/all/files/lbnl-6595e.pdf</w:t>
        </w:r>
      </w:hyperlink>
      <w:r w:rsidR="009934E5">
        <w:t>.</w:t>
      </w:r>
    </w:p>
    <w:p w14:paraId="412EF2F4" w14:textId="47C5863B" w:rsidR="00810FAC" w:rsidRPr="00F87B6E" w:rsidRDefault="00810FAC" w:rsidP="007838AF">
      <w:pPr>
        <w:pStyle w:val="CH5References"/>
      </w:pPr>
      <w:r w:rsidRPr="00F87B6E">
        <w:t>LBNL. 2015a. Technical Memorandum to Carla Frisch, U.S. Department of Energy</w:t>
      </w:r>
      <w:r>
        <w:t>—</w:t>
      </w:r>
      <w:r w:rsidRPr="00F87B6E">
        <w:t>Energy Efficiency Portfolio and Program Lifetimes: Temporal Distribution of Electricity Savings. Lawrence Berkeley National Laboratory.</w:t>
      </w:r>
    </w:p>
    <w:p w14:paraId="412B6317" w14:textId="77777777" w:rsidR="00810FAC" w:rsidRPr="00F87B6E" w:rsidRDefault="00810FAC" w:rsidP="007838AF">
      <w:pPr>
        <w:pStyle w:val="CH5References"/>
      </w:pPr>
      <w:r w:rsidRPr="00F87B6E">
        <w:t xml:space="preserve">LBNL. 2015b. The Total Cost of Saving Electricity through Utility Customer-Funded Energy Efficiency Programs: Estimates at the National, State, Sector and Program Level. Lawrence Berkeley National Laboratory. Available at </w:t>
      </w:r>
      <w:hyperlink r:id="rId101" w:history="1">
        <w:r w:rsidRPr="00F87B6E">
          <w:rPr>
            <w:rStyle w:val="Hyperlink"/>
          </w:rPr>
          <w:t>http://emp.lbl.gov/sites/all/files/total-cost-of-saved-energy.pdf</w:t>
        </w:r>
      </w:hyperlink>
      <w:r w:rsidRPr="00F87B6E">
        <w:t>.</w:t>
      </w:r>
    </w:p>
    <w:p w14:paraId="38854B23" w14:textId="20CA1311" w:rsidR="00810FAC" w:rsidRPr="00F87B6E" w:rsidRDefault="00810FAC" w:rsidP="007838AF">
      <w:pPr>
        <w:pStyle w:val="CH5References"/>
      </w:pPr>
      <w:r w:rsidRPr="00F87B6E">
        <w:t xml:space="preserve">Levine, M.D., A.H. Sanstad, E. Hirst, J.E. McMahon, and J.G. Koomey. 1995. Energy Efficiency Policy and Market Failures. </w:t>
      </w:r>
      <w:r w:rsidRPr="00F87B6E">
        <w:rPr>
          <w:i/>
        </w:rPr>
        <w:t>Annu Rev Energ Env</w:t>
      </w:r>
      <w:r w:rsidRPr="00F87B6E">
        <w:t>,</w:t>
      </w:r>
      <w:r>
        <w:t xml:space="preserve"> 20: 535–555</w:t>
      </w:r>
      <w:r w:rsidRPr="00F87B6E">
        <w:t>.</w:t>
      </w:r>
    </w:p>
    <w:p w14:paraId="4C89BADB" w14:textId="4C40A4A7" w:rsidR="009934E5" w:rsidRDefault="00810FAC" w:rsidP="007838AF">
      <w:pPr>
        <w:pStyle w:val="CH5References"/>
      </w:pPr>
      <w:r w:rsidRPr="00F87B6E">
        <w:t xml:space="preserve">Massachusetts EOEEA. 2010. Massachusetts Clean Energy and Climate Plan for 2020. Massachusetts Executive Office of Energy and Environmental Affairs. Available at </w:t>
      </w:r>
      <w:hyperlink r:id="rId102" w:history="1">
        <w:r w:rsidR="009934E5" w:rsidRPr="00CF24C5">
          <w:rPr>
            <w:rStyle w:val="Hyperlink"/>
          </w:rPr>
          <w:t>http://www.mass.gov/eea/docs/eea/energy/2020-clean-energy-plan.pdf</w:t>
        </w:r>
      </w:hyperlink>
      <w:r w:rsidR="009934E5">
        <w:t>.</w:t>
      </w:r>
    </w:p>
    <w:p w14:paraId="5E88118A" w14:textId="77777777" w:rsidR="00810FAC" w:rsidRPr="00F87B6E" w:rsidRDefault="00810FAC" w:rsidP="007838AF">
      <w:pPr>
        <w:pStyle w:val="CH5References"/>
      </w:pPr>
      <w:r w:rsidRPr="00F87B6E">
        <w:lastRenderedPageBreak/>
        <w:t xml:space="preserve">Massachusetts EOEEA. 2013. Commonwealth of Massachusetts Global Warming Solutions Act: 5-Year Progress Report. Massachusetts Executive Office of Energy and Environmental Affairs. Available at </w:t>
      </w:r>
      <w:hyperlink r:id="rId103" w:history="1">
        <w:r w:rsidRPr="00F87B6E">
          <w:rPr>
            <w:rStyle w:val="Hyperlink"/>
          </w:rPr>
          <w:t>http://www.mass.gov/eea/docs/eea/gwsa/ma-gwsa-5yr-progress-report-1-6-14.pdf</w:t>
        </w:r>
      </w:hyperlink>
      <w:r w:rsidRPr="00F87B6E">
        <w:t xml:space="preserve">. </w:t>
      </w:r>
    </w:p>
    <w:p w14:paraId="1E978B61" w14:textId="6466ECF2" w:rsidR="001870A8" w:rsidRDefault="00810FAC" w:rsidP="007838AF">
      <w:pPr>
        <w:pStyle w:val="CH5References"/>
      </w:pPr>
      <w:r w:rsidRPr="00F87B6E">
        <w:t>McKinsey. 2007. Reducing U.S. Greenhouse Gas Emissions:</w:t>
      </w:r>
      <w:r w:rsidRPr="00F87B6E" w:rsidDel="00221939">
        <w:t xml:space="preserve"> </w:t>
      </w:r>
      <w:r w:rsidRPr="00F87B6E">
        <w:t xml:space="preserve">How Much at What Cost? McKinsey </w:t>
      </w:r>
      <w:r w:rsidRPr="00F87B6E" w:rsidDel="00E0291D">
        <w:t>&amp;</w:t>
      </w:r>
      <w:r w:rsidRPr="00F87B6E">
        <w:t xml:space="preserve"> Company, Inc. Available at </w:t>
      </w:r>
      <w:hyperlink r:id="rId104" w:history="1">
        <w:r w:rsidR="001870A8" w:rsidRPr="00CF24C5">
          <w:rPr>
            <w:rStyle w:val="Hyperlink"/>
          </w:rPr>
          <w:t>http://www.mckinsey.com/~/media/mckinsey/dotcom/client_service/sustainability/pdfs/reducing%20us%20greenhouse%20gas%20emissions/us_ghg_final_report.ashx</w:t>
        </w:r>
      </w:hyperlink>
      <w:r w:rsidR="001870A8">
        <w:t>.</w:t>
      </w:r>
    </w:p>
    <w:p w14:paraId="51055580" w14:textId="23C5514B" w:rsidR="00810FAC" w:rsidRPr="00F87B6E" w:rsidRDefault="00810FAC" w:rsidP="00F92AE3">
      <w:pPr>
        <w:pStyle w:val="CH5References"/>
      </w:pPr>
      <w:r w:rsidRPr="00F87B6E">
        <w:t>McKinsey. 2010. U</w:t>
      </w:r>
      <w:r>
        <w:t>.</w:t>
      </w:r>
      <w:r w:rsidRPr="00F87B6E">
        <w:t>S</w:t>
      </w:r>
      <w:r>
        <w:t>.</w:t>
      </w:r>
      <w:r w:rsidRPr="00F87B6E">
        <w:t xml:space="preserve"> </w:t>
      </w:r>
      <w:r>
        <w:t>S</w:t>
      </w:r>
      <w:r w:rsidRPr="00F87B6E">
        <w:t xml:space="preserve">mart </w:t>
      </w:r>
      <w:r>
        <w:t>G</w:t>
      </w:r>
      <w:r w:rsidRPr="00F87B6E">
        <w:t xml:space="preserve">rid </w:t>
      </w:r>
      <w:r>
        <w:t>V</w:t>
      </w:r>
      <w:r w:rsidRPr="00F87B6E">
        <w:t xml:space="preserve">alue at </w:t>
      </w:r>
      <w:r>
        <w:t>S</w:t>
      </w:r>
      <w:r w:rsidRPr="00F87B6E">
        <w:t xml:space="preserve">take: The $130 </w:t>
      </w:r>
      <w:r>
        <w:t>B</w:t>
      </w:r>
      <w:r w:rsidRPr="00F87B6E">
        <w:t xml:space="preserve">illion </w:t>
      </w:r>
      <w:r>
        <w:t>Q</w:t>
      </w:r>
      <w:r w:rsidRPr="00F87B6E">
        <w:t xml:space="preserve">uestion. McKinsey &amp; Company. Available at </w:t>
      </w:r>
      <w:hyperlink r:id="rId105" w:history="1">
        <w:r w:rsidRPr="00F87B6E">
          <w:rPr>
            <w:color w:val="0000FF"/>
            <w:u w:val="single"/>
          </w:rPr>
          <w:t>http://www.mckinsey.com/~/media/McKinsey/dotcom/client_service/EPNG/PDFs/McK%20on%20smart%20grids/MoSG_130billionQuestion_VF.ashx</w:t>
        </w:r>
      </w:hyperlink>
      <w:r w:rsidRPr="00F87B6E">
        <w:t>.</w:t>
      </w:r>
    </w:p>
    <w:p w14:paraId="324D18B4" w14:textId="77777777" w:rsidR="00810FAC" w:rsidRPr="00F87B6E" w:rsidRDefault="00810FAC" w:rsidP="007838AF">
      <w:pPr>
        <w:pStyle w:val="CH5References"/>
      </w:pPr>
      <w:r w:rsidRPr="00F87B6E">
        <w:t xml:space="preserve">MJ Bradley. 2011. Benchmarking Electric Utility Energy Efficiency Portfolios in the U.S. </w:t>
      </w:r>
      <w:r w:rsidRPr="00F87B6E" w:rsidDel="00E0291D">
        <w:t>M</w:t>
      </w:r>
      <w:r w:rsidRPr="00F87B6E">
        <w:t>.</w:t>
      </w:r>
      <w:r w:rsidRPr="00F87B6E" w:rsidDel="00E0291D">
        <w:t>J</w:t>
      </w:r>
      <w:r w:rsidRPr="00F87B6E">
        <w:t>.</w:t>
      </w:r>
      <w:r w:rsidRPr="00F87B6E" w:rsidDel="00E0291D">
        <w:t xml:space="preserve"> Bradley &amp; Associates, LLC. </w:t>
      </w:r>
      <w:r w:rsidRPr="00F87B6E">
        <w:t xml:space="preserve">Available at </w:t>
      </w:r>
      <w:hyperlink r:id="rId106" w:history="1">
        <w:r w:rsidRPr="00F87B6E">
          <w:rPr>
            <w:rStyle w:val="Hyperlink"/>
          </w:rPr>
          <w:t>http://www.ceres.org/resources/reports/benchmarking-electric-utilities-2011</w:t>
        </w:r>
      </w:hyperlink>
      <w:r w:rsidRPr="00F87B6E">
        <w:t xml:space="preserve">. </w:t>
      </w:r>
    </w:p>
    <w:p w14:paraId="33CBA059" w14:textId="0FB494BA" w:rsidR="00810FAC" w:rsidRPr="00F87B6E" w:rsidRDefault="00810FAC" w:rsidP="00F92AE3">
      <w:pPr>
        <w:pStyle w:val="CH5References"/>
        <w:rPr>
          <w:rStyle w:val="Hyperlink"/>
        </w:rPr>
      </w:pPr>
      <w:r w:rsidRPr="00F87B6E">
        <w:t xml:space="preserve">NAESCO. 2011. US Energy Service Company Industry: History and Business Models. Presented at </w:t>
      </w:r>
      <w:r>
        <w:t>t</w:t>
      </w:r>
      <w:r w:rsidRPr="00F87B6E">
        <w:t xml:space="preserve">he Second U.S.-China Energy Efficiency Forum. National Association of Energy Service Companies. Available at </w:t>
      </w:r>
      <w:hyperlink r:id="rId107" w:history="1">
        <w:r w:rsidRPr="00F87B6E">
          <w:rPr>
            <w:rStyle w:val="Hyperlink"/>
          </w:rPr>
          <w:t>http://energy.gov/sites/prod/files/2013/11/f4/session_1_financing_track_gilligan_en_1.pdf</w:t>
        </w:r>
      </w:hyperlink>
      <w:r w:rsidRPr="00F87B6E">
        <w:rPr>
          <w:rStyle w:val="Hyperlink"/>
        </w:rPr>
        <w:t>.</w:t>
      </w:r>
    </w:p>
    <w:p w14:paraId="1BDD05F2" w14:textId="77777777" w:rsidR="00FD5C00" w:rsidRPr="00F87B6E" w:rsidRDefault="00810FAC" w:rsidP="00FD5C00">
      <w:pPr>
        <w:pStyle w:val="CH5References"/>
      </w:pPr>
      <w:r w:rsidRPr="00F87B6E">
        <w:t xml:space="preserve">NARR. 2010. APX’s North American Renewables Registry™ Infrastructure Extended. North American Renewables Registry. Available at </w:t>
      </w:r>
      <w:hyperlink r:id="rId108" w:history="1">
        <w:r w:rsidRPr="00F87B6E">
          <w:rPr>
            <w:rStyle w:val="Hyperlink"/>
          </w:rPr>
          <w:t>http://www.narecs.com/2010/03/09/apxs-north-american-renewables-registry-infrastructure-extended/</w:t>
        </w:r>
      </w:hyperlink>
      <w:r w:rsidRPr="00F87B6E">
        <w:t>.</w:t>
      </w:r>
      <w:r w:rsidR="00FD5C00">
        <w:t xml:space="preserve"> Accessed July 28, 2015.</w:t>
      </w:r>
    </w:p>
    <w:p w14:paraId="3416D7EB" w14:textId="77777777" w:rsidR="00810FAC" w:rsidRDefault="00810FAC" w:rsidP="007838AF">
      <w:pPr>
        <w:pStyle w:val="CH5References"/>
      </w:pPr>
      <w:r w:rsidRPr="00F87B6E">
        <w:t xml:space="preserve">NARUC. 2012. EL-2/ERE-3 Resolution Supporting the Rapid Deployment of Voltage Optimization Technologies. National Association of Regulatory Utility Commissioners. Available at </w:t>
      </w:r>
      <w:hyperlink r:id="rId109" w:history="1">
        <w:r w:rsidRPr="00F87B6E">
          <w:rPr>
            <w:rStyle w:val="Hyperlink"/>
          </w:rPr>
          <w:t>http://www.naruc.org/Resolutions/Resolution%20Supporting%20the%20Rapid%20Deployment%20of%20Voltage%20Optimization%20Technologies.pdf</w:t>
        </w:r>
      </w:hyperlink>
      <w:r w:rsidRPr="00F87B6E">
        <w:t>.</w:t>
      </w:r>
    </w:p>
    <w:p w14:paraId="0D521560" w14:textId="77777777" w:rsidR="00810FAC" w:rsidRPr="00F87B6E" w:rsidRDefault="00810FAC" w:rsidP="007838AF">
      <w:pPr>
        <w:pStyle w:val="CH5References"/>
      </w:pPr>
      <w:r w:rsidRPr="00F87B6E">
        <w:lastRenderedPageBreak/>
        <w:t xml:space="preserve">NPCC. 2008. Beyond Supply Curves. Northwest Power and Conservation Council. Available at </w:t>
      </w:r>
      <w:hyperlink r:id="rId110" w:history="1">
        <w:r w:rsidRPr="00F87B6E">
          <w:rPr>
            <w:rStyle w:val="Hyperlink"/>
          </w:rPr>
          <w:t>http://aceee.org/files/proceedings/2008/data/papers/8_419.pdf</w:t>
        </w:r>
      </w:hyperlink>
      <w:r w:rsidRPr="00F87B6E">
        <w:t>.</w:t>
      </w:r>
    </w:p>
    <w:p w14:paraId="210ACC2F" w14:textId="77777777" w:rsidR="00810FAC" w:rsidRPr="00F87B6E" w:rsidRDefault="00810FAC" w:rsidP="007838AF">
      <w:pPr>
        <w:pStyle w:val="CH5References"/>
      </w:pPr>
      <w:r w:rsidRPr="00F87B6E">
        <w:t xml:space="preserve">NPCC. 2010. Sixth Northwest Conservation and Electric Power Plan. Northwest Power and Conservation Council. Available at </w:t>
      </w:r>
      <w:hyperlink r:id="rId111" w:history="1">
        <w:r w:rsidRPr="00F87B6E">
          <w:rPr>
            <w:rStyle w:val="Hyperlink"/>
          </w:rPr>
          <w:t>http://www.nwcouncil.org/media/6284/SixthPowerPlan.pdf</w:t>
        </w:r>
      </w:hyperlink>
      <w:r w:rsidRPr="00F87B6E">
        <w:t>.</w:t>
      </w:r>
    </w:p>
    <w:p w14:paraId="3647E56A" w14:textId="77777777" w:rsidR="00810FAC" w:rsidRPr="00F87B6E" w:rsidRDefault="00810FAC" w:rsidP="007838AF">
      <w:pPr>
        <w:pStyle w:val="CH5References"/>
      </w:pPr>
      <w:r w:rsidRPr="00F87B6E">
        <w:t xml:space="preserve">NRDC. 2012. Removing Disincentives to Utility Energy Efficiency Efforts. Natural Resources Defense Council. Available at </w:t>
      </w:r>
      <w:hyperlink r:id="rId112" w:history="1">
        <w:r w:rsidRPr="00F87B6E">
          <w:rPr>
            <w:rStyle w:val="Hyperlink"/>
          </w:rPr>
          <w:t>http://www.nrdc.org/energy/decoupling/files/decoupling-utility-energy.pdf</w:t>
        </w:r>
      </w:hyperlink>
      <w:r w:rsidRPr="00F87B6E">
        <w:t>.</w:t>
      </w:r>
    </w:p>
    <w:p w14:paraId="7F38F224" w14:textId="77777777" w:rsidR="00810FAC" w:rsidRPr="00F87B6E" w:rsidRDefault="00810FAC" w:rsidP="007838AF">
      <w:pPr>
        <w:pStyle w:val="CH5References"/>
      </w:pPr>
      <w:r w:rsidRPr="00F87B6E">
        <w:t xml:space="preserve">NRDC. 2014. EEI-NRDC Joint Agreement to State Utility Regulators. Natural Resources Defense Council. Available at </w:t>
      </w:r>
      <w:hyperlink r:id="rId113" w:history="1">
        <w:r w:rsidRPr="00F87B6E">
          <w:rPr>
            <w:rStyle w:val="Hyperlink"/>
          </w:rPr>
          <w:t>http://docs.nrdc.org/energy/files/ene_14021101a.pdf</w:t>
        </w:r>
      </w:hyperlink>
      <w:r w:rsidRPr="00F87B6E">
        <w:t>.</w:t>
      </w:r>
    </w:p>
    <w:p w14:paraId="46AE38BA" w14:textId="77777777" w:rsidR="00810FAC" w:rsidRPr="00F87B6E" w:rsidRDefault="00810FAC" w:rsidP="007838AF">
      <w:pPr>
        <w:pStyle w:val="CH5References"/>
      </w:pPr>
      <w:r w:rsidRPr="00F87B6E">
        <w:t xml:space="preserve">NRECA. 2013. Costs and Benefits of Conservation Voltage Reduction. National Rural Electric Cooperative Association. Available at </w:t>
      </w:r>
      <w:hyperlink r:id="rId114" w:history="1">
        <w:r w:rsidRPr="00F87B6E">
          <w:rPr>
            <w:rStyle w:val="Hyperlink"/>
          </w:rPr>
          <w:t>https://www.smartgrid.gov/sites/default/files/doc/files/NRECA_TPR2_Costs_Benefits_of_CVR_0.pdf</w:t>
        </w:r>
      </w:hyperlink>
      <w:r w:rsidRPr="00F87B6E">
        <w:t>.</w:t>
      </w:r>
    </w:p>
    <w:p w14:paraId="24C315E8" w14:textId="77777777" w:rsidR="00810FAC" w:rsidRDefault="00810FAC" w:rsidP="007838AF">
      <w:pPr>
        <w:pStyle w:val="CH5References"/>
      </w:pPr>
      <w:r w:rsidRPr="00F87B6E">
        <w:t xml:space="preserve">NREL. 2008. Considerations for Emerging Markets for Energy Savings Certificates. National Renewable Energy Laboratory. Available at </w:t>
      </w:r>
      <w:hyperlink r:id="rId115" w:history="1">
        <w:r w:rsidRPr="00F87B6E">
          <w:rPr>
            <w:rStyle w:val="Hyperlink"/>
          </w:rPr>
          <w:t>http://www.nrel.gov/docs/fy09osti/44072.pdf</w:t>
        </w:r>
      </w:hyperlink>
      <w:r w:rsidRPr="00F87B6E">
        <w:t>.</w:t>
      </w:r>
    </w:p>
    <w:p w14:paraId="5CAA5596" w14:textId="77777777" w:rsidR="00FD5C00" w:rsidRPr="00F87B6E" w:rsidRDefault="00810FAC" w:rsidP="00FD5C00">
      <w:pPr>
        <w:pStyle w:val="CH5References"/>
      </w:pPr>
      <w:r>
        <w:t>NSW</w:t>
      </w:r>
      <w:r w:rsidRPr="00F87B6E">
        <w:t>. 2015. Energy Savings Scheme</w:t>
      </w:r>
      <w:r>
        <w:t>.</w:t>
      </w:r>
      <w:r w:rsidRPr="00F87B6E">
        <w:t xml:space="preserve"> New South Wales. Available at </w:t>
      </w:r>
      <w:hyperlink r:id="rId116" w:history="1">
        <w:r w:rsidRPr="00F87B6E">
          <w:rPr>
            <w:rStyle w:val="Hyperlink"/>
          </w:rPr>
          <w:t>http://www.ess.nsw.gov.au/Home</w:t>
        </w:r>
      </w:hyperlink>
      <w:r w:rsidRPr="00F87B6E">
        <w:t>.</w:t>
      </w:r>
      <w:r w:rsidR="00FD5C00">
        <w:t xml:space="preserve"> Accessed July 28, 2015.</w:t>
      </w:r>
    </w:p>
    <w:p w14:paraId="2D419781" w14:textId="77777777" w:rsidR="00FD5C00" w:rsidRPr="00F87B6E" w:rsidRDefault="00810FAC" w:rsidP="00FD5C00">
      <w:pPr>
        <w:pStyle w:val="CH5References"/>
      </w:pPr>
      <w:r w:rsidRPr="00F87B6E">
        <w:t xml:space="preserve">ORNL. 2015. Performance Contracting by State. Oak Ridge National Laboratory. Available at </w:t>
      </w:r>
      <w:hyperlink r:id="rId117" w:history="1">
        <w:r w:rsidRPr="00F87B6E">
          <w:rPr>
            <w:rStyle w:val="Hyperlink"/>
            <w:rFonts w:eastAsia="Times New Roman"/>
          </w:rPr>
          <w:t>http://web.ornl.gov/info/esco/legislation/newesco.shtml</w:t>
        </w:r>
      </w:hyperlink>
      <w:r w:rsidRPr="00F87B6E">
        <w:t>.</w:t>
      </w:r>
      <w:r w:rsidR="00FD5C00">
        <w:t xml:space="preserve"> Accessed July 28, 2015.</w:t>
      </w:r>
    </w:p>
    <w:p w14:paraId="7C3B64D1" w14:textId="5B6A12A7" w:rsidR="00813355" w:rsidRDefault="00810FAC" w:rsidP="00114269">
      <w:pPr>
        <w:pStyle w:val="CH5References"/>
      </w:pPr>
      <w:r w:rsidRPr="00F87B6E">
        <w:t xml:space="preserve">Pavan, M. 2008. Tradable Energy Efficiency Certificates: the Italian Experience. </w:t>
      </w:r>
      <w:r w:rsidRPr="00F87B6E">
        <w:rPr>
          <w:i/>
        </w:rPr>
        <w:t xml:space="preserve">Energy Efficiency, </w:t>
      </w:r>
      <w:r w:rsidRPr="00F92AE3">
        <w:t>1:</w:t>
      </w:r>
      <w:r>
        <w:t xml:space="preserve"> </w:t>
      </w:r>
      <w:r w:rsidRPr="00F92AE3">
        <w:t>257</w:t>
      </w:r>
      <w:r>
        <w:t>–</w:t>
      </w:r>
      <w:r w:rsidRPr="00F92AE3">
        <w:t>266</w:t>
      </w:r>
      <w:r w:rsidRPr="00F87B6E">
        <w:rPr>
          <w:i/>
        </w:rPr>
        <w:t>.</w:t>
      </w:r>
      <w:r w:rsidRPr="00F87B6E">
        <w:t xml:space="preserve"> Available at </w:t>
      </w:r>
      <w:hyperlink r:id="rId118" w:history="1">
        <w:r w:rsidR="00813355" w:rsidRPr="00B82102">
          <w:rPr>
            <w:rStyle w:val="Hyperlink"/>
          </w:rPr>
          <w:t>http://citeseerx.ist.psu.edu/viewdoc/download?doi=10.1.1.434.1487&amp;rep=rep1&amp;type=pdf</w:t>
        </w:r>
      </w:hyperlink>
      <w:r w:rsidR="00813355">
        <w:t>.</w:t>
      </w:r>
    </w:p>
    <w:p w14:paraId="2155586C" w14:textId="17F663AB" w:rsidR="00C34CB7" w:rsidRDefault="00810FAC" w:rsidP="00F92AE3">
      <w:pPr>
        <w:pStyle w:val="CH5References"/>
      </w:pPr>
      <w:r w:rsidRPr="00F87B6E">
        <w:t xml:space="preserve">PNNL. 2012. Evaluation of Representative Smart Grid Investment Grant Project Technologies: Summary Report. Pacific Northwest National Laboratory. Available at </w:t>
      </w:r>
      <w:hyperlink r:id="rId119" w:history="1">
        <w:r w:rsidR="00C34CB7" w:rsidRPr="00B82102">
          <w:rPr>
            <w:rStyle w:val="Hyperlink"/>
          </w:rPr>
          <w:t>http://www.pnnl.gov/main/publications/external/technical_reports/PNNL-20792.pdf</w:t>
        </w:r>
      </w:hyperlink>
      <w:r w:rsidR="00C34CB7">
        <w:t>.</w:t>
      </w:r>
    </w:p>
    <w:p w14:paraId="78E140AE" w14:textId="77777777" w:rsidR="00810FAC" w:rsidRPr="00F87B6E" w:rsidRDefault="00810FAC" w:rsidP="00F92AE3">
      <w:pPr>
        <w:pStyle w:val="CH5References"/>
      </w:pPr>
      <w:r w:rsidRPr="00F87B6E">
        <w:lastRenderedPageBreak/>
        <w:t xml:space="preserve">RAP. 2011. Electricity Regulation in the U.S.: A Guide. Regulatory Assistance Project. Available at </w:t>
      </w:r>
      <w:hyperlink r:id="rId120" w:history="1">
        <w:r w:rsidRPr="00F87B6E">
          <w:rPr>
            <w:rStyle w:val="Hyperlink"/>
          </w:rPr>
          <w:t>www.raponline.org/docs/RAP_Lazar_ElectricityRegulationInTheUS_Guide_2011_03.pdf</w:t>
        </w:r>
      </w:hyperlink>
      <w:r w:rsidRPr="00F87B6E">
        <w:rPr>
          <w:rStyle w:val="Hyperlink"/>
        </w:rPr>
        <w:t>.</w:t>
      </w:r>
    </w:p>
    <w:p w14:paraId="747B43D3" w14:textId="3A36843A" w:rsidR="00810FAC" w:rsidRPr="00F87B6E" w:rsidRDefault="00810FAC" w:rsidP="00F92AE3">
      <w:pPr>
        <w:pStyle w:val="CH5References"/>
      </w:pPr>
      <w:r w:rsidRPr="00F87B6E">
        <w:t xml:space="preserve">RAP. 2012. Energy Efficiency Cost-Effectiveness Screening: How to Properly Account for </w:t>
      </w:r>
      <w:r w:rsidRPr="00F87B6E" w:rsidDel="00221939">
        <w:t>‘</w:t>
      </w:r>
      <w:r w:rsidRPr="00F87B6E">
        <w:t>Other Program Impacts</w:t>
      </w:r>
      <w:r w:rsidRPr="00F87B6E" w:rsidDel="00221939">
        <w:t>’</w:t>
      </w:r>
      <w:r w:rsidRPr="00F87B6E">
        <w:t xml:space="preserve"> and Environmental Compliance Costs. Regulatory Assistance Project. Available at </w:t>
      </w:r>
      <w:hyperlink r:id="rId121" w:history="1">
        <w:r w:rsidRPr="00F87B6E">
          <w:rPr>
            <w:rStyle w:val="Hyperlink"/>
            <w:shd w:val="clear" w:color="auto" w:fill="FFFFFF"/>
          </w:rPr>
          <w:t>www.raponline.org/document/download/id/6149</w:t>
        </w:r>
      </w:hyperlink>
      <w:r w:rsidRPr="00F87B6E">
        <w:t>.</w:t>
      </w:r>
    </w:p>
    <w:p w14:paraId="6E66CC41" w14:textId="77777777" w:rsidR="00810FAC" w:rsidRPr="00F87B6E" w:rsidRDefault="00810FAC" w:rsidP="00114269">
      <w:pPr>
        <w:pStyle w:val="CH5References"/>
      </w:pPr>
      <w:r>
        <w:t>RFF</w:t>
      </w:r>
      <w:r w:rsidRPr="00F87B6E">
        <w:t xml:space="preserve">. 2010. Imperfect Competition, Consumer Behavior, and the Provision of Fuel Efficiency in Light-Duty Vehicles. Resources for the Future. Available at </w:t>
      </w:r>
      <w:hyperlink r:id="rId122" w:history="1">
        <w:r w:rsidRPr="00F87B6E">
          <w:rPr>
            <w:rStyle w:val="Hyperlink"/>
          </w:rPr>
          <w:t>http://www.rff.org/RFF/Documents/RFF-DP-10-60.pdf</w:t>
        </w:r>
      </w:hyperlink>
      <w:r w:rsidRPr="00F87B6E">
        <w:t xml:space="preserve">. </w:t>
      </w:r>
    </w:p>
    <w:p w14:paraId="78B6CB93" w14:textId="77777777" w:rsidR="00810FAC" w:rsidRPr="00F87B6E" w:rsidRDefault="00810FAC" w:rsidP="00114269">
      <w:pPr>
        <w:pStyle w:val="CH5References"/>
      </w:pPr>
      <w:r w:rsidRPr="00F87B6E">
        <w:t xml:space="preserve">RFF. 2011. Supply Curves for Conserved Electricity. Resources for the Future. Available at </w:t>
      </w:r>
      <w:hyperlink r:id="rId123" w:history="1">
        <w:r w:rsidRPr="00F87B6E">
          <w:rPr>
            <w:rStyle w:val="Hyperlink"/>
            <w:rFonts w:eastAsia="Times New Roman"/>
          </w:rPr>
          <w:t>http://www.rff.org/RFF/Documents/RFF-DP-11-11.pdf</w:t>
        </w:r>
      </w:hyperlink>
      <w:r w:rsidRPr="00F87B6E">
        <w:t xml:space="preserve">. </w:t>
      </w:r>
    </w:p>
    <w:p w14:paraId="5BE427B1" w14:textId="2465CCC8" w:rsidR="00810FAC" w:rsidRPr="00F87B6E" w:rsidRDefault="00810FAC" w:rsidP="00114269">
      <w:pPr>
        <w:pStyle w:val="CH5References"/>
      </w:pPr>
      <w:r w:rsidRPr="00F87B6E">
        <w:t xml:space="preserve">Sanstad, A. H., and R. B. Howarth. 1994. </w:t>
      </w:r>
      <w:r w:rsidRPr="00F87B6E" w:rsidDel="00F87AAE">
        <w:t>‘</w:t>
      </w:r>
      <w:r w:rsidRPr="00F87B6E">
        <w:t>Normal</w:t>
      </w:r>
      <w:r w:rsidRPr="00F87B6E" w:rsidDel="00F87AAE">
        <w:t>’</w:t>
      </w:r>
      <w:r w:rsidRPr="00F87B6E">
        <w:t xml:space="preserve"> Markets, Market Imperfections and Energy Efficiency. </w:t>
      </w:r>
      <w:r w:rsidRPr="00F92AE3">
        <w:rPr>
          <w:i/>
          <w:iCs/>
        </w:rPr>
        <w:t>Energy Policy</w:t>
      </w:r>
      <w:r w:rsidRPr="00F87B6E">
        <w:t>, 22(10): 811–818.</w:t>
      </w:r>
    </w:p>
    <w:p w14:paraId="00121B51" w14:textId="77777777" w:rsidR="00810FAC" w:rsidRPr="00F87B6E" w:rsidRDefault="00810FAC" w:rsidP="00114269">
      <w:pPr>
        <w:pStyle w:val="CH5References"/>
      </w:pPr>
      <w:r w:rsidRPr="00F87B6E">
        <w:t xml:space="preserve">Sreedharan, P. 2013. Recent Estimates of Energy Efficiency Potential in the USA. </w:t>
      </w:r>
      <w:r w:rsidRPr="00F87B6E">
        <w:rPr>
          <w:i/>
        </w:rPr>
        <w:t>Energy Efficiency</w:t>
      </w:r>
      <w:r w:rsidRPr="00F87B6E">
        <w:t>, 6(3): 433–445.</w:t>
      </w:r>
    </w:p>
    <w:p w14:paraId="38DE039A" w14:textId="77777777" w:rsidR="00FD5C00" w:rsidRPr="00F87B6E" w:rsidRDefault="00810FAC" w:rsidP="00FD5C00">
      <w:pPr>
        <w:pStyle w:val="CH5References"/>
      </w:pPr>
      <w:r w:rsidRPr="00F87B6E">
        <w:rPr>
          <w:bCs/>
          <w:iCs/>
        </w:rPr>
        <w:t xml:space="preserve">Sterling Planet. 2012. Sterling Planet Completes Nation’s First White Tags® Transaction. Available at </w:t>
      </w:r>
      <w:hyperlink r:id="rId124" w:history="1">
        <w:r w:rsidRPr="00F87B6E">
          <w:rPr>
            <w:rStyle w:val="Hyperlink"/>
            <w:bCs/>
            <w:iCs/>
          </w:rPr>
          <w:t>https://www.sterlingplanet.com/ResourceCenter/NewsRoom/tabid/59/post/sterling-planet-completes-nation-s-first-white-tags-transaction/Default.aspx</w:t>
        </w:r>
      </w:hyperlink>
      <w:r w:rsidRPr="00F87B6E">
        <w:rPr>
          <w:bCs/>
          <w:iCs/>
        </w:rPr>
        <w:t>.</w:t>
      </w:r>
      <w:r w:rsidR="00FD5C00">
        <w:rPr>
          <w:bCs/>
          <w:iCs/>
        </w:rPr>
        <w:t xml:space="preserve"> </w:t>
      </w:r>
      <w:r w:rsidR="00FD5C00">
        <w:t>Accessed July 28, 2015.</w:t>
      </w:r>
    </w:p>
    <w:p w14:paraId="31DD9A96" w14:textId="77777777" w:rsidR="00810FAC" w:rsidRPr="00F87B6E" w:rsidRDefault="00810FAC" w:rsidP="00114269">
      <w:pPr>
        <w:pStyle w:val="CH5References"/>
        <w:rPr>
          <w:iCs/>
        </w:rPr>
      </w:pPr>
      <w:r w:rsidRPr="00F87B6E">
        <w:rPr>
          <w:iCs/>
        </w:rPr>
        <w:t xml:space="preserve">Synapse. </w:t>
      </w:r>
      <w:r w:rsidRPr="00F87B6E">
        <w:t xml:space="preserve">2008. The Sustainability and Costs of Increasing Efficiency Impacts: Evidence from Experience to Date. </w:t>
      </w:r>
      <w:r w:rsidRPr="00F87B6E">
        <w:rPr>
          <w:iCs/>
        </w:rPr>
        <w:t>Synapse Energy Economics, Inc</w:t>
      </w:r>
      <w:r w:rsidRPr="00F87B6E">
        <w:t xml:space="preserve">. Available at </w:t>
      </w:r>
      <w:hyperlink r:id="rId125" w:history="1">
        <w:r w:rsidRPr="00F87B6E">
          <w:rPr>
            <w:rStyle w:val="Hyperlink"/>
          </w:rPr>
          <w:t>http://www.aceee.org/files/proceedings/2008/data/papers/8_434.pdf</w:t>
        </w:r>
      </w:hyperlink>
      <w:r w:rsidRPr="00F87B6E">
        <w:t>.</w:t>
      </w:r>
    </w:p>
    <w:p w14:paraId="1D8043DC" w14:textId="77777777" w:rsidR="00810FAC" w:rsidRPr="00F87B6E" w:rsidRDefault="00810FAC" w:rsidP="00114269">
      <w:pPr>
        <w:pStyle w:val="CH5References"/>
      </w:pPr>
      <w:r w:rsidRPr="00F87B6E">
        <w:t xml:space="preserve">Synapse. 2011. A Brief Survey of State Integrated Resource Planning Rules and Requirements. Synapse Energy Economics, Inc. Available at </w:t>
      </w:r>
      <w:hyperlink r:id="rId126" w:history="1">
        <w:r w:rsidRPr="00F87B6E">
          <w:rPr>
            <w:rStyle w:val="Hyperlink"/>
          </w:rPr>
          <w:t>www.cleanskies.org/wp-content/uploads/2011/05/ACSF_IRP-Survey_Final_2011-04-28.pdf</w:t>
        </w:r>
      </w:hyperlink>
      <w:r w:rsidRPr="00F87B6E">
        <w:t>.</w:t>
      </w:r>
    </w:p>
    <w:p w14:paraId="4BF7ECAE" w14:textId="77777777" w:rsidR="00FD5C00" w:rsidRPr="00F87B6E" w:rsidRDefault="00810FAC" w:rsidP="00FD5C00">
      <w:pPr>
        <w:pStyle w:val="CH5References"/>
      </w:pPr>
      <w:r w:rsidRPr="00F87B6E">
        <w:lastRenderedPageBreak/>
        <w:t xml:space="preserve">TCR. 2015. The Cool Planet Project. The Climate Registry. Available at </w:t>
      </w:r>
      <w:hyperlink r:id="rId127" w:history="1">
        <w:r w:rsidRPr="00F87B6E">
          <w:rPr>
            <w:rStyle w:val="Hyperlink"/>
          </w:rPr>
          <w:t>http://www.theclimateregistry.org/cool-planet-project/</w:t>
        </w:r>
      </w:hyperlink>
      <w:r w:rsidRPr="00F87B6E">
        <w:t>.</w:t>
      </w:r>
      <w:r w:rsidR="00FD5C00">
        <w:t xml:space="preserve"> Accessed July 28, 2015.</w:t>
      </w:r>
    </w:p>
    <w:p w14:paraId="1ECFE039" w14:textId="77777777" w:rsidR="00810FAC" w:rsidRPr="00F87B6E" w:rsidRDefault="00810FAC" w:rsidP="00114269">
      <w:pPr>
        <w:pStyle w:val="CH5References"/>
      </w:pPr>
      <w:r w:rsidRPr="00F87B6E">
        <w:t xml:space="preserve">Train, K. 1994. Estimation of Net Savings from Energy-Conservation Programs. </w:t>
      </w:r>
      <w:r w:rsidRPr="00F87B6E">
        <w:rPr>
          <w:i/>
          <w:iCs/>
        </w:rPr>
        <w:t>Energy</w:t>
      </w:r>
      <w:r w:rsidRPr="00F87B6E">
        <w:rPr>
          <w:iCs/>
        </w:rPr>
        <w:t>,</w:t>
      </w:r>
      <w:r w:rsidRPr="00F87B6E">
        <w:rPr>
          <w:i/>
          <w:iCs/>
        </w:rPr>
        <w:t xml:space="preserve"> </w:t>
      </w:r>
      <w:r w:rsidRPr="00F87B6E">
        <w:t>19(4): 423–441.</w:t>
      </w:r>
    </w:p>
    <w:p w14:paraId="27D9AC92" w14:textId="70691D97" w:rsidR="00810FAC" w:rsidRPr="00F87B6E" w:rsidRDefault="00810FAC" w:rsidP="00114269">
      <w:pPr>
        <w:pStyle w:val="CH5References"/>
      </w:pPr>
      <w:r w:rsidRPr="00F87B6E">
        <w:t xml:space="preserve">UKERC. 2007. The Rebound Effect: An Assessment of the Evidence for Economy-Wide Energy Savings from Improved Energy Efficiency. UK Energy Research Centre. Available at </w:t>
      </w:r>
      <w:hyperlink r:id="rId128" w:history="1">
        <w:r w:rsidRPr="00F87B6E">
          <w:rPr>
            <w:rStyle w:val="Hyperlink"/>
            <w:bCs/>
          </w:rPr>
          <w:t>http://www.ukerc.ac.uk/publications/the-rebound-effect-an-assessment-of-the-evidence-for-economy-wide-energy-savings-from-improved-energy-efficiency.html</w:t>
        </w:r>
      </w:hyperlink>
      <w:r w:rsidRPr="00F87B6E">
        <w:t xml:space="preserve">. </w:t>
      </w:r>
    </w:p>
    <w:p w14:paraId="64BE29EA" w14:textId="77777777" w:rsidR="00810FAC" w:rsidRPr="00F87B6E" w:rsidRDefault="00810FAC" w:rsidP="00114269">
      <w:pPr>
        <w:pStyle w:val="CH5References"/>
      </w:pPr>
      <w:r w:rsidRPr="00F87B6E">
        <w:t xml:space="preserve">UNLV. 2014. Evaluation of Conservation Voltage Reduction as a Tool for Demand Side Management. University of Nevada, Las Vegas. Available at </w:t>
      </w:r>
      <w:hyperlink r:id="rId129" w:history="1">
        <w:r w:rsidRPr="00F87B6E">
          <w:rPr>
            <w:rStyle w:val="Hyperlink"/>
          </w:rPr>
          <w:t>http://digitalscholarship.unlv.edu/cgi/viewcontent.cgi?article=3076&amp;context=thesesdissertations</w:t>
        </w:r>
      </w:hyperlink>
      <w:r w:rsidRPr="00F87B6E">
        <w:t>.</w:t>
      </w:r>
    </w:p>
    <w:p w14:paraId="6E5ADDC8" w14:textId="50770D2D" w:rsidR="00810FAC" w:rsidRPr="00F87B6E" w:rsidRDefault="00810FAC" w:rsidP="00114269">
      <w:pPr>
        <w:pStyle w:val="CH5References"/>
      </w:pPr>
      <w:r w:rsidRPr="00F87B6E">
        <w:t xml:space="preserve">UtilityDIVE. 2015. 2015 State of the Electric Utility Survey Results: Here’s </w:t>
      </w:r>
      <w:r>
        <w:t>W</w:t>
      </w:r>
      <w:r w:rsidRPr="00F87B6E">
        <w:t xml:space="preserve">hat the </w:t>
      </w:r>
      <w:r>
        <w:t>U</w:t>
      </w:r>
      <w:r w:rsidRPr="00F87B6E">
        <w:t xml:space="preserve">tility of the </w:t>
      </w:r>
      <w:r>
        <w:t>F</w:t>
      </w:r>
      <w:r w:rsidRPr="00F87B6E">
        <w:t xml:space="preserve">uture </w:t>
      </w:r>
      <w:r>
        <w:t>L</w:t>
      </w:r>
      <w:r w:rsidRPr="00F87B6E">
        <w:t xml:space="preserve">ooks </w:t>
      </w:r>
      <w:r>
        <w:t>L</w:t>
      </w:r>
      <w:r w:rsidRPr="00F87B6E">
        <w:t xml:space="preserve">ike, </w:t>
      </w:r>
      <w:r>
        <w:t>A</w:t>
      </w:r>
      <w:r w:rsidRPr="00F87B6E">
        <w:t xml:space="preserve">ccording to </w:t>
      </w:r>
      <w:r>
        <w:t>O</w:t>
      </w:r>
      <w:r w:rsidRPr="00F87B6E">
        <w:t xml:space="preserve">ver 400 U.S. </w:t>
      </w:r>
      <w:r>
        <w:t>E</w:t>
      </w:r>
      <w:r w:rsidRPr="00F87B6E">
        <w:t xml:space="preserve">lectric </w:t>
      </w:r>
      <w:r>
        <w:t>U</w:t>
      </w:r>
      <w:r w:rsidRPr="00F87B6E">
        <w:t xml:space="preserve">tility </w:t>
      </w:r>
      <w:r>
        <w:t>E</w:t>
      </w:r>
      <w:r w:rsidRPr="00F87B6E">
        <w:t xml:space="preserve">xecutives. UtilityDIVE Brand Studio. Available at </w:t>
      </w:r>
      <w:hyperlink r:id="rId130" w:history="1">
        <w:r w:rsidRPr="00F87B6E">
          <w:rPr>
            <w:rStyle w:val="Hyperlink"/>
          </w:rPr>
          <w:t>https://s3.amazonaws.com/dive_assets/rlpsys/utilitydive_seu_2015.pdf</w:t>
        </w:r>
      </w:hyperlink>
      <w:r w:rsidRPr="00F87B6E">
        <w:t>.</w:t>
      </w:r>
    </w:p>
    <w:p w14:paraId="2EFB3173" w14:textId="024146A0" w:rsidR="00810FAC" w:rsidRPr="00C50014" w:rsidRDefault="00810FAC" w:rsidP="00114269">
      <w:pPr>
        <w:pStyle w:val="CH5References"/>
      </w:pPr>
      <w:r w:rsidRPr="00F87B6E">
        <w:t>Wang, Y., and M.A. Brown. 2013. Policy Drivers for Improving Electricity End-Use Efficiency in the USA:</w:t>
      </w:r>
      <w:r w:rsidRPr="00F87B6E" w:rsidDel="00221939">
        <w:t xml:space="preserve"> </w:t>
      </w:r>
      <w:r w:rsidRPr="00F87B6E">
        <w:t xml:space="preserve">An Economic-Engineering Analysis. </w:t>
      </w:r>
      <w:r w:rsidRPr="00F87B6E">
        <w:rPr>
          <w:i/>
        </w:rPr>
        <w:t xml:space="preserve">Energy Efficiency, </w:t>
      </w:r>
      <w:r w:rsidRPr="00F87B6E">
        <w:t xml:space="preserve">7(3): 517–546. </w:t>
      </w:r>
    </w:p>
    <w:p w14:paraId="3ADEBD18" w14:textId="4B668B8D" w:rsidR="00FA0B65" w:rsidRDefault="00810FAC" w:rsidP="00114269">
      <w:pPr>
        <w:pStyle w:val="CH5References"/>
      </w:pPr>
      <w:r>
        <w:t xml:space="preserve">White House. 2007. </w:t>
      </w:r>
      <w:r w:rsidRPr="00F87B6E">
        <w:t>E</w:t>
      </w:r>
      <w:r>
        <w:t xml:space="preserve">xecutive </w:t>
      </w:r>
      <w:r w:rsidRPr="00F87B6E">
        <w:t>O</w:t>
      </w:r>
      <w:r>
        <w:t>rder</w:t>
      </w:r>
      <w:r w:rsidRPr="00F87B6E">
        <w:t xml:space="preserve"> 13423</w:t>
      </w:r>
      <w:r>
        <w:t xml:space="preserve">: </w:t>
      </w:r>
      <w:r w:rsidRPr="00F87B6E">
        <w:t xml:space="preserve">Strengthening Federal Environmental, Energy, and Transportation Management. </w:t>
      </w:r>
      <w:r>
        <w:t>The White House</w:t>
      </w:r>
      <w:r w:rsidRPr="00F87B6E">
        <w:t>.</w:t>
      </w:r>
      <w:r>
        <w:t xml:space="preserve"> Available at</w:t>
      </w:r>
      <w:r w:rsidR="00FA0B65">
        <w:t xml:space="preserve"> </w:t>
      </w:r>
      <w:hyperlink r:id="rId131" w:history="1">
        <w:r w:rsidR="00FA0B65" w:rsidRPr="00CF24C5">
          <w:rPr>
            <w:rStyle w:val="Hyperlink"/>
          </w:rPr>
          <w:t>http://www.gpo.gov/fdsys/pkg/FR-2007-01-26/pdf/07-374.pdf</w:t>
        </w:r>
      </w:hyperlink>
      <w:r w:rsidR="00FA0B65">
        <w:t>.</w:t>
      </w:r>
    </w:p>
    <w:p w14:paraId="51A2188D" w14:textId="1A1568FC" w:rsidR="00810FAC" w:rsidRPr="00F87B6E" w:rsidRDefault="00810FAC" w:rsidP="00114269">
      <w:pPr>
        <w:pStyle w:val="CH5References"/>
      </w:pPr>
      <w:r>
        <w:t xml:space="preserve">White House. 2009. </w:t>
      </w:r>
      <w:r w:rsidRPr="00F87B6E">
        <w:t>E</w:t>
      </w:r>
      <w:r>
        <w:t xml:space="preserve">xecutive </w:t>
      </w:r>
      <w:r w:rsidRPr="00F87B6E">
        <w:t>O</w:t>
      </w:r>
      <w:r>
        <w:t>rder</w:t>
      </w:r>
      <w:r w:rsidRPr="00F87B6E">
        <w:t xml:space="preserve"> 13514</w:t>
      </w:r>
      <w:r>
        <w:t>:</w:t>
      </w:r>
      <w:r w:rsidRPr="00F87B6E">
        <w:t xml:space="preserve"> Federal Leadership in Environmental, Energy, and Economic Performance. </w:t>
      </w:r>
      <w:r>
        <w:t xml:space="preserve">The White House. Available at </w:t>
      </w:r>
      <w:hyperlink r:id="rId132" w:history="1">
        <w:r w:rsidRPr="00353C42">
          <w:rPr>
            <w:rStyle w:val="Hyperlink"/>
          </w:rPr>
          <w:t>http://www.archives.gov/federal-register/executive-orders/disposition.html</w:t>
        </w:r>
      </w:hyperlink>
      <w:r>
        <w:t>.</w:t>
      </w:r>
    </w:p>
    <w:p w14:paraId="5294C8A4" w14:textId="42693BF3" w:rsidR="00810FAC" w:rsidRPr="00F87B6E" w:rsidRDefault="00810FAC" w:rsidP="00114269">
      <w:pPr>
        <w:pStyle w:val="CH5References"/>
      </w:pPr>
      <w:r>
        <w:lastRenderedPageBreak/>
        <w:t xml:space="preserve">White House. 2015. </w:t>
      </w:r>
      <w:r w:rsidRPr="00F87B6E">
        <w:t>E</w:t>
      </w:r>
      <w:r>
        <w:t xml:space="preserve">xecutive </w:t>
      </w:r>
      <w:r w:rsidRPr="00F87B6E">
        <w:t>O</w:t>
      </w:r>
      <w:r>
        <w:t>rder</w:t>
      </w:r>
      <w:r w:rsidRPr="00F87B6E">
        <w:t xml:space="preserve"> 13693</w:t>
      </w:r>
      <w:r>
        <w:t>:</w:t>
      </w:r>
      <w:r w:rsidRPr="00F87B6E">
        <w:t xml:space="preserve"> Planning for Federal Sustainability in the Next Decade. </w:t>
      </w:r>
      <w:r>
        <w:t xml:space="preserve">The White House. Available at </w:t>
      </w:r>
      <w:hyperlink r:id="rId133" w:history="1">
        <w:r w:rsidRPr="00353C42">
          <w:rPr>
            <w:rStyle w:val="Hyperlink"/>
          </w:rPr>
          <w:t>http://www.archives.gov/federal-register/executive-orders/disposition.html</w:t>
        </w:r>
      </w:hyperlink>
      <w:r>
        <w:t>.</w:t>
      </w:r>
    </w:p>
    <w:p w14:paraId="2E8418F5" w14:textId="77777777" w:rsidR="00FD5C00" w:rsidRPr="00F87B6E" w:rsidRDefault="00810FAC" w:rsidP="00FD5C00">
      <w:pPr>
        <w:pStyle w:val="CH5References"/>
      </w:pPr>
      <w:r w:rsidRPr="00F87B6E">
        <w:t>Woolley</w:t>
      </w:r>
      <w:r>
        <w:t>, J., and G. Peters</w:t>
      </w:r>
      <w:r w:rsidRPr="00F87B6E">
        <w:t xml:space="preserve">. </w:t>
      </w:r>
      <w:r>
        <w:t>n.d</w:t>
      </w:r>
      <w:r w:rsidRPr="00F87B6E">
        <w:t>. Jimmy Carter: National Energy Program Fact Sheet on the President’s Program</w:t>
      </w:r>
      <w:r>
        <w:t xml:space="preserve"> (April 20, 1977)</w:t>
      </w:r>
      <w:r w:rsidRPr="00F87B6E">
        <w:t xml:space="preserve">. Available at </w:t>
      </w:r>
      <w:hyperlink r:id="rId134" w:history="1">
        <w:r w:rsidRPr="00F87B6E">
          <w:rPr>
            <w:rStyle w:val="Hyperlink"/>
          </w:rPr>
          <w:t>http://www.presidency.ucsb.edu/ws/?pid=7373</w:t>
        </w:r>
      </w:hyperlink>
      <w:r w:rsidRPr="00F87B6E">
        <w:t>.</w:t>
      </w:r>
      <w:r w:rsidR="00FD5C00">
        <w:t xml:space="preserve"> Accessed July 28, 2015.</w:t>
      </w:r>
    </w:p>
    <w:p w14:paraId="6CEF14F2" w14:textId="77777777" w:rsidR="00810FAC" w:rsidRPr="00F87B6E" w:rsidRDefault="00810FAC" w:rsidP="00114269">
      <w:pPr>
        <w:pStyle w:val="CH5References"/>
      </w:pPr>
      <w:r w:rsidRPr="00F87B6E">
        <w:t xml:space="preserve">Worrell, E., J.A. Laitner, M. Ruth, and H. Finman. 2003. Productivity Benefits of Industrial Energy Efficiency Measures. </w:t>
      </w:r>
      <w:r w:rsidRPr="00F87B6E">
        <w:rPr>
          <w:i/>
        </w:rPr>
        <w:t>Energy</w:t>
      </w:r>
      <w:r w:rsidRPr="00F87B6E">
        <w:t xml:space="preserve">, 28(11): 1081–1098. </w:t>
      </w:r>
    </w:p>
    <w:p w14:paraId="3EB83908" w14:textId="1499AE78" w:rsidR="002504EC" w:rsidRPr="00114269" w:rsidRDefault="002504EC" w:rsidP="00114269"/>
    <w:sectPr w:rsidR="002504EC" w:rsidRPr="00114269" w:rsidSect="00B562BA">
      <w:headerReference w:type="default" r:id="rId135"/>
      <w:footerReference w:type="default" r:id="rId136"/>
      <w:endnotePr>
        <w:numFmt w:val="lowerLetter"/>
        <w:numRestart w:val="eachSect"/>
      </w:endnotePr>
      <w:type w:val="oddPage"/>
      <w:pgSz w:w="12240" w:h="15840" w:code="1"/>
      <w:pgMar w:top="1440" w:right="1440" w:bottom="1440" w:left="1440" w:header="720" w:footer="720" w:gutter="0"/>
      <w:pgNumType w:chapSep="enDash"/>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B94A23" w14:textId="77777777" w:rsidR="00E44F68" w:rsidRPr="002D6E17" w:rsidRDefault="00E44F68" w:rsidP="002D6E17">
      <w:pPr>
        <w:rPr>
          <w:sz w:val="2"/>
          <w:szCs w:val="2"/>
        </w:rPr>
      </w:pPr>
    </w:p>
  </w:endnote>
  <w:endnote w:type="continuationSeparator" w:id="0">
    <w:p w14:paraId="02874995" w14:textId="77777777" w:rsidR="00E44F68" w:rsidRPr="002D6E17" w:rsidRDefault="00E44F68" w:rsidP="002D6E17">
      <w:pPr>
        <w:rPr>
          <w:sz w:val="2"/>
          <w:szCs w:val="2"/>
        </w:rPr>
      </w:pPr>
    </w:p>
  </w:endnote>
  <w:endnote w:type="continuationNotice" w:id="1">
    <w:p w14:paraId="7BAF02E1" w14:textId="77777777" w:rsidR="00E44F68" w:rsidRPr="002D6E17" w:rsidRDefault="00E44F68" w:rsidP="002D6E17">
      <w:pPr>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edraSerifA">
    <w:altName w:val="FedraSerifA"/>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imes New Roman Bold">
    <w:panose1 w:val="02020803070505020304"/>
    <w:charset w:val="00"/>
    <w:family w:val="auto"/>
    <w:pitch w:val="variable"/>
    <w:sig w:usb0="E0002AFF" w:usb1="C0007841" w:usb2="00000009" w:usb3="00000000" w:csb0="000001FF" w:csb1="00000000"/>
  </w:font>
  <w:font w:name="Arial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dvTT3713a231">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FF923F" w:themeColor="accent4"/>
      </w:tblBorders>
      <w:tblCellMar>
        <w:top w:w="72" w:type="dxa"/>
        <w:left w:w="115" w:type="dxa"/>
        <w:bottom w:w="72" w:type="dxa"/>
        <w:right w:w="115" w:type="dxa"/>
      </w:tblCellMar>
      <w:tblLook w:val="04A0" w:firstRow="1" w:lastRow="0" w:firstColumn="1" w:lastColumn="0" w:noHBand="0" w:noVBand="1"/>
    </w:tblPr>
    <w:tblGrid>
      <w:gridCol w:w="1217"/>
      <w:gridCol w:w="7488"/>
      <w:gridCol w:w="655"/>
    </w:tblGrid>
    <w:tr w:rsidR="00E44F68" w14:paraId="38958BB1" w14:textId="77777777" w:rsidTr="00730D47">
      <w:tc>
        <w:tcPr>
          <w:tcW w:w="650" w:type="pct"/>
          <w:tcMar>
            <w:top w:w="0" w:type="dxa"/>
            <w:left w:w="0" w:type="dxa"/>
            <w:bottom w:w="0" w:type="dxa"/>
            <w:right w:w="0" w:type="dxa"/>
          </w:tcMar>
          <w:vAlign w:val="center"/>
        </w:tcPr>
        <w:p w14:paraId="1FDCBF9C" w14:textId="77777777" w:rsidR="00E44F68" w:rsidRDefault="00E44F68" w:rsidP="00730D47">
          <w:pPr>
            <w:pStyle w:val="Footer"/>
            <w:jc w:val="left"/>
          </w:pPr>
          <w:r>
            <w:rPr>
              <w:noProof/>
            </w:rPr>
            <w:drawing>
              <wp:inline distT="0" distB="0" distL="0" distR="0" wp14:anchorId="75EAD952" wp14:editId="4DA00345">
                <wp:extent cx="670454" cy="228600"/>
                <wp:effectExtent l="19050" t="0" r="0" b="0"/>
                <wp:docPr id="11" name="Picture 11" descr="ERGlogo_300x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Glogo_300x104.png"/>
                        <pic:cNvPicPr/>
                      </pic:nvPicPr>
                      <pic:blipFill>
                        <a:blip r:embed="rId1" cstate="print">
                          <a:extLst>
                            <a:ext uri="{28A0092B-C50C-407E-A947-70E740481C1C}">
                              <a14:useLocalDpi xmlns:a14="http://schemas.microsoft.com/office/drawing/2010/main"/>
                            </a:ext>
                          </a:extLst>
                        </a:blip>
                        <a:stretch>
                          <a:fillRect/>
                        </a:stretch>
                      </pic:blipFill>
                      <pic:spPr>
                        <a:xfrm>
                          <a:off x="0" y="0"/>
                          <a:ext cx="670454" cy="228600"/>
                        </a:xfrm>
                        <a:prstGeom prst="rect">
                          <a:avLst/>
                        </a:prstGeom>
                      </pic:spPr>
                    </pic:pic>
                  </a:graphicData>
                </a:graphic>
              </wp:inline>
            </w:drawing>
          </w:r>
        </w:p>
      </w:tc>
      <w:tc>
        <w:tcPr>
          <w:tcW w:w="4000" w:type="pct"/>
          <w:tcMar>
            <w:top w:w="0" w:type="dxa"/>
            <w:left w:w="144" w:type="dxa"/>
            <w:bottom w:w="0" w:type="dxa"/>
            <w:right w:w="144" w:type="dxa"/>
          </w:tcMar>
          <w:vAlign w:val="center"/>
        </w:tcPr>
        <w:p w14:paraId="72AF9292" w14:textId="77777777" w:rsidR="00E44F68" w:rsidRPr="00D54D59" w:rsidRDefault="00E44F68" w:rsidP="00730D47">
          <w:pPr>
            <w:pStyle w:val="Footer"/>
          </w:pPr>
          <w:r>
            <w:fldChar w:fldCharType="begin"/>
          </w:r>
          <w:r>
            <w:instrText xml:space="preserve"> STYLEREF  Title </w:instrText>
          </w:r>
          <w:r>
            <w:fldChar w:fldCharType="separate"/>
          </w:r>
          <w:r>
            <w:rPr>
              <w:b/>
              <w:bCs/>
              <w:noProof/>
            </w:rPr>
            <w:t>Error! No text of specified style in document.</w:t>
          </w:r>
          <w:r>
            <w:rPr>
              <w:noProof/>
            </w:rPr>
            <w:fldChar w:fldCharType="end"/>
          </w:r>
          <w:r w:rsidRPr="00D54D59">
            <w:br/>
          </w:r>
          <w:r>
            <w:rPr>
              <w:b/>
            </w:rPr>
            <w:t>Table of Contents</w:t>
          </w:r>
        </w:p>
      </w:tc>
      <w:tc>
        <w:tcPr>
          <w:tcW w:w="350" w:type="pct"/>
          <w:shd w:val="clear" w:color="auto" w:fill="FF923F" w:themeFill="accent4"/>
          <w:tcMar>
            <w:top w:w="0" w:type="dxa"/>
            <w:left w:w="0" w:type="dxa"/>
            <w:bottom w:w="0" w:type="dxa"/>
            <w:right w:w="0" w:type="dxa"/>
          </w:tcMar>
          <w:vAlign w:val="center"/>
        </w:tcPr>
        <w:p w14:paraId="5496CF24" w14:textId="77777777" w:rsidR="00E44F68" w:rsidRDefault="00E44F68" w:rsidP="00730D47">
          <w:pPr>
            <w:pStyle w:val="Header"/>
            <w:jc w:val="center"/>
          </w:pPr>
          <w:r>
            <w:fldChar w:fldCharType="begin"/>
          </w:r>
          <w:r>
            <w:instrText xml:space="preserve"> PAGE   \* MERGEFORMAT </w:instrText>
          </w:r>
          <w:r>
            <w:fldChar w:fldCharType="separate"/>
          </w:r>
          <w:r>
            <w:rPr>
              <w:noProof/>
            </w:rPr>
            <w:t>ii</w:t>
          </w:r>
          <w:r>
            <w:rPr>
              <w:noProof/>
            </w:rPr>
            <w:fldChar w:fldCharType="end"/>
          </w:r>
        </w:p>
      </w:tc>
    </w:tr>
  </w:tbl>
  <w:p w14:paraId="5C1CE98E" w14:textId="77777777" w:rsidR="00E44F68" w:rsidRPr="00CF2624" w:rsidRDefault="00E44F68" w:rsidP="00CF262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9F6CD" w14:textId="77777777" w:rsidR="00E44F68" w:rsidRPr="00CC3004" w:rsidRDefault="00E44F68" w:rsidP="00B562BA">
    <w:pPr>
      <w:jc w:val="center"/>
    </w:pPr>
    <w:r w:rsidRPr="00003324">
      <w:rPr>
        <w:rFonts w:ascii="Times New Roman" w:hAnsi="Times New Roman" w:cs="Times New Roman"/>
      </w:rPr>
      <w:fldChar w:fldCharType="begin"/>
    </w:r>
    <w:r w:rsidRPr="00003324">
      <w:rPr>
        <w:rFonts w:ascii="Times New Roman" w:hAnsi="Times New Roman" w:cs="Times New Roman"/>
      </w:rPr>
      <w:instrText xml:space="preserve"> PAGE   \* MERGEFORMAT </w:instrText>
    </w:r>
    <w:r w:rsidRPr="00003324">
      <w:rPr>
        <w:rFonts w:ascii="Times New Roman" w:hAnsi="Times New Roman" w:cs="Times New Roman"/>
      </w:rPr>
      <w:fldChar w:fldCharType="separate"/>
    </w:r>
    <w:r w:rsidR="004A61E1">
      <w:rPr>
        <w:rFonts w:ascii="Times New Roman" w:hAnsi="Times New Roman" w:cs="Times New Roman"/>
        <w:noProof/>
      </w:rPr>
      <w:t>85</w:t>
    </w:r>
    <w:r w:rsidRPr="00003324">
      <w:rPr>
        <w:rFonts w:ascii="Times New Roman" w:hAnsi="Times New Roman" w:cs="Times New Roman"/>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4D2F2" w14:textId="77777777" w:rsidR="00E44F68" w:rsidRPr="00B74736" w:rsidRDefault="00E44F68" w:rsidP="0091274B">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8C638" w14:textId="77777777" w:rsidR="00E44F68" w:rsidRPr="00003324" w:rsidRDefault="00E44F68" w:rsidP="00003324">
    <w:pPr>
      <w:jc w:val="center"/>
      <w:rPr>
        <w:rFonts w:ascii="Times New Roman" w:hAnsi="Times New Roman" w:cs="Times New Roman"/>
      </w:rPr>
    </w:pPr>
    <w:r w:rsidRPr="00003324">
      <w:rPr>
        <w:rFonts w:ascii="Times New Roman" w:hAnsi="Times New Roman" w:cs="Times New Roman"/>
      </w:rPr>
      <w:fldChar w:fldCharType="begin"/>
    </w:r>
    <w:r w:rsidRPr="00003324">
      <w:rPr>
        <w:rFonts w:ascii="Times New Roman" w:hAnsi="Times New Roman" w:cs="Times New Roman"/>
      </w:rPr>
      <w:instrText xml:space="preserve"> PAGE   \* MERGEFORMAT </w:instrText>
    </w:r>
    <w:r w:rsidRPr="00003324">
      <w:rPr>
        <w:rFonts w:ascii="Times New Roman" w:hAnsi="Times New Roman" w:cs="Times New Roman"/>
      </w:rPr>
      <w:fldChar w:fldCharType="separate"/>
    </w:r>
    <w:r w:rsidR="004A61E1">
      <w:rPr>
        <w:rFonts w:ascii="Times New Roman" w:hAnsi="Times New Roman" w:cs="Times New Roman"/>
        <w:noProof/>
      </w:rPr>
      <w:t>iv</w:t>
    </w:r>
    <w:r w:rsidRPr="00003324">
      <w:rPr>
        <w:rFonts w:ascii="Times New Roman" w:hAnsi="Times New Roman" w:cs="Times New Roman"/>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862B0" w14:textId="77777777" w:rsidR="00E44F68" w:rsidRPr="00CF2624" w:rsidRDefault="00E44F68" w:rsidP="003F5688">
    <w:pPr>
      <w:jc w:val="center"/>
    </w:pPr>
    <w:r w:rsidRPr="00003324">
      <w:rPr>
        <w:rFonts w:ascii="Times New Roman" w:hAnsi="Times New Roman" w:cs="Times New Roman"/>
      </w:rPr>
      <w:fldChar w:fldCharType="begin"/>
    </w:r>
    <w:r w:rsidRPr="00003324">
      <w:rPr>
        <w:rFonts w:ascii="Times New Roman" w:hAnsi="Times New Roman" w:cs="Times New Roman"/>
      </w:rPr>
      <w:instrText xml:space="preserve"> PAGE   \* MERGEFORMAT </w:instrText>
    </w:r>
    <w:r w:rsidRPr="00003324">
      <w:rPr>
        <w:rFonts w:ascii="Times New Roman" w:hAnsi="Times New Roman" w:cs="Times New Roman"/>
      </w:rPr>
      <w:fldChar w:fldCharType="separate"/>
    </w:r>
    <w:r w:rsidR="004A61E1">
      <w:rPr>
        <w:rFonts w:ascii="Times New Roman" w:hAnsi="Times New Roman" w:cs="Times New Roman"/>
        <w:noProof/>
      </w:rPr>
      <w:t>ii</w:t>
    </w:r>
    <w:r w:rsidRPr="00003324">
      <w:rPr>
        <w:rFonts w:ascii="Times New Roman" w:hAnsi="Times New Roman" w:cs="Times New Roman"/>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FF923F" w:themeColor="accent4"/>
      </w:tblBorders>
      <w:tblCellMar>
        <w:top w:w="72" w:type="dxa"/>
        <w:left w:w="115" w:type="dxa"/>
        <w:bottom w:w="72" w:type="dxa"/>
        <w:right w:w="115" w:type="dxa"/>
      </w:tblCellMar>
      <w:tblLook w:val="04A0" w:firstRow="1" w:lastRow="0" w:firstColumn="1" w:lastColumn="0" w:noHBand="0" w:noVBand="1"/>
    </w:tblPr>
    <w:tblGrid>
      <w:gridCol w:w="1217"/>
      <w:gridCol w:w="7488"/>
      <w:gridCol w:w="655"/>
    </w:tblGrid>
    <w:tr w:rsidR="00E44F68" w14:paraId="119A66A8" w14:textId="77777777" w:rsidTr="00E913F9">
      <w:tc>
        <w:tcPr>
          <w:tcW w:w="650" w:type="pct"/>
          <w:tcMar>
            <w:top w:w="0" w:type="dxa"/>
            <w:left w:w="0" w:type="dxa"/>
            <w:bottom w:w="0" w:type="dxa"/>
            <w:right w:w="0" w:type="dxa"/>
          </w:tcMar>
          <w:vAlign w:val="center"/>
        </w:tcPr>
        <w:p w14:paraId="626E3FF6" w14:textId="77777777" w:rsidR="00E44F68" w:rsidRDefault="00E44F68" w:rsidP="007B571B">
          <w:pPr>
            <w:pStyle w:val="Footer"/>
            <w:jc w:val="left"/>
          </w:pPr>
          <w:r>
            <w:rPr>
              <w:noProof/>
            </w:rPr>
            <w:drawing>
              <wp:inline distT="0" distB="0" distL="0" distR="0" wp14:anchorId="462600E3" wp14:editId="3AFCDBD5">
                <wp:extent cx="670454" cy="228600"/>
                <wp:effectExtent l="19050" t="0" r="0" b="0"/>
                <wp:docPr id="1" name="Picture 1" descr="ERGlogo_300x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Glogo_300x104.png"/>
                        <pic:cNvPicPr/>
                      </pic:nvPicPr>
                      <pic:blipFill>
                        <a:blip r:embed="rId1" cstate="print">
                          <a:extLst>
                            <a:ext uri="{28A0092B-C50C-407E-A947-70E740481C1C}">
                              <a14:useLocalDpi xmlns:a14="http://schemas.microsoft.com/office/drawing/2010/main"/>
                            </a:ext>
                          </a:extLst>
                        </a:blip>
                        <a:stretch>
                          <a:fillRect/>
                        </a:stretch>
                      </pic:blipFill>
                      <pic:spPr>
                        <a:xfrm>
                          <a:off x="0" y="0"/>
                          <a:ext cx="670454" cy="228600"/>
                        </a:xfrm>
                        <a:prstGeom prst="rect">
                          <a:avLst/>
                        </a:prstGeom>
                      </pic:spPr>
                    </pic:pic>
                  </a:graphicData>
                </a:graphic>
              </wp:inline>
            </w:drawing>
          </w:r>
        </w:p>
      </w:tc>
      <w:tc>
        <w:tcPr>
          <w:tcW w:w="4000" w:type="pct"/>
          <w:tcMar>
            <w:top w:w="0" w:type="dxa"/>
            <w:left w:w="144" w:type="dxa"/>
            <w:bottom w:w="0" w:type="dxa"/>
            <w:right w:w="144" w:type="dxa"/>
          </w:tcMar>
          <w:vAlign w:val="center"/>
        </w:tcPr>
        <w:p w14:paraId="3A98AF56" w14:textId="77777777" w:rsidR="00E44F68" w:rsidRPr="00D54D59" w:rsidRDefault="00E44F68" w:rsidP="000004CC">
          <w:pPr>
            <w:pStyle w:val="Footer"/>
          </w:pPr>
          <w:r>
            <w:fldChar w:fldCharType="begin"/>
          </w:r>
          <w:r>
            <w:instrText xml:space="preserve"> STYLEREF  Title </w:instrText>
          </w:r>
          <w:r>
            <w:fldChar w:fldCharType="separate"/>
          </w:r>
          <w:r>
            <w:rPr>
              <w:b/>
              <w:bCs/>
              <w:noProof/>
            </w:rPr>
            <w:t>Error! No text of specified style in document.</w:t>
          </w:r>
          <w:r>
            <w:rPr>
              <w:noProof/>
            </w:rPr>
            <w:fldChar w:fldCharType="end"/>
          </w:r>
          <w:r w:rsidRPr="00D54D59">
            <w:br/>
          </w:r>
          <w:r>
            <w:rPr>
              <w:b/>
            </w:rPr>
            <w:t>List of Figures and Tables</w:t>
          </w:r>
        </w:p>
      </w:tc>
      <w:tc>
        <w:tcPr>
          <w:tcW w:w="350" w:type="pct"/>
          <w:shd w:val="clear" w:color="auto" w:fill="FF923F" w:themeFill="accent4"/>
          <w:tcMar>
            <w:top w:w="0" w:type="dxa"/>
            <w:left w:w="0" w:type="dxa"/>
            <w:bottom w:w="0" w:type="dxa"/>
            <w:right w:w="0" w:type="dxa"/>
          </w:tcMar>
          <w:vAlign w:val="center"/>
        </w:tcPr>
        <w:p w14:paraId="0E8B5076" w14:textId="77777777" w:rsidR="00E44F68" w:rsidRDefault="00E44F68" w:rsidP="007B571B">
          <w:pPr>
            <w:pStyle w:val="Header"/>
            <w:jc w:val="center"/>
          </w:pPr>
          <w:r>
            <w:fldChar w:fldCharType="begin"/>
          </w:r>
          <w:r>
            <w:instrText xml:space="preserve"> PAGE   \* MERGEFORMAT </w:instrText>
          </w:r>
          <w:r>
            <w:fldChar w:fldCharType="separate"/>
          </w:r>
          <w:r>
            <w:rPr>
              <w:noProof/>
            </w:rPr>
            <w:t>iv</w:t>
          </w:r>
          <w:r>
            <w:rPr>
              <w:noProof/>
            </w:rPr>
            <w:fldChar w:fldCharType="end"/>
          </w:r>
        </w:p>
      </w:tc>
    </w:tr>
  </w:tbl>
  <w:p w14:paraId="6B60FFD0" w14:textId="77777777" w:rsidR="00E44F68" w:rsidRDefault="00E44F6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D57C3" w14:textId="0CCD65F8" w:rsidR="00E44F68" w:rsidRPr="00CF2624" w:rsidRDefault="00E44F68" w:rsidP="00003324">
    <w:pPr>
      <w:jc w:val="center"/>
    </w:pPr>
    <w:r w:rsidRPr="00003324">
      <w:rPr>
        <w:rFonts w:ascii="Times New Roman" w:hAnsi="Times New Roman" w:cs="Times New Roman"/>
      </w:rPr>
      <w:fldChar w:fldCharType="begin"/>
    </w:r>
    <w:r w:rsidRPr="00003324">
      <w:rPr>
        <w:rFonts w:ascii="Times New Roman" w:hAnsi="Times New Roman" w:cs="Times New Roman"/>
      </w:rPr>
      <w:instrText xml:space="preserve"> PAGE   \* MERGEFORMAT </w:instrText>
    </w:r>
    <w:r w:rsidRPr="00003324">
      <w:rPr>
        <w:rFonts w:ascii="Times New Roman" w:hAnsi="Times New Roman" w:cs="Times New Roman"/>
      </w:rPr>
      <w:fldChar w:fldCharType="separate"/>
    </w:r>
    <w:r w:rsidR="004A61E1">
      <w:rPr>
        <w:rFonts w:ascii="Times New Roman" w:hAnsi="Times New Roman" w:cs="Times New Roman"/>
        <w:noProof/>
      </w:rPr>
      <w:t>vi</w:t>
    </w:r>
    <w:r w:rsidRPr="00003324">
      <w:rPr>
        <w:rFonts w:ascii="Times New Roman" w:hAnsi="Times New Roman" w:cs="Times New Roman"/>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04B60" w14:textId="77777777" w:rsidR="00E44F68" w:rsidRPr="00CF2624" w:rsidRDefault="00E44F68" w:rsidP="003F5688">
    <w:pPr>
      <w:jc w:val="center"/>
    </w:pPr>
    <w:r w:rsidRPr="00003324">
      <w:rPr>
        <w:rFonts w:ascii="Times New Roman" w:hAnsi="Times New Roman" w:cs="Times New Roman"/>
      </w:rPr>
      <w:fldChar w:fldCharType="begin"/>
    </w:r>
    <w:r w:rsidRPr="00003324">
      <w:rPr>
        <w:rFonts w:ascii="Times New Roman" w:hAnsi="Times New Roman" w:cs="Times New Roman"/>
      </w:rPr>
      <w:instrText xml:space="preserve"> PAGE   \* MERGEFORMAT </w:instrText>
    </w:r>
    <w:r w:rsidRPr="00003324">
      <w:rPr>
        <w:rFonts w:ascii="Times New Roman" w:hAnsi="Times New Roman" w:cs="Times New Roman"/>
      </w:rPr>
      <w:fldChar w:fldCharType="separate"/>
    </w:r>
    <w:r w:rsidR="004A61E1">
      <w:rPr>
        <w:rFonts w:ascii="Times New Roman" w:hAnsi="Times New Roman" w:cs="Times New Roman"/>
        <w:noProof/>
      </w:rPr>
      <w:t>v</w:t>
    </w:r>
    <w:r w:rsidRPr="00003324">
      <w:rPr>
        <w:rFonts w:ascii="Times New Roman" w:hAnsi="Times New Roman" w:cs="Times New Roman"/>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92A80" w14:textId="1CB2FA7A" w:rsidR="00E44F68" w:rsidRPr="00003324" w:rsidRDefault="00E44F68" w:rsidP="00810FAC">
    <w:pPr>
      <w:jc w:val="center"/>
      <w:rPr>
        <w:rFonts w:ascii="Times New Roman" w:hAnsi="Times New Roman" w:cs="Times New Roman"/>
      </w:rPr>
    </w:pPr>
    <w:r w:rsidRPr="00003324">
      <w:rPr>
        <w:rFonts w:ascii="Times New Roman" w:hAnsi="Times New Roman" w:cs="Times New Roman"/>
      </w:rPr>
      <w:fldChar w:fldCharType="begin"/>
    </w:r>
    <w:r w:rsidRPr="00003324">
      <w:rPr>
        <w:rFonts w:ascii="Times New Roman" w:hAnsi="Times New Roman" w:cs="Times New Roman"/>
      </w:rPr>
      <w:instrText xml:space="preserve"> PAGE   \* MERGEFORMAT </w:instrText>
    </w:r>
    <w:r w:rsidRPr="00003324">
      <w:rPr>
        <w:rFonts w:ascii="Times New Roman" w:hAnsi="Times New Roman" w:cs="Times New Roman"/>
      </w:rPr>
      <w:fldChar w:fldCharType="separate"/>
    </w:r>
    <w:r w:rsidR="004A61E1">
      <w:rPr>
        <w:rFonts w:ascii="Times New Roman" w:hAnsi="Times New Roman" w:cs="Times New Roman"/>
        <w:noProof/>
      </w:rPr>
      <w:t>16</w:t>
    </w:r>
    <w:r w:rsidRPr="00003324">
      <w:rPr>
        <w:rFonts w:ascii="Times New Roman" w:hAnsi="Times New Roman" w:cs="Times New Roman"/>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C515E" w14:textId="3D2511A2" w:rsidR="00E44F68" w:rsidRPr="00CC3004" w:rsidRDefault="00E44F68" w:rsidP="00B562BA">
    <w:pPr>
      <w:jc w:val="center"/>
    </w:pPr>
    <w:r w:rsidRPr="00003324">
      <w:rPr>
        <w:rFonts w:ascii="Times New Roman" w:hAnsi="Times New Roman" w:cs="Times New Roman"/>
      </w:rPr>
      <w:fldChar w:fldCharType="begin"/>
    </w:r>
    <w:r w:rsidRPr="00003324">
      <w:rPr>
        <w:rFonts w:ascii="Times New Roman" w:hAnsi="Times New Roman" w:cs="Times New Roman"/>
      </w:rPr>
      <w:instrText xml:space="preserve"> PAGE   \* MERGEFORMAT </w:instrText>
    </w:r>
    <w:r w:rsidRPr="00003324">
      <w:rPr>
        <w:rFonts w:ascii="Times New Roman" w:hAnsi="Times New Roman" w:cs="Times New Roman"/>
      </w:rPr>
      <w:fldChar w:fldCharType="separate"/>
    </w:r>
    <w:r w:rsidR="004A61E1">
      <w:rPr>
        <w:rFonts w:ascii="Times New Roman" w:hAnsi="Times New Roman" w:cs="Times New Roman"/>
        <w:noProof/>
      </w:rPr>
      <w:t>78</w:t>
    </w:r>
    <w:r w:rsidRPr="00003324">
      <w:rPr>
        <w:rFonts w:ascii="Times New Roman" w:hAnsi="Times New Roman" w:cs="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A8B7F3" w14:textId="77777777" w:rsidR="00E44F68" w:rsidRDefault="00E44F68" w:rsidP="00293111">
      <w:r>
        <w:separator/>
      </w:r>
    </w:p>
  </w:footnote>
  <w:footnote w:type="continuationSeparator" w:id="0">
    <w:p w14:paraId="6F901D53" w14:textId="77777777" w:rsidR="00E44F68" w:rsidRDefault="00E44F68" w:rsidP="00293111">
      <w:r>
        <w:continuationSeparator/>
      </w:r>
    </w:p>
  </w:footnote>
  <w:footnote w:id="1">
    <w:p w14:paraId="23249CA0" w14:textId="77777777" w:rsidR="00E44F68" w:rsidRPr="00094D9B" w:rsidRDefault="00E44F68" w:rsidP="00810FAC">
      <w:pPr>
        <w:pStyle w:val="FootnoteText"/>
        <w:rPr>
          <w:rFonts w:cs="Times New Roman"/>
        </w:rPr>
      </w:pPr>
      <w:r w:rsidRPr="0016719A">
        <w:rPr>
          <w:rStyle w:val="FootnoteReference"/>
          <w:rFonts w:cs="Times New Roman"/>
        </w:rPr>
        <w:footnoteRef/>
      </w:r>
      <w:r w:rsidRPr="0016719A">
        <w:rPr>
          <w:rFonts w:cs="Times New Roman"/>
        </w:rPr>
        <w:t xml:space="preserve"> S</w:t>
      </w:r>
      <w:r>
        <w:rPr>
          <w:rFonts w:cs="Times New Roman"/>
        </w:rPr>
        <w:t>ee below for discussion of cost-effectiveness and related cost tests used by states to evaluate EE programs.</w:t>
      </w:r>
    </w:p>
  </w:footnote>
  <w:footnote w:id="2">
    <w:p w14:paraId="4E995AB9" w14:textId="689C078C" w:rsidR="00E44F68" w:rsidRPr="000B0A5B" w:rsidRDefault="00E44F68" w:rsidP="00E06161">
      <w:pPr>
        <w:pStyle w:val="FootnoteText"/>
      </w:pPr>
      <w:r w:rsidRPr="006502EF">
        <w:rPr>
          <w:rStyle w:val="FootnoteReference"/>
          <w:rFonts w:cs="Times New Roman"/>
        </w:rPr>
        <w:footnoteRef/>
      </w:r>
      <w:r w:rsidRPr="006502EF">
        <w:t xml:space="preserve"> It has been recognized that there is a difference between cost-effective energy efficiency investment levels, based on cost-minimizing consideration, and observed levels of energy efficiency. This phenomenon, also termed ‘energy paradox,’ or ‘energy </w:t>
      </w:r>
      <w:r w:rsidRPr="003F01E1">
        <w:t xml:space="preserve">efficiency gap,’ has been </w:t>
      </w:r>
      <w:r w:rsidR="00442527">
        <w:t xml:space="preserve">discussed </w:t>
      </w:r>
      <w:r w:rsidRPr="003F01E1">
        <w:t xml:space="preserve">extensively in the </w:t>
      </w:r>
      <w:r w:rsidR="00442527">
        <w:t xml:space="preserve">academic </w:t>
      </w:r>
      <w:r w:rsidRPr="003F01E1">
        <w:t>literature</w:t>
      </w:r>
      <w:r w:rsidR="00442527">
        <w:t>, although a full explanation of the gap remains elusive, likely because it differs by setting and energy efficiency inves</w:t>
      </w:r>
      <w:r w:rsidR="00E418C8">
        <w:t>t</w:t>
      </w:r>
      <w:r w:rsidR="00442527">
        <w:t>ment</w:t>
      </w:r>
      <w:r w:rsidRPr="003F01E1">
        <w:t>. See, for example, Jaffe and Stavins 1994, DeCanio 1998, Sanstad and Howarth 1994,</w:t>
      </w:r>
      <w:r>
        <w:t xml:space="preserve"> DeCanio and Watkins 2008, Allcott and Greenstone 2012</w:t>
      </w:r>
      <w:r w:rsidR="009C5BF1">
        <w:t>, and Gerarden et al. 2015.</w:t>
      </w:r>
    </w:p>
  </w:footnote>
  <w:footnote w:id="3">
    <w:p w14:paraId="6C3A58AD" w14:textId="77777777" w:rsidR="00E44F68" w:rsidRPr="00C71140" w:rsidRDefault="00E44F68" w:rsidP="00810FAC">
      <w:pPr>
        <w:pStyle w:val="FootnoteText"/>
        <w:rPr>
          <w:rFonts w:cs="Times New Roman"/>
        </w:rPr>
      </w:pPr>
      <w:r>
        <w:rPr>
          <w:rStyle w:val="FootnoteReference"/>
        </w:rPr>
        <w:footnoteRef/>
      </w:r>
      <w:r>
        <w:t xml:space="preserve"> </w:t>
      </w:r>
      <w:r w:rsidRPr="00C71140">
        <w:rPr>
          <w:rFonts w:cs="Times New Roman"/>
        </w:rPr>
        <w:t xml:space="preserve">States with GHG reduction laws include:  California, Connecticut, Hawaii, Maine, Maryland, Massachusetts, Minnesota, New Jersey, Oregon, and Washington. </w:t>
      </w:r>
    </w:p>
  </w:footnote>
  <w:footnote w:id="4">
    <w:p w14:paraId="1568CD27" w14:textId="77777777" w:rsidR="00E44F68" w:rsidRPr="00033AC7" w:rsidRDefault="00E44F68" w:rsidP="00810FAC">
      <w:pPr>
        <w:pStyle w:val="FootnoteText"/>
      </w:pPr>
      <w:r w:rsidRPr="00C71140">
        <w:rPr>
          <w:rStyle w:val="FootnoteReference"/>
          <w:rFonts w:cs="Times New Roman"/>
        </w:rPr>
        <w:footnoteRef/>
      </w:r>
      <w:r w:rsidRPr="00C71140">
        <w:rPr>
          <w:rFonts w:cs="Times New Roman"/>
        </w:rPr>
        <w:t xml:space="preserve"> Energy Modeling Forum (EMF) is a consortium of energy economists and energy economic modeling teams that was established in 1976. Through ad hoc working groups, the EMF has focused on a series of energy and environmental topics that are of interest to policy decisions. In recent years, the EMF is recognized for its contribution to the advancement of economics of climate change and the reports of the Intergovernmental Panel on Climate Change (IPCC).</w:t>
      </w:r>
      <w:r>
        <w:t xml:space="preserve"> </w:t>
      </w:r>
    </w:p>
  </w:footnote>
  <w:footnote w:id="5">
    <w:p w14:paraId="7092FEA6" w14:textId="4809C28A" w:rsidR="00E44F68" w:rsidRPr="008C2A79" w:rsidRDefault="00E44F68">
      <w:pPr>
        <w:pStyle w:val="FootnoteText"/>
        <w:rPr>
          <w:rFonts w:cs="Times New Roman"/>
        </w:rPr>
      </w:pPr>
      <w:r w:rsidRPr="00F724EE">
        <w:rPr>
          <w:rStyle w:val="FootnoteReference"/>
          <w:rFonts w:cs="Times New Roman"/>
        </w:rPr>
        <w:footnoteRef/>
      </w:r>
      <w:r w:rsidRPr="00F724EE">
        <w:rPr>
          <w:rFonts w:cs="Times New Roman"/>
        </w:rPr>
        <w:t xml:space="preserve"> In 2011, EIA began collecting data from third-party administrators of programs</w:t>
      </w:r>
      <w:r>
        <w:rPr>
          <w:rFonts w:cs="Times New Roman"/>
        </w:rPr>
        <w:t xml:space="preserve">. </w:t>
      </w:r>
      <w:r w:rsidRPr="00F724EE">
        <w:rPr>
          <w:rFonts w:cs="Times New Roman"/>
        </w:rPr>
        <w:t>Prior to 2011, this was a significant</w:t>
      </w:r>
      <w:r w:rsidRPr="00F02244">
        <w:t xml:space="preserve"> </w:t>
      </w:r>
      <w:r w:rsidRPr="008C2A79">
        <w:rPr>
          <w:rFonts w:cs="Times New Roman"/>
        </w:rPr>
        <w:t>shortcoming in the breadth of the data collected</w:t>
      </w:r>
      <w:r>
        <w:rPr>
          <w:rFonts w:cs="Times New Roman"/>
        </w:rPr>
        <w:t xml:space="preserve">. </w:t>
      </w:r>
      <w:r w:rsidRPr="008C2A79">
        <w:rPr>
          <w:rFonts w:cs="Times New Roman"/>
        </w:rPr>
        <w:t>The breadth and quality of information collected through Form EIA-861 has improved over time, however, outside entities (e.g., ACEEE</w:t>
      </w:r>
      <w:r>
        <w:rPr>
          <w:rFonts w:cs="Times New Roman"/>
        </w:rPr>
        <w:t xml:space="preserve"> and CEE</w:t>
      </w:r>
      <w:r w:rsidRPr="008C2A79">
        <w:rPr>
          <w:rFonts w:cs="Times New Roman"/>
        </w:rPr>
        <w:t>) have found that the data can be improved through expert review and supplementation with other data sources</w:t>
      </w:r>
      <w:r>
        <w:rPr>
          <w:rFonts w:cs="Times New Roman"/>
        </w:rPr>
        <w:t xml:space="preserve">. </w:t>
      </w:r>
      <w:r w:rsidRPr="008C2A79">
        <w:rPr>
          <w:rFonts w:cs="Times New Roman"/>
        </w:rPr>
        <w:t>While now fairly comprehensive, the EIA data can be improved further with regards to data quality and consistency.</w:t>
      </w:r>
      <w:r>
        <w:rPr>
          <w:rFonts w:cs="Times New Roman"/>
        </w:rPr>
        <w:t xml:space="preserve"> See section 10 for further discussion.</w:t>
      </w:r>
    </w:p>
  </w:footnote>
  <w:footnote w:id="6">
    <w:p w14:paraId="524009F5" w14:textId="77777777" w:rsidR="00E44F68" w:rsidRPr="008C2A79" w:rsidRDefault="00E44F68">
      <w:pPr>
        <w:pStyle w:val="FootnoteText"/>
        <w:rPr>
          <w:rFonts w:cs="Times New Roman"/>
        </w:rPr>
      </w:pPr>
      <w:r w:rsidRPr="008C2A79">
        <w:rPr>
          <w:rStyle w:val="FootnoteReference"/>
          <w:rFonts w:cs="Times New Roman"/>
        </w:rPr>
        <w:footnoteRef/>
      </w:r>
      <w:r w:rsidRPr="008C2A79">
        <w:rPr>
          <w:rFonts w:cs="Times New Roman"/>
        </w:rPr>
        <w:t xml:space="preserve"> See following sections for discussion of these factors.</w:t>
      </w:r>
    </w:p>
  </w:footnote>
  <w:footnote w:id="7">
    <w:p w14:paraId="7DCAEC51" w14:textId="77777777" w:rsidR="00E44F68" w:rsidRPr="003519C4" w:rsidRDefault="00E44F68" w:rsidP="00810FAC">
      <w:pPr>
        <w:pStyle w:val="FootnoteText"/>
        <w:rPr>
          <w:rFonts w:cs="Times New Roman"/>
        </w:rPr>
      </w:pPr>
      <w:r w:rsidRPr="003519C4">
        <w:rPr>
          <w:rStyle w:val="FootnoteReference"/>
          <w:rFonts w:cs="Times New Roman"/>
        </w:rPr>
        <w:footnoteRef/>
      </w:r>
      <w:r w:rsidRPr="003519C4">
        <w:rPr>
          <w:rFonts w:cs="Times New Roman"/>
        </w:rPr>
        <w:t xml:space="preserve"> The “EM&amp;V” box is not comparable to the other program types and is not relevant to this discussion.  It was included in the referenced source to indicate that EM&amp;V is a key activity within a program portfolio.</w:t>
      </w:r>
    </w:p>
  </w:footnote>
  <w:footnote w:id="8">
    <w:p w14:paraId="6CD8EA57" w14:textId="77777777" w:rsidR="00E44F68" w:rsidRDefault="00E44F68">
      <w:pPr>
        <w:pStyle w:val="FootnoteText"/>
      </w:pPr>
      <w:r>
        <w:rPr>
          <w:rStyle w:val="FootnoteReference"/>
        </w:rPr>
        <w:footnoteRef/>
      </w:r>
      <w:r>
        <w:t xml:space="preserve"> EPA calculation using EIA-861 2013 data.</w:t>
      </w:r>
    </w:p>
  </w:footnote>
  <w:footnote w:id="9">
    <w:p w14:paraId="58A302D1" w14:textId="06D75F17" w:rsidR="00E44F68" w:rsidRPr="00B74700" w:rsidRDefault="00E44F68">
      <w:pPr>
        <w:pStyle w:val="FootnoteText"/>
        <w:rPr>
          <w:rFonts w:cs="Times New Roman"/>
        </w:rPr>
      </w:pPr>
      <w:r w:rsidRPr="00B74700">
        <w:rPr>
          <w:rStyle w:val="FootnoteReference"/>
          <w:rFonts w:cs="Times New Roman"/>
        </w:rPr>
        <w:footnoteRef/>
      </w:r>
      <w:r w:rsidRPr="00B74700">
        <w:rPr>
          <w:rFonts w:cs="Times New Roman"/>
        </w:rPr>
        <w:t xml:space="preserve"> The number of EERS states is from ACEEE </w:t>
      </w:r>
      <w:r>
        <w:rPr>
          <w:rFonts w:cs="Times New Roman"/>
        </w:rPr>
        <w:t>2014c</w:t>
      </w:r>
      <w:r w:rsidRPr="00B74700">
        <w:rPr>
          <w:rFonts w:cs="Times New Roman"/>
        </w:rPr>
        <w:t xml:space="preserve"> and includes states with explicit EERS, those with long-term energy savings targets for individual program administrators, and those with EE incorporated as an eligible resource in a renewable portfolio standard</w:t>
      </w:r>
      <w:r>
        <w:rPr>
          <w:rFonts w:cs="Times New Roman"/>
        </w:rPr>
        <w:t xml:space="preserve">. </w:t>
      </w:r>
      <w:r w:rsidRPr="00B74700">
        <w:rPr>
          <w:rFonts w:cs="Times New Roman"/>
        </w:rPr>
        <w:t>The numbers for the other policy approaches are from</w:t>
      </w:r>
      <w:r>
        <w:rPr>
          <w:rFonts w:cs="Times New Roman"/>
        </w:rPr>
        <w:t xml:space="preserve"> </w:t>
      </w:r>
      <w:r w:rsidR="001A7D56">
        <w:rPr>
          <w:rFonts w:cs="Times New Roman"/>
        </w:rPr>
        <w:t>Barbose et al. 2013</w:t>
      </w:r>
      <w:r>
        <w:rPr>
          <w:rFonts w:cs="Times New Roman"/>
        </w:rPr>
        <w:t>.</w:t>
      </w:r>
    </w:p>
  </w:footnote>
  <w:footnote w:id="10">
    <w:p w14:paraId="00AFE578" w14:textId="77777777" w:rsidR="00E44F68" w:rsidRPr="00DD187F" w:rsidRDefault="00E44F68" w:rsidP="00810FAC">
      <w:pPr>
        <w:pStyle w:val="FootnoteText"/>
        <w:rPr>
          <w:rFonts w:cs="Times New Roman"/>
        </w:rPr>
      </w:pPr>
      <w:r w:rsidRPr="00DD187F">
        <w:rPr>
          <w:rStyle w:val="FootnoteReference"/>
          <w:rFonts w:cs="Times New Roman"/>
        </w:rPr>
        <w:footnoteRef/>
      </w:r>
      <w:r w:rsidRPr="00DD187F">
        <w:rPr>
          <w:rFonts w:cs="Times New Roman"/>
        </w:rPr>
        <w:t xml:space="preserve"> More information on EIA Form 861 can be found at </w:t>
      </w:r>
      <w:hyperlink r:id="rId1" w:history="1">
        <w:r w:rsidRPr="00535BC6">
          <w:rPr>
            <w:rStyle w:val="Hyperlink"/>
          </w:rPr>
          <w:t>http://www.eia.gov/electricity/data/eia861/</w:t>
        </w:r>
      </w:hyperlink>
      <w:r>
        <w:rPr>
          <w:rFonts w:cs="Times New Roman"/>
        </w:rPr>
        <w:t>.</w:t>
      </w:r>
    </w:p>
  </w:footnote>
  <w:footnote w:id="11">
    <w:p w14:paraId="7702E264" w14:textId="77777777" w:rsidR="00E44F68" w:rsidRPr="00D257F4" w:rsidRDefault="00E44F68" w:rsidP="00810FAC">
      <w:pPr>
        <w:pStyle w:val="FootnoteText"/>
        <w:rPr>
          <w:rFonts w:cs="Times New Roman"/>
        </w:rPr>
      </w:pPr>
      <w:r w:rsidRPr="00D257F4">
        <w:rPr>
          <w:rStyle w:val="FootnoteReference"/>
          <w:rFonts w:cs="Times New Roman"/>
        </w:rPr>
        <w:footnoteRef/>
      </w:r>
      <w:r w:rsidRPr="00D257F4">
        <w:rPr>
          <w:rFonts w:cs="Times New Roman"/>
        </w:rPr>
        <w:t xml:space="preserve"> The</w:t>
      </w:r>
      <w:r>
        <w:rPr>
          <w:rFonts w:cs="Times New Roman"/>
        </w:rPr>
        <w:t xml:space="preserve"> analysis uses</w:t>
      </w:r>
      <w:r w:rsidRPr="00D257F4">
        <w:rPr>
          <w:rFonts w:cs="Times New Roman"/>
        </w:rPr>
        <w:t xml:space="preserve"> 201</w:t>
      </w:r>
      <w:r>
        <w:rPr>
          <w:rFonts w:cs="Times New Roman"/>
        </w:rPr>
        <w:t>3</w:t>
      </w:r>
      <w:r w:rsidRPr="00D257F4">
        <w:rPr>
          <w:rFonts w:cs="Times New Roman"/>
        </w:rPr>
        <w:t xml:space="preserve"> EIA 861 data</w:t>
      </w:r>
      <w:r>
        <w:rPr>
          <w:rFonts w:cs="Times New Roman"/>
        </w:rPr>
        <w:t>,</w:t>
      </w:r>
      <w:r w:rsidRPr="00D257F4">
        <w:rPr>
          <w:rFonts w:cs="Times New Roman"/>
        </w:rPr>
        <w:t xml:space="preserve"> </w:t>
      </w:r>
      <w:r>
        <w:rPr>
          <w:rFonts w:cs="Times New Roman"/>
        </w:rPr>
        <w:t>a</w:t>
      </w:r>
      <w:r w:rsidRPr="00D257F4">
        <w:rPr>
          <w:rFonts w:cs="Times New Roman"/>
        </w:rPr>
        <w:t>vailable at</w:t>
      </w:r>
      <w:r w:rsidRPr="001E4265">
        <w:rPr>
          <w:rFonts w:cs="Times New Roman"/>
        </w:rPr>
        <w:t xml:space="preserve"> </w:t>
      </w:r>
      <w:hyperlink r:id="rId2" w:history="1">
        <w:r w:rsidRPr="00066A2B">
          <w:rPr>
            <w:rStyle w:val="Hyperlink"/>
          </w:rPr>
          <w:t>http://www.eia.gov/electricity/data/eia861/</w:t>
        </w:r>
      </w:hyperlink>
      <w:r>
        <w:rPr>
          <w:rFonts w:cs="Times New Roman"/>
        </w:rPr>
        <w:t>.</w:t>
      </w:r>
    </w:p>
  </w:footnote>
  <w:footnote w:id="12">
    <w:p w14:paraId="44B40034" w14:textId="77777777" w:rsidR="00E44F68" w:rsidRPr="008D54D2" w:rsidRDefault="00E44F68" w:rsidP="00810FAC">
      <w:pPr>
        <w:pStyle w:val="FootnoteText"/>
        <w:rPr>
          <w:rFonts w:cs="Times New Roman"/>
        </w:rPr>
      </w:pPr>
      <w:r w:rsidRPr="008D54D2">
        <w:rPr>
          <w:rStyle w:val="FootnoteReference"/>
          <w:rFonts w:cs="Times New Roman"/>
        </w:rPr>
        <w:footnoteRef/>
      </w:r>
      <w:r w:rsidRPr="008D54D2">
        <w:rPr>
          <w:rFonts w:cs="Times New Roman"/>
        </w:rPr>
        <w:t xml:space="preserve"> The sub-form “Retail Sales 201</w:t>
      </w:r>
      <w:r>
        <w:rPr>
          <w:rFonts w:cs="Times New Roman"/>
        </w:rPr>
        <w:t>3</w:t>
      </w:r>
      <w:r w:rsidRPr="008D54D2">
        <w:rPr>
          <w:rFonts w:cs="Times New Roman"/>
        </w:rPr>
        <w:t>” is used to calculate electricity sales</w:t>
      </w:r>
      <w:r>
        <w:rPr>
          <w:rFonts w:cs="Times New Roman"/>
        </w:rPr>
        <w:t>. The sub-form contains details on utility electricity sales by service type (energy, delivery, and bundled) and by sector, within each state and territory. In addition, while EIA’s 861 survey encompasses most of each state’s utility sales</w:t>
      </w:r>
      <w:r w:rsidRPr="000308D3">
        <w:rPr>
          <w:rFonts w:cs="Times New Roman"/>
        </w:rPr>
        <w:t>, EIA makes an adjustment to account for the small remainder of data not included in each utility’s entry.</w:t>
      </w:r>
      <w:r>
        <w:rPr>
          <w:rFonts w:cs="Times New Roman"/>
        </w:rPr>
        <w:t xml:space="preserve"> The adjusted data for “delivery” and “bundled” sales from all sectors are used to calculate sales at the state and territory levels. </w:t>
      </w:r>
    </w:p>
  </w:footnote>
  <w:footnote w:id="13">
    <w:p w14:paraId="4878A33B" w14:textId="77777777" w:rsidR="00E44F68" w:rsidRPr="004841C8" w:rsidRDefault="00E44F68" w:rsidP="00810FAC">
      <w:pPr>
        <w:pStyle w:val="FootnoteText"/>
        <w:rPr>
          <w:rFonts w:cs="Times New Roman"/>
        </w:rPr>
      </w:pPr>
      <w:r w:rsidRPr="004841C8">
        <w:rPr>
          <w:rStyle w:val="FootnoteReference"/>
          <w:rFonts w:cs="Times New Roman"/>
        </w:rPr>
        <w:footnoteRef/>
      </w:r>
      <w:r w:rsidRPr="004841C8">
        <w:rPr>
          <w:rFonts w:cs="Times New Roman"/>
        </w:rPr>
        <w:t xml:space="preserve"> </w:t>
      </w:r>
      <w:r>
        <w:rPr>
          <w:rFonts w:cs="Times New Roman"/>
        </w:rPr>
        <w:t>I</w:t>
      </w:r>
      <w:r w:rsidRPr="004841C8">
        <w:rPr>
          <w:rFonts w:cs="Times New Roman"/>
        </w:rPr>
        <w:t>ncremental savings</w:t>
      </w:r>
      <w:r>
        <w:rPr>
          <w:rFonts w:cs="Times New Roman"/>
        </w:rPr>
        <w:t xml:space="preserve"> (also known as first-year savings) represent the reduction in electricity use in a given year associated with new EE activities in that same year</w:t>
      </w:r>
      <w:r w:rsidRPr="004B1294">
        <w:rPr>
          <w:rFonts w:cs="Times New Roman"/>
        </w:rPr>
        <w:t xml:space="preserve">, either </w:t>
      </w:r>
      <w:r w:rsidRPr="003E68DA">
        <w:rPr>
          <w:rFonts w:cs="Times New Roman"/>
        </w:rPr>
        <w:t>new participants in DSM programs that already existed in the previous year</w:t>
      </w:r>
      <w:r>
        <w:rPr>
          <w:rFonts w:cs="Times New Roman"/>
        </w:rPr>
        <w:t>s</w:t>
      </w:r>
      <w:r w:rsidRPr="003E68DA">
        <w:rPr>
          <w:rFonts w:cs="Times New Roman"/>
        </w:rPr>
        <w:t xml:space="preserve">, </w:t>
      </w:r>
      <w:r>
        <w:rPr>
          <w:rFonts w:cs="Times New Roman"/>
        </w:rPr>
        <w:t xml:space="preserve">or </w:t>
      </w:r>
      <w:r w:rsidRPr="003E68DA">
        <w:rPr>
          <w:rFonts w:cs="Times New Roman"/>
        </w:rPr>
        <w:t>new DSM programs that existed for the first time in the current year</w:t>
      </w:r>
      <w:r>
        <w:rPr>
          <w:rFonts w:cs="Times New Roman"/>
        </w:rPr>
        <w:t xml:space="preserve">. </w:t>
      </w:r>
    </w:p>
  </w:footnote>
  <w:footnote w:id="14">
    <w:p w14:paraId="571AEE31" w14:textId="77777777" w:rsidR="00E44F68" w:rsidRPr="004841C8" w:rsidRDefault="00E44F68" w:rsidP="00810FAC">
      <w:pPr>
        <w:pStyle w:val="FootnoteText"/>
        <w:rPr>
          <w:rFonts w:cs="Times New Roman"/>
        </w:rPr>
      </w:pPr>
      <w:r w:rsidRPr="004841C8">
        <w:rPr>
          <w:rStyle w:val="FootnoteReference"/>
          <w:rFonts w:cs="Times New Roman"/>
        </w:rPr>
        <w:footnoteRef/>
      </w:r>
      <w:r w:rsidRPr="004841C8">
        <w:rPr>
          <w:rFonts w:cs="Times New Roman"/>
        </w:rPr>
        <w:t xml:space="preserve"> </w:t>
      </w:r>
      <w:r>
        <w:rPr>
          <w:rFonts w:cs="Times New Roman"/>
        </w:rPr>
        <w:t>C</w:t>
      </w:r>
      <w:r w:rsidRPr="004841C8">
        <w:rPr>
          <w:rFonts w:cs="Times New Roman"/>
        </w:rPr>
        <w:t>umulative savings</w:t>
      </w:r>
      <w:r>
        <w:rPr>
          <w:rFonts w:cs="Times New Roman"/>
        </w:rPr>
        <w:t xml:space="preserve"> (also known as annual savings) represent the reduction in electricity use in a given year from EE activities in that year and all preceding years, taking into account the lifetimes of installed measures.</w:t>
      </w:r>
    </w:p>
  </w:footnote>
  <w:footnote w:id="15">
    <w:p w14:paraId="3F30ACE3" w14:textId="77777777" w:rsidR="00E44F68" w:rsidRPr="0068705B" w:rsidRDefault="00E44F68" w:rsidP="00E06161">
      <w:pPr>
        <w:pStyle w:val="FootnoteText"/>
      </w:pPr>
      <w:r>
        <w:rPr>
          <w:rStyle w:val="FootnoteReference"/>
        </w:rPr>
        <w:footnoteRef/>
      </w:r>
      <w:r>
        <w:t xml:space="preserve"> </w:t>
      </w:r>
      <w:r w:rsidRPr="003E68DA">
        <w:t xml:space="preserve">EPA </w:t>
      </w:r>
      <w:r>
        <w:t xml:space="preserve">recognizes concerns associated with consistency and quality of 861 data that </w:t>
      </w:r>
      <w:r w:rsidRPr="00DD187F">
        <w:t xml:space="preserve">different </w:t>
      </w:r>
      <w:r>
        <w:t xml:space="preserve">reporting entities </w:t>
      </w:r>
      <w:r w:rsidRPr="00DD187F">
        <w:t xml:space="preserve">may have </w:t>
      </w:r>
      <w:r>
        <w:t xml:space="preserve">used </w:t>
      </w:r>
      <w:r w:rsidRPr="00DD187F">
        <w:t xml:space="preserve">different </w:t>
      </w:r>
      <w:r>
        <w:t xml:space="preserve">methodologies </w:t>
      </w:r>
      <w:r w:rsidRPr="00DD187F">
        <w:t>to estimate savings</w:t>
      </w:r>
      <w:r>
        <w:t xml:space="preserve"> and the EIA 861 data are self-reported. O</w:t>
      </w:r>
      <w:r w:rsidRPr="00DD187F">
        <w:t>ver time</w:t>
      </w:r>
      <w:r>
        <w:t>,</w:t>
      </w:r>
      <w:r w:rsidRPr="00DD187F">
        <w:t xml:space="preserve"> there </w:t>
      </w:r>
      <w:r>
        <w:t>has been</w:t>
      </w:r>
      <w:r w:rsidRPr="00DD187F">
        <w:t xml:space="preserve"> increased standardization in data reporting</w:t>
      </w:r>
      <w:r>
        <w:t xml:space="preserve">. </w:t>
      </w:r>
      <w:r w:rsidRPr="003E68DA">
        <w:t xml:space="preserve">We </w:t>
      </w:r>
      <w:r>
        <w:t xml:space="preserve">believe </w:t>
      </w:r>
      <w:r w:rsidRPr="003E68DA">
        <w:t>his dataset remains the most comprehensive public</w:t>
      </w:r>
      <w:r>
        <w:t>ally available</w:t>
      </w:r>
      <w:r w:rsidRPr="003E68DA">
        <w:t xml:space="preserve"> dataset.</w:t>
      </w:r>
      <w:r>
        <w:t xml:space="preserve"> See section 3.10 for further discussion.</w:t>
      </w:r>
    </w:p>
  </w:footnote>
  <w:footnote w:id="16">
    <w:p w14:paraId="49654732" w14:textId="77777777" w:rsidR="00E44F68" w:rsidRDefault="00E44F68" w:rsidP="00810FAC">
      <w:pPr>
        <w:pStyle w:val="FootnoteText"/>
      </w:pPr>
      <w:r w:rsidRPr="004841C8">
        <w:rPr>
          <w:rStyle w:val="FootnoteReference"/>
          <w:rFonts w:cs="Times New Roman"/>
        </w:rPr>
        <w:footnoteRef/>
      </w:r>
      <w:r w:rsidRPr="004841C8">
        <w:rPr>
          <w:rFonts w:cs="Times New Roman"/>
        </w:rPr>
        <w:t xml:space="preserve"> LBNL</w:t>
      </w:r>
      <w:r>
        <w:rPr>
          <w:rFonts w:cs="Times New Roman"/>
        </w:rPr>
        <w:t xml:space="preserve"> </w:t>
      </w:r>
      <w:r w:rsidRPr="004841C8">
        <w:rPr>
          <w:rFonts w:cs="Times New Roman"/>
        </w:rPr>
        <w:t xml:space="preserve">provided </w:t>
      </w:r>
      <w:r>
        <w:rPr>
          <w:rFonts w:cs="Times New Roman"/>
        </w:rPr>
        <w:t>these unpublished results from their analysis.</w:t>
      </w:r>
    </w:p>
  </w:footnote>
  <w:footnote w:id="17">
    <w:p w14:paraId="4D6934FC" w14:textId="77777777" w:rsidR="00E44F68" w:rsidRPr="00F54E1C" w:rsidRDefault="00E44F68" w:rsidP="00810FAC">
      <w:pPr>
        <w:pStyle w:val="FootnoteText"/>
        <w:rPr>
          <w:rFonts w:cs="Times New Roman"/>
        </w:rPr>
      </w:pPr>
      <w:r w:rsidRPr="00F54E1C">
        <w:rPr>
          <w:rStyle w:val="FootnoteReference"/>
          <w:rFonts w:cs="Times New Roman"/>
        </w:rPr>
        <w:footnoteRef/>
      </w:r>
      <w:r w:rsidRPr="00F54E1C">
        <w:rPr>
          <w:rFonts w:cs="Times New Roman"/>
        </w:rPr>
        <w:t xml:space="preserve"> The definitions discussed below largely follow that outlined in </w:t>
      </w:r>
      <w:r>
        <w:rPr>
          <w:rFonts w:cs="Times New Roman"/>
        </w:rPr>
        <w:t>EPA and DOE</w:t>
      </w:r>
      <w:r w:rsidRPr="00F54E1C">
        <w:rPr>
          <w:rFonts w:cs="Times New Roman"/>
        </w:rPr>
        <w:t xml:space="preserve"> 2007</w:t>
      </w:r>
      <w:r>
        <w:rPr>
          <w:rFonts w:cs="Times New Roman"/>
        </w:rPr>
        <w:t>a.</w:t>
      </w:r>
    </w:p>
  </w:footnote>
  <w:footnote w:id="18">
    <w:p w14:paraId="58228FFF" w14:textId="77777777" w:rsidR="00E44F68" w:rsidRPr="00F54E1C" w:rsidRDefault="00E44F68">
      <w:pPr>
        <w:pStyle w:val="FootnoteText"/>
        <w:rPr>
          <w:rFonts w:cs="Times New Roman"/>
        </w:rPr>
      </w:pPr>
      <w:r w:rsidRPr="00F54E1C">
        <w:rPr>
          <w:rStyle w:val="FootnoteReference"/>
          <w:rFonts w:cs="Times New Roman"/>
        </w:rPr>
        <w:footnoteRef/>
      </w:r>
      <w:r w:rsidRPr="00F54E1C">
        <w:rPr>
          <w:rFonts w:cs="Times New Roman"/>
        </w:rPr>
        <w:t xml:space="preserve"> Each subsequent potential estimate described above is a subset of the previous potential estimate, e.g., the market potential is a subset of the economic potential, and the economic potential is a subset of the technical potential.</w:t>
      </w:r>
    </w:p>
  </w:footnote>
  <w:footnote w:id="19">
    <w:p w14:paraId="40FB0B6B" w14:textId="77777777" w:rsidR="00E44F68" w:rsidRDefault="00E44F68" w:rsidP="00810FAC">
      <w:pPr>
        <w:pStyle w:val="FootnoteText"/>
      </w:pPr>
      <w:r w:rsidRPr="003E68DA">
        <w:rPr>
          <w:rStyle w:val="FootnoteReference"/>
          <w:rFonts w:cs="Times New Roman"/>
        </w:rPr>
        <w:footnoteRef/>
      </w:r>
      <w:r w:rsidRPr="003E68DA">
        <w:rPr>
          <w:rFonts w:cs="Times New Roman"/>
        </w:rPr>
        <w:t xml:space="preserve"> Because of the complex consumer behavior, energy market and macroeconomic drivers of energy use and energy efficiency, and in some cases due to the lack of consistent data, quantifying energy efficiency potential and energy savings from policies and programs remains a challenging analytical task. Assumptions about consumer </w:t>
      </w:r>
      <w:r w:rsidRPr="00E47B8D">
        <w:rPr>
          <w:rFonts w:cs="Times New Roman"/>
        </w:rPr>
        <w:t>technology</w:t>
      </w:r>
      <w:r w:rsidRPr="00001BD3">
        <w:rPr>
          <w:rFonts w:cs="Times New Roman"/>
        </w:rPr>
        <w:t xml:space="preserve"> adoption behavior, market barriers and failures, and how technology diffusion occurs can also affect estimated potential. </w:t>
      </w:r>
    </w:p>
  </w:footnote>
  <w:footnote w:id="20">
    <w:p w14:paraId="79F1E348" w14:textId="26AB3E4D" w:rsidR="00E44F68" w:rsidRDefault="00E44F68">
      <w:pPr>
        <w:pStyle w:val="FootnoteText"/>
      </w:pPr>
      <w:r>
        <w:rPr>
          <w:rStyle w:val="FootnoteReference"/>
        </w:rPr>
        <w:footnoteRef/>
      </w:r>
      <w:r>
        <w:t xml:space="preserve">All 53 of the studies reported results for </w:t>
      </w:r>
      <w:r w:rsidRPr="00557C39">
        <w:rPr>
          <w:u w:val="single"/>
        </w:rPr>
        <w:t>all</w:t>
      </w:r>
      <w:r>
        <w:t xml:space="preserve"> sectors but many did not report results for one or more of the individual sectors. At least 30 studies reported results for each sector shown in the table. Because of this, the median value for the “low” data for all sectors is higher than the median value for any of the three sectors.</w:t>
      </w:r>
    </w:p>
  </w:footnote>
  <w:footnote w:id="21">
    <w:p w14:paraId="15704DCD" w14:textId="7EB0D051" w:rsidR="00303D9A" w:rsidRDefault="00303D9A">
      <w:pPr>
        <w:pStyle w:val="FootnoteText"/>
      </w:pPr>
      <w:r>
        <w:rPr>
          <w:rStyle w:val="FootnoteReference"/>
        </w:rPr>
        <w:footnoteRef/>
      </w:r>
      <w:r>
        <w:t xml:space="preserve"> “Negawatt” or “negawatt-hour” is a term sometimes used to refer to electricity demand or energy reductions achieved through energy efficiency.</w:t>
      </w:r>
    </w:p>
  </w:footnote>
  <w:footnote w:id="22">
    <w:p w14:paraId="4FA93213" w14:textId="77777777" w:rsidR="00E44F68" w:rsidRPr="00F54E1C" w:rsidRDefault="00E44F68" w:rsidP="00810FAC">
      <w:pPr>
        <w:pStyle w:val="FootnoteText"/>
        <w:rPr>
          <w:rFonts w:cs="Times New Roman"/>
        </w:rPr>
      </w:pPr>
      <w:r w:rsidRPr="00F54E1C">
        <w:rPr>
          <w:rStyle w:val="FootnoteReference"/>
          <w:rFonts w:cs="Times New Roman"/>
        </w:rPr>
        <w:footnoteRef/>
      </w:r>
      <w:r w:rsidRPr="00F54E1C">
        <w:rPr>
          <w:rFonts w:cs="Times New Roman"/>
        </w:rPr>
        <w:t xml:space="preserve"> Unless otherwise noted, estimates of LCSE discussed in this section refer to program administrator cost (also known as utility cost). The discount rates, average measure lives, and other assumptions affecting the calculation of LCSE were not </w:t>
      </w:r>
      <w:r>
        <w:rPr>
          <w:rFonts w:cs="Times New Roman"/>
        </w:rPr>
        <w:t xml:space="preserve">always </w:t>
      </w:r>
      <w:r w:rsidRPr="00F54E1C">
        <w:rPr>
          <w:rFonts w:cs="Times New Roman"/>
        </w:rPr>
        <w:t>consistent or reported in all studies.</w:t>
      </w:r>
    </w:p>
  </w:footnote>
  <w:footnote w:id="23">
    <w:p w14:paraId="28F2D28E" w14:textId="77777777" w:rsidR="00E44F68" w:rsidRDefault="00E44F68" w:rsidP="00810FAC">
      <w:pPr>
        <w:pStyle w:val="FootnoteText"/>
      </w:pPr>
      <w:r>
        <w:rPr>
          <w:rStyle w:val="FootnoteReference"/>
        </w:rPr>
        <w:footnoteRef/>
      </w:r>
      <w:r>
        <w:t xml:space="preserve"> The thermal performance of a building refers to how well the temperature of a building is insulated from the outside environment.</w:t>
      </w:r>
    </w:p>
  </w:footnote>
  <w:footnote w:id="24">
    <w:p w14:paraId="0684484A" w14:textId="77777777" w:rsidR="00E44F68" w:rsidRDefault="00E44F68" w:rsidP="00810FAC">
      <w:pPr>
        <w:pStyle w:val="FootnoteText"/>
      </w:pPr>
      <w:r>
        <w:rPr>
          <w:rStyle w:val="FootnoteReference"/>
        </w:rPr>
        <w:footnoteRef/>
      </w:r>
      <w:r>
        <w:t xml:space="preserve"> </w:t>
      </w:r>
      <w:r w:rsidRPr="00C2053D">
        <w:rPr>
          <w:szCs w:val="18"/>
        </w:rPr>
        <w:t>In a panic purchase, customers usually do not have the time to consider a range of models, features, and efficiency levels, and the full range may not be available from all suppliers.</w:t>
      </w:r>
    </w:p>
  </w:footnote>
  <w:footnote w:id="25">
    <w:p w14:paraId="1BD5E2ED" w14:textId="77777777" w:rsidR="00E44F68" w:rsidRDefault="00E44F68" w:rsidP="00810FAC">
      <w:pPr>
        <w:pStyle w:val="FootnoteText"/>
      </w:pPr>
      <w:r>
        <w:rPr>
          <w:rStyle w:val="FootnoteReference"/>
        </w:rPr>
        <w:footnoteRef/>
      </w:r>
      <w:r>
        <w:t xml:space="preserve"> DOE is required to review federal appliance standards and test procedures periodically, and initiate a process to set new standards provided that improvements to energy efficiency are "technically feasible and economically justified" (DOE 2015b).</w:t>
      </w:r>
    </w:p>
  </w:footnote>
  <w:footnote w:id="26">
    <w:p w14:paraId="776F5FBB" w14:textId="77777777" w:rsidR="00E44F68" w:rsidRDefault="00E44F68" w:rsidP="00810FAC">
      <w:pPr>
        <w:pStyle w:val="FootnoteText"/>
      </w:pPr>
      <w:r>
        <w:rPr>
          <w:rStyle w:val="FootnoteReference"/>
        </w:rPr>
        <w:footnoteRef/>
      </w:r>
      <w:r>
        <w:t xml:space="preserve"> These states include </w:t>
      </w:r>
      <w:r w:rsidRPr="00197612">
        <w:t xml:space="preserve">Arizona, California, Connecticut, Georgia, Maryland, Nevada, New Hampshire, New York, Oregon, Rhode Island, Texas, </w:t>
      </w:r>
      <w:r>
        <w:t xml:space="preserve">and </w:t>
      </w:r>
      <w:r w:rsidRPr="00197612">
        <w:t>Washington</w:t>
      </w:r>
      <w:r>
        <w:t>.</w:t>
      </w:r>
    </w:p>
  </w:footnote>
  <w:footnote w:id="27">
    <w:p w14:paraId="06B88DA3" w14:textId="77777777" w:rsidR="00E44F68" w:rsidRDefault="00E44F68" w:rsidP="00810FAC">
      <w:pPr>
        <w:pStyle w:val="FootnoteText"/>
      </w:pPr>
      <w:r>
        <w:rPr>
          <w:rStyle w:val="FootnoteReference"/>
        </w:rPr>
        <w:footnoteRef/>
      </w:r>
      <w:r>
        <w:t xml:space="preserve"> Wyoming currently has no performance contracting legislation.</w:t>
      </w:r>
    </w:p>
  </w:footnote>
  <w:footnote w:id="28">
    <w:p w14:paraId="711E4DB3" w14:textId="275D334F" w:rsidR="00E44F68" w:rsidRDefault="00E44F68" w:rsidP="00810FAC">
      <w:pPr>
        <w:pStyle w:val="FootnoteText"/>
      </w:pPr>
      <w:r>
        <w:rPr>
          <w:rStyle w:val="FootnoteReference"/>
        </w:rPr>
        <w:footnoteRef/>
      </w:r>
      <w:r>
        <w:t xml:space="preserve"> Reactive power is an inherent feature of alternating current systems, and is related to the phase shift between the current and voltage. Reactive power does no work, but is important for circuits that include </w:t>
      </w:r>
      <w:r w:rsidR="00655C9C">
        <w:t xml:space="preserve">capacitive and </w:t>
      </w:r>
      <w:r w:rsidR="00B63FC1">
        <w:t xml:space="preserve">inductive </w:t>
      </w:r>
      <w:r>
        <w:t>loads, most notably motors. It is measured in Volt-Ampere Reactive (VAR).</w:t>
      </w:r>
    </w:p>
  </w:footnote>
  <w:footnote w:id="29">
    <w:p w14:paraId="3297C1AA" w14:textId="77777777" w:rsidR="00E44F68" w:rsidRPr="007300F4" w:rsidRDefault="00E44F68" w:rsidP="007300F4">
      <w:pPr>
        <w:pStyle w:val="FootnoteText"/>
        <w:rPr>
          <w:rFonts w:cs="Times New Roman"/>
          <w:szCs w:val="18"/>
        </w:rPr>
      </w:pPr>
      <w:r w:rsidRPr="00196931">
        <w:rPr>
          <w:rStyle w:val="FootnoteReference"/>
          <w:rFonts w:cs="Times New Roman"/>
          <w:sz w:val="24"/>
          <w:szCs w:val="24"/>
        </w:rPr>
        <w:footnoteRef/>
      </w:r>
      <w:r w:rsidRPr="00196931">
        <w:rPr>
          <w:rFonts w:cs="Times New Roman"/>
        </w:rPr>
        <w:t xml:space="preserve"> For more information, see the New York Reforming Energy Vision proceeding </w:t>
      </w:r>
      <w:r w:rsidRPr="007300F4">
        <w:rPr>
          <w:rFonts w:cs="Times New Roman"/>
          <w:szCs w:val="18"/>
        </w:rPr>
        <w:t>(</w:t>
      </w:r>
      <w:hyperlink r:id="rId3" w:history="1">
        <w:r w:rsidRPr="007300F4">
          <w:rPr>
            <w:rStyle w:val="Hyperlink"/>
            <w:szCs w:val="18"/>
          </w:rPr>
          <w:t>http://www3.dps.ny.gov/W/PSCWeb.nsf/All/26BE8A93967E604785257CC40066B91A?OpenDocument</w:t>
        </w:r>
      </w:hyperlink>
      <w:r w:rsidRPr="007300F4">
        <w:rPr>
          <w:rFonts w:cs="Times New Roman"/>
          <w:szCs w:val="18"/>
        </w:rPr>
        <w:t>) and Summary from Hawaii PUC of the Commissions Inclinations on the Future of Hawaii’s Electric Utilities (</w:t>
      </w:r>
      <w:hyperlink r:id="rId4" w:history="1">
        <w:r w:rsidRPr="007300F4">
          <w:rPr>
            <w:rStyle w:val="Hyperlink"/>
            <w:szCs w:val="18"/>
          </w:rPr>
          <w:t>http://puc.hawaii.gov/wp-content/uploads/2014/04/Commissions-Inclinations.pdf</w:t>
        </w:r>
      </w:hyperlink>
      <w:r w:rsidRPr="007300F4">
        <w:rPr>
          <w:rFonts w:cs="Times New Roman"/>
          <w:szCs w:val="18"/>
        </w:rPr>
        <w:t>).</w:t>
      </w:r>
    </w:p>
  </w:footnote>
  <w:footnote w:id="30">
    <w:p w14:paraId="02ED777F" w14:textId="77777777" w:rsidR="00E44F68" w:rsidRPr="00A257A3" w:rsidRDefault="00E44F68" w:rsidP="007300F4">
      <w:pPr>
        <w:pStyle w:val="FootnoteText"/>
      </w:pPr>
      <w:r w:rsidRPr="00A257A3">
        <w:rPr>
          <w:rStyle w:val="FootnoteReference"/>
          <w:rFonts w:cs="Times New Roman"/>
          <w:sz w:val="24"/>
          <w:szCs w:val="24"/>
        </w:rPr>
        <w:footnoteRef/>
      </w:r>
      <w:r w:rsidRPr="00A257A3">
        <w:t xml:space="preserve"> Many terms have been used or suggested including </w:t>
      </w:r>
      <w:r>
        <w:t xml:space="preserve">energy efficiency certificates, </w:t>
      </w:r>
      <w:r w:rsidRPr="00A257A3">
        <w:t xml:space="preserve">energy savings certificates, white tags, </w:t>
      </w:r>
      <w:r>
        <w:t xml:space="preserve">and </w:t>
      </w:r>
      <w:r w:rsidRPr="00A257A3">
        <w:t>white certificates.</w:t>
      </w:r>
    </w:p>
  </w:footnote>
  <w:footnote w:id="31">
    <w:p w14:paraId="6B0DE35B" w14:textId="77777777" w:rsidR="00E44F68" w:rsidRPr="00196931" w:rsidRDefault="00E44F68" w:rsidP="007300F4">
      <w:pPr>
        <w:pStyle w:val="FootnoteText"/>
      </w:pPr>
      <w:r w:rsidRPr="00196931">
        <w:rPr>
          <w:rStyle w:val="FootnoteReference"/>
          <w:rFonts w:cs="Times New Roman"/>
          <w:sz w:val="24"/>
          <w:szCs w:val="24"/>
        </w:rPr>
        <w:footnoteRef/>
      </w:r>
      <w:r w:rsidRPr="00196931">
        <w:t xml:space="preserve"> These states include Connecticut</w:t>
      </w:r>
      <w:r w:rsidRPr="003F01E1">
        <w:t>, Michigan, and North Carolina.</w:t>
      </w:r>
    </w:p>
  </w:footnote>
  <w:footnote w:id="32">
    <w:p w14:paraId="0ED7F7F3" w14:textId="77777777" w:rsidR="00E44F68" w:rsidRPr="00196931" w:rsidRDefault="00E44F68" w:rsidP="007300F4">
      <w:pPr>
        <w:pStyle w:val="FootnoteText"/>
      </w:pPr>
      <w:r w:rsidRPr="00196931">
        <w:rPr>
          <w:rStyle w:val="FootnoteReference"/>
          <w:rFonts w:cs="Times New Roman"/>
          <w:sz w:val="24"/>
          <w:szCs w:val="24"/>
        </w:rPr>
        <w:footnoteRef/>
      </w:r>
      <w:r w:rsidRPr="00196931">
        <w:t xml:space="preserve"> NEPOOL Generation Information System issues energy efficiency certificates for CT. PJM Generation Attribute Tracking System issues energy efficiency certificates for PA. NC Renewable Energy Tracking System allows energy efficiency to count tow</w:t>
      </w:r>
      <w:r w:rsidRPr="003F01E1">
        <w:t>ards compliance with the NC RPS.</w:t>
      </w:r>
    </w:p>
  </w:footnote>
  <w:footnote w:id="33">
    <w:p w14:paraId="0E4FE040" w14:textId="77777777" w:rsidR="00E44F68" w:rsidRDefault="00E44F68" w:rsidP="00E4432E">
      <w:pPr>
        <w:pStyle w:val="FootnoteText"/>
      </w:pPr>
      <w:r w:rsidRPr="00B209ED">
        <w:rPr>
          <w:rStyle w:val="FootnoteReference"/>
          <w:rFonts w:ascii="Courier New" w:hAnsi="Courier New" w:cs="Courier New"/>
        </w:rPr>
        <w:footnoteRef/>
      </w:r>
      <w:r w:rsidRPr="00B209ED">
        <w:t xml:space="preserve"> From 2005-2009, electricity savings met 77% of the overall energy</w:t>
      </w:r>
      <w:r w:rsidRPr="00FC4FB5">
        <w:t xml:space="preserve"> savings targets, as reported in The Fifth National Communication under the UN Framework Convention on Climate Change, submitted by Italy in November 2009.</w:t>
      </w:r>
    </w:p>
  </w:footnote>
  <w:footnote w:id="34">
    <w:p w14:paraId="295AA8DB" w14:textId="77777777" w:rsidR="00E44F68" w:rsidRPr="00292DE8" w:rsidRDefault="00E44F68">
      <w:pPr>
        <w:pStyle w:val="FootnoteText"/>
        <w:rPr>
          <w:rFonts w:cs="Times New Roman"/>
        </w:rPr>
      </w:pPr>
      <w:r w:rsidRPr="00292DE8">
        <w:rPr>
          <w:rStyle w:val="FootnoteReference"/>
          <w:rFonts w:cs="Times New Roman"/>
        </w:rPr>
        <w:footnoteRef/>
      </w:r>
      <w:r w:rsidRPr="00292DE8">
        <w:rPr>
          <w:rFonts w:cs="Times New Roman"/>
        </w:rPr>
        <w:t xml:space="preserve"> Estimates of cumulative savings impacts in a given year are derived from incremental savings values and information on measure lives</w:t>
      </w:r>
      <w:r>
        <w:rPr>
          <w:rFonts w:cs="Times New Roman"/>
        </w:rPr>
        <w:t xml:space="preserve">. </w:t>
      </w:r>
      <w:r w:rsidRPr="00292DE8">
        <w:rPr>
          <w:rFonts w:cs="Times New Roman"/>
        </w:rPr>
        <w:t>Information on measure lives is less consistently gathered than is information on incremental savings values.</w:t>
      </w:r>
    </w:p>
  </w:footnote>
  <w:footnote w:id="35">
    <w:p w14:paraId="160C967A" w14:textId="77777777" w:rsidR="00E44F68" w:rsidRPr="004841C8" w:rsidRDefault="00E44F68" w:rsidP="00810FAC">
      <w:pPr>
        <w:pStyle w:val="FootnoteText"/>
        <w:rPr>
          <w:rFonts w:cs="Times New Roman"/>
        </w:rPr>
      </w:pPr>
      <w:r w:rsidRPr="004841C8">
        <w:rPr>
          <w:rStyle w:val="FootnoteReference"/>
          <w:rFonts w:cs="Times New Roman"/>
        </w:rPr>
        <w:footnoteRef/>
      </w:r>
      <w:r w:rsidRPr="004841C8">
        <w:rPr>
          <w:rFonts w:cs="Times New Roman"/>
        </w:rPr>
        <w:t xml:space="preserve"> EIA 861 was the primary data source</w:t>
      </w:r>
      <w:r>
        <w:rPr>
          <w:rFonts w:cs="Times New Roman"/>
        </w:rPr>
        <w:t>; h</w:t>
      </w:r>
      <w:r w:rsidRPr="004841C8">
        <w:rPr>
          <w:rFonts w:cs="Times New Roman"/>
        </w:rPr>
        <w:t xml:space="preserve">owever, EIA 861 data </w:t>
      </w:r>
      <w:r>
        <w:rPr>
          <w:rFonts w:cs="Times New Roman"/>
        </w:rPr>
        <w:t xml:space="preserve">was supplemented </w:t>
      </w:r>
      <w:r w:rsidRPr="004841C8">
        <w:rPr>
          <w:rFonts w:cs="Times New Roman"/>
        </w:rPr>
        <w:t>with data for third</w:t>
      </w:r>
      <w:r>
        <w:rPr>
          <w:rFonts w:cs="Times New Roman"/>
        </w:rPr>
        <w:t>-</w:t>
      </w:r>
      <w:r w:rsidRPr="004841C8">
        <w:rPr>
          <w:rFonts w:cs="Times New Roman"/>
        </w:rPr>
        <w:t>party program administrators</w:t>
      </w:r>
      <w:r>
        <w:rPr>
          <w:rFonts w:cs="Times New Roman"/>
        </w:rPr>
        <w:t xml:space="preserve">. Prior to 2011 </w:t>
      </w:r>
      <w:r w:rsidRPr="004841C8">
        <w:rPr>
          <w:rFonts w:cs="Times New Roman"/>
        </w:rPr>
        <w:t xml:space="preserve">EIA </w:t>
      </w:r>
      <w:r>
        <w:rPr>
          <w:rFonts w:cs="Times New Roman"/>
        </w:rPr>
        <w:t>did not collect data from third-party program administrators.</w:t>
      </w:r>
    </w:p>
  </w:footnote>
  <w:footnote w:id="36">
    <w:p w14:paraId="7BF593A5" w14:textId="77777777" w:rsidR="00E44F68" w:rsidRPr="00764153" w:rsidRDefault="00E44F68" w:rsidP="00810FAC">
      <w:pPr>
        <w:pStyle w:val="FootnoteText"/>
        <w:rPr>
          <w:rFonts w:cs="Times New Roman"/>
        </w:rPr>
      </w:pPr>
      <w:r w:rsidRPr="00764153">
        <w:rPr>
          <w:rStyle w:val="FootnoteReference"/>
          <w:rFonts w:cs="Times New Roman"/>
        </w:rPr>
        <w:footnoteRef/>
      </w:r>
      <w:r w:rsidRPr="00764153">
        <w:rPr>
          <w:rFonts w:cs="Times New Roman"/>
        </w:rPr>
        <w:t xml:space="preserve"> The method used for the cluster analysis is the </w:t>
      </w:r>
      <w:r w:rsidRPr="00764153">
        <w:rPr>
          <w:rFonts w:cs="Times New Roman"/>
          <w:i/>
        </w:rPr>
        <w:t>k</w:t>
      </w:r>
      <w:r w:rsidRPr="00764153">
        <w:rPr>
          <w:rFonts w:cs="Times New Roman"/>
        </w:rPr>
        <w:t xml:space="preserve">-means approach. The method starts with assignment of each data point to a cluster so as to minimize the distance of cluster members from the center of the cluster, which is designated randomly. In essence, the method seeks to minimize differences within each cluster and maximize differences among the clusters. In this case, the programs within each cluster would have similar lifetimes and program types. </w:t>
      </w:r>
    </w:p>
  </w:footnote>
  <w:footnote w:id="37">
    <w:p w14:paraId="172E0C2B" w14:textId="77777777" w:rsidR="00E44F68" w:rsidRPr="00021968" w:rsidRDefault="00E44F68">
      <w:pPr>
        <w:pStyle w:val="FootnoteText"/>
        <w:rPr>
          <w:rFonts w:cs="Times New Roman"/>
        </w:rPr>
      </w:pPr>
      <w:r w:rsidRPr="00021968">
        <w:rPr>
          <w:rStyle w:val="FootnoteReference"/>
          <w:rFonts w:cs="Times New Roman"/>
        </w:rPr>
        <w:footnoteRef/>
      </w:r>
      <w:r w:rsidRPr="00021968">
        <w:rPr>
          <w:rFonts w:cs="Times New Roman"/>
        </w:rPr>
        <w:t xml:space="preserve"> NPCC’s resource plans cover Idaho, Oregon, and Washington in their entirety, and western regions of Montana and Wyoming.</w:t>
      </w:r>
    </w:p>
  </w:footnote>
  <w:footnote w:id="38">
    <w:p w14:paraId="5C957E66" w14:textId="77777777" w:rsidR="00E44F68" w:rsidRPr="00A3425B" w:rsidRDefault="00E44F68">
      <w:pPr>
        <w:pStyle w:val="FootnoteText"/>
        <w:rPr>
          <w:rFonts w:cs="Times New Roman"/>
        </w:rPr>
      </w:pPr>
      <w:r w:rsidRPr="00A3425B">
        <w:rPr>
          <w:rStyle w:val="FootnoteReference"/>
          <w:rFonts w:cs="Times New Roman"/>
        </w:rPr>
        <w:footnoteRef/>
      </w:r>
      <w:r w:rsidRPr="00A3425B">
        <w:rPr>
          <w:rFonts w:cs="Times New Roman"/>
        </w:rPr>
        <w:t xml:space="preserve"> “Net costs” refers to costs per electricity saved after accounting for effects of free-ridership on those savings</w:t>
      </w:r>
      <w:r>
        <w:rPr>
          <w:rFonts w:cs="Times New Roman"/>
        </w:rPr>
        <w:t xml:space="preserve">. </w:t>
      </w:r>
      <w:r w:rsidRPr="00A3425B">
        <w:rPr>
          <w:rFonts w:cs="Times New Roman"/>
        </w:rPr>
        <w:t>Depending upon the state, spillover effects may also be accounted for in net costs.</w:t>
      </w:r>
    </w:p>
  </w:footnote>
  <w:footnote w:id="39">
    <w:p w14:paraId="6E1EF268" w14:textId="77777777" w:rsidR="00E44F68" w:rsidRPr="00A3425B" w:rsidRDefault="00E44F68" w:rsidP="00810FAC">
      <w:pPr>
        <w:pStyle w:val="FootnoteText"/>
        <w:rPr>
          <w:rFonts w:cs="Times New Roman"/>
        </w:rPr>
      </w:pPr>
      <w:r w:rsidRPr="00A3425B">
        <w:rPr>
          <w:rStyle w:val="FootnoteReference"/>
          <w:rFonts w:cs="Times New Roman"/>
        </w:rPr>
        <w:footnoteRef/>
      </w:r>
      <w:r w:rsidRPr="00A3425B">
        <w:rPr>
          <w:rFonts w:cs="Times New Roman"/>
        </w:rPr>
        <w:t xml:space="preserve"> “Gross savings” refers to electricity savings before any accounting for effects of free-ridership or spillover.</w:t>
      </w:r>
    </w:p>
  </w:footnote>
  <w:footnote w:id="40">
    <w:p w14:paraId="34467A71" w14:textId="77777777" w:rsidR="00E44F68" w:rsidRDefault="00E44F68" w:rsidP="00810FAC">
      <w:pPr>
        <w:pStyle w:val="FootnoteText"/>
      </w:pPr>
      <w:r>
        <w:rPr>
          <w:rStyle w:val="FootnoteReference"/>
        </w:rPr>
        <w:footnoteRef/>
      </w:r>
      <w:r>
        <w:t xml:space="preserve"> </w:t>
      </w:r>
      <w:r w:rsidRPr="00965270">
        <w:t>Source: BEA National Income and Product Accounts Table 1.5.4 Price Indexes for Gross Domestic Product (version revised on March 27, 2015).</w:t>
      </w:r>
    </w:p>
  </w:footnote>
  <w:footnote w:id="41">
    <w:p w14:paraId="0ED401DE" w14:textId="77777777" w:rsidR="00E44F68" w:rsidRPr="00311E15" w:rsidRDefault="00E44F68" w:rsidP="00311E15">
      <w:pPr>
        <w:pStyle w:val="FootnoteText"/>
        <w:rPr>
          <w:rFonts w:cs="Times New Roman"/>
          <w:szCs w:val="18"/>
        </w:rPr>
      </w:pPr>
      <w:r w:rsidRPr="006D1F1E">
        <w:rPr>
          <w:rStyle w:val="FootnoteReference"/>
          <w:rFonts w:cs="Times New Roman"/>
        </w:rPr>
        <w:footnoteRef/>
      </w:r>
      <w:r w:rsidRPr="006D1F1E">
        <w:rPr>
          <w:rFonts w:cs="Times New Roman"/>
        </w:rPr>
        <w:t xml:space="preserve"> </w:t>
      </w:r>
      <w:r w:rsidRPr="00885ACB">
        <w:rPr>
          <w:rFonts w:cs="Times New Roman"/>
        </w:rPr>
        <w:t>More information on EIA Form 861 can be found at</w:t>
      </w:r>
      <w:r>
        <w:rPr>
          <w:rFonts w:cs="Times New Roman"/>
        </w:rPr>
        <w:t xml:space="preserve"> </w:t>
      </w:r>
      <w:hyperlink r:id="rId5" w:history="1">
        <w:r w:rsidRPr="00311E15">
          <w:rPr>
            <w:rStyle w:val="Hyperlink"/>
            <w:szCs w:val="18"/>
          </w:rPr>
          <w:t>http://www.eia.gov/electricity/data/eia861/</w:t>
        </w:r>
      </w:hyperlink>
      <w:r w:rsidRPr="00311E15">
        <w:rPr>
          <w:szCs w:val="18"/>
        </w:rPr>
        <w:t>.</w:t>
      </w:r>
    </w:p>
  </w:footnote>
  <w:footnote w:id="42">
    <w:p w14:paraId="765859B1" w14:textId="77777777" w:rsidR="00E44F68" w:rsidRPr="00311E15" w:rsidRDefault="00E44F68" w:rsidP="00810FAC">
      <w:pPr>
        <w:pStyle w:val="FootnoteText"/>
        <w:rPr>
          <w:rFonts w:cs="Times New Roman"/>
          <w:szCs w:val="18"/>
        </w:rPr>
      </w:pPr>
      <w:r w:rsidRPr="00311E15">
        <w:rPr>
          <w:rStyle w:val="FootnoteReference"/>
          <w:rFonts w:cs="Times New Roman"/>
          <w:szCs w:val="18"/>
        </w:rPr>
        <w:footnoteRef/>
      </w:r>
      <w:r w:rsidRPr="00311E15">
        <w:rPr>
          <w:rFonts w:cs="Times New Roman"/>
          <w:szCs w:val="18"/>
        </w:rPr>
        <w:t xml:space="preserve"> See, for example, ACEEE 2014c and CEE 2015.</w:t>
      </w:r>
    </w:p>
  </w:footnote>
  <w:footnote w:id="43">
    <w:p w14:paraId="3675D669" w14:textId="77777777" w:rsidR="00E44F68" w:rsidRPr="0059410A" w:rsidRDefault="00E44F68" w:rsidP="00810FAC">
      <w:pPr>
        <w:pStyle w:val="FootnoteText"/>
        <w:rPr>
          <w:rFonts w:cs="Times New Roman"/>
        </w:rPr>
      </w:pPr>
      <w:r w:rsidRPr="0059410A">
        <w:rPr>
          <w:rStyle w:val="FootnoteReference"/>
          <w:rFonts w:cs="Times New Roman"/>
        </w:rPr>
        <w:footnoteRef/>
      </w:r>
      <w:r w:rsidRPr="0059410A">
        <w:rPr>
          <w:rFonts w:cs="Times New Roman"/>
        </w:rPr>
        <w:t xml:space="preserve"> The EIA 861 was the main data source</w:t>
      </w:r>
      <w:r>
        <w:rPr>
          <w:rFonts w:cs="Times New Roman"/>
        </w:rPr>
        <w:t xml:space="preserve"> (EIA 2012a)</w:t>
      </w:r>
      <w:r w:rsidRPr="0059410A">
        <w:rPr>
          <w:rFonts w:cs="Times New Roman"/>
        </w:rPr>
        <w:t>. However, we have supplemented the EIA 861 with third</w:t>
      </w:r>
      <w:r>
        <w:rPr>
          <w:rFonts w:cs="Times New Roman"/>
        </w:rPr>
        <w:t>-</w:t>
      </w:r>
      <w:r w:rsidRPr="0059410A">
        <w:rPr>
          <w:rFonts w:cs="Times New Roman"/>
        </w:rPr>
        <w:t>party program administrator data because the EIA 861 just started to collect third</w:t>
      </w:r>
      <w:r>
        <w:rPr>
          <w:rFonts w:cs="Times New Roman"/>
        </w:rPr>
        <w:t>-</w:t>
      </w:r>
      <w:r w:rsidRPr="0059410A">
        <w:rPr>
          <w:rFonts w:cs="Times New Roman"/>
        </w:rPr>
        <w:t>party admini</w:t>
      </w:r>
      <w:r>
        <w:rPr>
          <w:rFonts w:cs="Times New Roman"/>
        </w:rPr>
        <w:t>strator data in 2011. The third-</w:t>
      </w:r>
      <w:r w:rsidRPr="0059410A">
        <w:rPr>
          <w:rFonts w:cs="Times New Roman"/>
        </w:rPr>
        <w:t>party entities included in our analysis are Efficiency Vermont, Energy Trust of Oregon, Efficiency Maine Trust, and Cape Light Compact</w:t>
      </w:r>
      <w:r>
        <w:rPr>
          <w:rFonts w:cs="Times New Roman"/>
        </w:rPr>
        <w:t xml:space="preserve">. </w:t>
      </w:r>
      <w:r w:rsidRPr="0059410A">
        <w:rPr>
          <w:rFonts w:cs="Times New Roman"/>
        </w:rPr>
        <w:t>In addition, we supplemented the EIA 861 database with additional data for two utilities that we found achieved high energy savings, but did not report savings data in the EIA 861 data for one or two years. These entities are Burlington Electric and Massachusetts Electric Company (now part of National Grid)</w:t>
      </w:r>
      <w:r>
        <w:rPr>
          <w:rFonts w:cs="Times New Roman"/>
        </w:rPr>
        <w:t xml:space="preserve">. </w:t>
      </w:r>
      <w:r w:rsidRPr="0059410A">
        <w:rPr>
          <w:rFonts w:cs="Times New Roman"/>
        </w:rPr>
        <w:t xml:space="preserve"> </w:t>
      </w:r>
    </w:p>
  </w:footnote>
  <w:footnote w:id="44">
    <w:p w14:paraId="61AF3E67" w14:textId="77777777" w:rsidR="00E44F68" w:rsidRDefault="00E44F68" w:rsidP="00810FAC">
      <w:pPr>
        <w:pStyle w:val="FootnoteText"/>
      </w:pPr>
      <w:r w:rsidRPr="0059410A">
        <w:rPr>
          <w:rStyle w:val="FootnoteReference"/>
          <w:rFonts w:cs="Times New Roman"/>
        </w:rPr>
        <w:footnoteRef/>
      </w:r>
      <w:r w:rsidRPr="0059410A">
        <w:rPr>
          <w:rFonts w:cs="Times New Roman"/>
        </w:rPr>
        <w:t xml:space="preserve"> In </w:t>
      </w:r>
      <w:r>
        <w:rPr>
          <w:rFonts w:cs="Times New Roman"/>
        </w:rPr>
        <w:t>addition to these maximum first-</w:t>
      </w:r>
      <w:r w:rsidRPr="0059410A">
        <w:rPr>
          <w:rFonts w:cs="Times New Roman"/>
        </w:rPr>
        <w:t xml:space="preserve">year savings thresholds, we screened program administrators for the following conditions: (a) the maximum savings levels occurs after the minimum savings levels; (b) sufficient amounts </w:t>
      </w:r>
      <w:r>
        <w:rPr>
          <w:rFonts w:cs="Times New Roman"/>
        </w:rPr>
        <w:t>of increase in first-</w:t>
      </w:r>
      <w:r w:rsidRPr="0059410A">
        <w:rPr>
          <w:rFonts w:cs="Times New Roman"/>
        </w:rPr>
        <w:t>year savings are provided to evaluate reasonable ramp-up schedules t</w:t>
      </w:r>
      <w:r>
        <w:rPr>
          <w:rFonts w:cs="Times New Roman"/>
        </w:rPr>
        <w:t>o gain an incremental 1% first-</w:t>
      </w:r>
      <w:r w:rsidRPr="0059410A">
        <w:rPr>
          <w:rFonts w:cs="Times New Roman"/>
        </w:rPr>
        <w:t>year savings; and (c) savings data series are continuous between the years for the minimum and maximum savings levels.</w:t>
      </w:r>
    </w:p>
  </w:footnote>
  <w:footnote w:id="45">
    <w:p w14:paraId="1AF9E178" w14:textId="77777777" w:rsidR="00E44F68" w:rsidRPr="0059410A" w:rsidRDefault="00E44F68" w:rsidP="00810FAC">
      <w:pPr>
        <w:pStyle w:val="FootnoteText"/>
        <w:rPr>
          <w:rFonts w:cs="Times New Roman"/>
        </w:rPr>
      </w:pPr>
      <w:r w:rsidRPr="0059410A">
        <w:rPr>
          <w:rStyle w:val="FootnoteReference"/>
          <w:rFonts w:cs="Times New Roman"/>
        </w:rPr>
        <w:footnoteRef/>
      </w:r>
      <w:r w:rsidRPr="0059410A">
        <w:rPr>
          <w:rFonts w:cs="Times New Roman"/>
        </w:rPr>
        <w:t xml:space="preserve"> This is a simple average estimate of the annual average increase in first-year savings from each entity in this group.</w:t>
      </w:r>
    </w:p>
  </w:footnote>
  <w:footnote w:id="46">
    <w:p w14:paraId="7F4B6938" w14:textId="77777777" w:rsidR="00E44F68" w:rsidRPr="0059410A" w:rsidRDefault="00E44F68" w:rsidP="00810FAC">
      <w:pPr>
        <w:pStyle w:val="FootnoteText"/>
        <w:rPr>
          <w:rFonts w:cs="Times New Roman"/>
        </w:rPr>
      </w:pPr>
      <w:r w:rsidRPr="0059410A">
        <w:rPr>
          <w:rStyle w:val="FootnoteReference"/>
          <w:rFonts w:cs="Times New Roman"/>
        </w:rPr>
        <w:footnoteRef/>
      </w:r>
      <w:r w:rsidRPr="0059410A">
        <w:rPr>
          <w:rFonts w:cs="Times New Roman"/>
        </w:rPr>
        <w:t xml:space="preserve"> This is the simple average estimate of the annual average increase in first-year savings from each entity in this group.</w:t>
      </w:r>
    </w:p>
  </w:footnote>
  <w:footnote w:id="47">
    <w:p w14:paraId="0B108521" w14:textId="77777777" w:rsidR="00E44F68" w:rsidRPr="0059410A" w:rsidRDefault="00E44F68" w:rsidP="00810FAC">
      <w:pPr>
        <w:pStyle w:val="FootnoteText"/>
        <w:rPr>
          <w:rFonts w:cs="Times New Roman"/>
        </w:rPr>
      </w:pPr>
      <w:r w:rsidRPr="0059410A">
        <w:rPr>
          <w:rStyle w:val="FootnoteReference"/>
          <w:rFonts w:cs="Times New Roman"/>
        </w:rPr>
        <w:footnoteRef/>
      </w:r>
      <w:r w:rsidRPr="00F248B6">
        <w:rPr>
          <w:rFonts w:cs="Times New Roman"/>
        </w:rPr>
        <w:t xml:space="preserve"> Data sources: </w:t>
      </w:r>
      <w:r w:rsidRPr="0059410A">
        <w:rPr>
          <w:rFonts w:cs="Times New Roman"/>
        </w:rPr>
        <w:t>The EIA 861 was the main data source</w:t>
      </w:r>
      <w:r>
        <w:rPr>
          <w:rFonts w:cs="Times New Roman"/>
        </w:rPr>
        <w:t xml:space="preserve"> (EIA 2012a)</w:t>
      </w:r>
      <w:r w:rsidRPr="0059410A">
        <w:rPr>
          <w:rFonts w:cs="Times New Roman"/>
        </w:rPr>
        <w:t>. However, we have supplemented the EIA 861 with third</w:t>
      </w:r>
      <w:r>
        <w:rPr>
          <w:rFonts w:cs="Times New Roman"/>
        </w:rPr>
        <w:t>-</w:t>
      </w:r>
      <w:r w:rsidRPr="0059410A">
        <w:rPr>
          <w:rFonts w:cs="Times New Roman"/>
        </w:rPr>
        <w:t>party program administrator data because the EIA 861 just started to collect third</w:t>
      </w:r>
      <w:r>
        <w:rPr>
          <w:rFonts w:cs="Times New Roman"/>
        </w:rPr>
        <w:t>-</w:t>
      </w:r>
      <w:r w:rsidRPr="0059410A">
        <w:rPr>
          <w:rFonts w:cs="Times New Roman"/>
        </w:rPr>
        <w:t>party admini</w:t>
      </w:r>
      <w:r>
        <w:rPr>
          <w:rFonts w:cs="Times New Roman"/>
        </w:rPr>
        <w:t>strator data in 2011. The third-</w:t>
      </w:r>
      <w:r w:rsidRPr="0059410A">
        <w:rPr>
          <w:rFonts w:cs="Times New Roman"/>
        </w:rPr>
        <w:t>party entities included in our analysis are Efficiency Vermont, Energy Trust of Oregon, Efficiency Maine Trust, and Cape Light Compact</w:t>
      </w:r>
      <w:r>
        <w:rPr>
          <w:rFonts w:cs="Times New Roman"/>
        </w:rPr>
        <w:t xml:space="preserve">. </w:t>
      </w:r>
      <w:r w:rsidRPr="0059410A">
        <w:rPr>
          <w:rFonts w:cs="Times New Roman"/>
        </w:rPr>
        <w:t>In addition, we supplemented the EIA 861 database with additional data for two utilities that we found achieved high energy savings, but did not report savings data in the EIA 861 data for one or two years. These entities are Burlington Electric and Massachusetts Electric Company (now part of National Grid)</w:t>
      </w:r>
      <w:r>
        <w:rPr>
          <w:rFonts w:cs="Times New Roman"/>
        </w:rPr>
        <w:t xml:space="preserve">. </w:t>
      </w:r>
      <w:r w:rsidRPr="0059410A">
        <w:rPr>
          <w:rFonts w:cs="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70CE8" w14:textId="60A2FA23" w:rsidR="00E44F68" w:rsidRPr="0097443E" w:rsidRDefault="00E44F68" w:rsidP="0097443E">
    <w:pPr>
      <w:jc w:val="center"/>
      <w:rPr>
        <w:rFonts w:ascii="Times New Roman" w:hAnsi="Times New Roman" w:cs="Times New Roman"/>
        <w:b/>
        <w:i/>
        <w:sz w:val="28"/>
        <w:szCs w:val="28"/>
      </w:rPr>
    </w:pPr>
    <w:r w:rsidRPr="0091274B">
      <w:rPr>
        <w:rFonts w:ascii="Times New Roman" w:hAnsi="Times New Roman" w:cs="Times New Roman"/>
        <w:b/>
        <w:sz w:val="28"/>
        <w:szCs w:val="28"/>
      </w:rPr>
      <w:t>Contents</w:t>
    </w:r>
    <w:r>
      <w:rPr>
        <w:rFonts w:ascii="Times New Roman" w:hAnsi="Times New Roman" w:cs="Times New Roman"/>
        <w:b/>
        <w:sz w:val="28"/>
        <w:szCs w:val="28"/>
      </w:rPr>
      <w:t xml:space="preserve"> </w:t>
    </w:r>
    <w:r w:rsidRPr="0097443E">
      <w:rPr>
        <w:rFonts w:ascii="Times New Roman" w:hAnsi="Times New Roman" w:cs="Times New Roman"/>
        <w:b/>
        <w:i/>
        <w:sz w:val="28"/>
        <w:szCs w:val="28"/>
      </w:rPr>
      <w:t>(Continued)</w:t>
    </w:r>
  </w:p>
  <w:p w14:paraId="55C6D089" w14:textId="77777777" w:rsidR="00E44F68" w:rsidRDefault="00E44F68" w:rsidP="0097443E"/>
  <w:p w14:paraId="473AF0B6" w14:textId="77777777" w:rsidR="00E44F68" w:rsidRPr="0097443E" w:rsidRDefault="00E44F68" w:rsidP="0097443E">
    <w:pPr>
      <w:spacing w:after="240"/>
      <w:jc w:val="right"/>
      <w:rPr>
        <w:rFonts w:ascii="Times New Roman" w:hAnsi="Times New Roman" w:cs="Times New Roman"/>
        <w:b/>
        <w:sz w:val="24"/>
        <w:szCs w:val="24"/>
      </w:rPr>
    </w:pPr>
    <w:r w:rsidRPr="0097443E">
      <w:rPr>
        <w:rFonts w:ascii="Times New Roman" w:hAnsi="Times New Roman" w:cs="Times New Roman"/>
        <w:b/>
        <w:sz w:val="24"/>
        <w:szCs w:val="24"/>
      </w:rPr>
      <w:t>Page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0259F" w14:textId="77777777" w:rsidR="00E44F68" w:rsidRDefault="00E44F6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2E761" w14:textId="77777777" w:rsidR="00E44F68" w:rsidRDefault="00E44F6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F0D0E" w14:textId="5AAF77E3" w:rsidR="00E44F68" w:rsidRPr="00B562BA" w:rsidRDefault="00E44F68" w:rsidP="0097443E">
    <w:pPr>
      <w:pStyle w:val="Heading1notnumbered"/>
      <w:jc w:val="center"/>
      <w:rPr>
        <w:i/>
      </w:rPr>
    </w:pPr>
    <w:r w:rsidRPr="0097443E">
      <w:t>List of Tables</w:t>
    </w:r>
    <w:r>
      <w:t xml:space="preserve"> </w:t>
    </w:r>
    <w:r w:rsidRPr="00B562BA">
      <w:rPr>
        <w:i/>
      </w:rPr>
      <w:t>(Continued)</w:t>
    </w:r>
  </w:p>
  <w:p w14:paraId="3654BE95" w14:textId="77777777" w:rsidR="00E44F68" w:rsidRPr="0097443E" w:rsidRDefault="00E44F68" w:rsidP="0097443E">
    <w:pPr>
      <w:pStyle w:val="Heading1notnumbered"/>
      <w:spacing w:before="0" w:after="240"/>
      <w:jc w:val="right"/>
      <w:rPr>
        <w:sz w:val="24"/>
        <w:szCs w:val="24"/>
      </w:rPr>
    </w:pPr>
    <w:r w:rsidRPr="0097443E">
      <w:rPr>
        <w:sz w:val="24"/>
        <w:szCs w:val="24"/>
      </w:rPr>
      <w:t>Page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F4BC0" w14:textId="77777777" w:rsidR="00E44F68" w:rsidRDefault="00E44F6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8078C" w14:textId="73A6665D" w:rsidR="00E44F68" w:rsidRPr="0097443E" w:rsidRDefault="00E44F68" w:rsidP="0097443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41FAE" w14:textId="77777777" w:rsidR="00E44F68" w:rsidRDefault="00E44F68"/>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92670" w14:textId="77777777" w:rsidR="00E44F68" w:rsidRPr="00B562BA" w:rsidRDefault="00E44F68" w:rsidP="00B562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9185E50"/>
    <w:lvl w:ilvl="0">
      <w:start w:val="1"/>
      <w:numFmt w:val="decimal"/>
      <w:lvlText w:val="%1."/>
      <w:lvlJc w:val="left"/>
      <w:pPr>
        <w:tabs>
          <w:tab w:val="num" w:pos="1800"/>
        </w:tabs>
        <w:ind w:left="1800" w:hanging="360"/>
      </w:pPr>
    </w:lvl>
  </w:abstractNum>
  <w:abstractNum w:abstractNumId="1">
    <w:nsid w:val="FFFFFF7D"/>
    <w:multiLevelType w:val="singleLevel"/>
    <w:tmpl w:val="F66E8366"/>
    <w:lvl w:ilvl="0">
      <w:start w:val="1"/>
      <w:numFmt w:val="decimal"/>
      <w:lvlText w:val="%1."/>
      <w:lvlJc w:val="left"/>
      <w:pPr>
        <w:tabs>
          <w:tab w:val="num" w:pos="1440"/>
        </w:tabs>
        <w:ind w:left="1440" w:hanging="360"/>
      </w:pPr>
    </w:lvl>
  </w:abstractNum>
  <w:abstractNum w:abstractNumId="2">
    <w:nsid w:val="FFFFFF7E"/>
    <w:multiLevelType w:val="singleLevel"/>
    <w:tmpl w:val="D3A8828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601A3332"/>
    <w:lvl w:ilvl="0">
      <w:start w:val="1"/>
      <w:numFmt w:val="decimal"/>
      <w:pStyle w:val="ListNumber2"/>
      <w:lvlText w:val="%1."/>
      <w:lvlJc w:val="left"/>
      <w:pPr>
        <w:tabs>
          <w:tab w:val="num" w:pos="720"/>
        </w:tabs>
        <w:ind w:left="720" w:hanging="360"/>
      </w:pPr>
    </w:lvl>
  </w:abstractNum>
  <w:abstractNum w:abstractNumId="4">
    <w:nsid w:val="FFFFFF80"/>
    <w:multiLevelType w:val="singleLevel"/>
    <w:tmpl w:val="7B76E3D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50233B2"/>
    <w:lvl w:ilvl="0">
      <w:start w:val="1"/>
      <w:numFmt w:val="bullet"/>
      <w:lvlText w:val=""/>
      <w:lvlJc w:val="left"/>
      <w:pPr>
        <w:tabs>
          <w:tab w:val="num" w:pos="1440"/>
        </w:tabs>
        <w:ind w:left="1440" w:hanging="360"/>
      </w:pPr>
      <w:rPr>
        <w:rFonts w:ascii="Symbol" w:hAnsi="Symbol" w:hint="default"/>
      </w:rPr>
    </w:lvl>
  </w:abstractNum>
  <w:abstractNum w:abstractNumId="6">
    <w:nsid w:val="FFFFFF88"/>
    <w:multiLevelType w:val="singleLevel"/>
    <w:tmpl w:val="A39AC70A"/>
    <w:lvl w:ilvl="0">
      <w:start w:val="1"/>
      <w:numFmt w:val="decimal"/>
      <w:pStyle w:val="ListNumber"/>
      <w:lvlText w:val="%1."/>
      <w:lvlJc w:val="left"/>
      <w:pPr>
        <w:tabs>
          <w:tab w:val="num" w:pos="360"/>
        </w:tabs>
        <w:ind w:left="360" w:hanging="360"/>
      </w:pPr>
    </w:lvl>
  </w:abstractNum>
  <w:abstractNum w:abstractNumId="7">
    <w:nsid w:val="FFFFFF89"/>
    <w:multiLevelType w:val="singleLevel"/>
    <w:tmpl w:val="38CA0E02"/>
    <w:lvl w:ilvl="0">
      <w:start w:val="1"/>
      <w:numFmt w:val="bullet"/>
      <w:lvlText w:val=""/>
      <w:lvlJc w:val="left"/>
      <w:pPr>
        <w:tabs>
          <w:tab w:val="num" w:pos="360"/>
        </w:tabs>
        <w:ind w:left="360" w:hanging="360"/>
      </w:pPr>
      <w:rPr>
        <w:rFonts w:ascii="Symbol" w:hAnsi="Symbol" w:hint="default"/>
      </w:rPr>
    </w:lvl>
  </w:abstractNum>
  <w:abstractNum w:abstractNumId="8">
    <w:nsid w:val="03C1252E"/>
    <w:multiLevelType w:val="multilevel"/>
    <w:tmpl w:val="E30AA4CE"/>
    <w:lvl w:ilvl="0">
      <w:start w:val="1"/>
      <w:numFmt w:val="decimal"/>
      <w:isLgl/>
      <w:lvlText w:val="%1."/>
      <w:lvlJc w:val="left"/>
      <w:pPr>
        <w:ind w:left="720" w:hanging="720"/>
      </w:pPr>
      <w:rPr>
        <w:rFonts w:hint="default"/>
      </w:rPr>
    </w:lvl>
    <w:lvl w:ilvl="1">
      <w:start w:val="1"/>
      <w:numFmt w:val="decimal"/>
      <w:lvlText w:val="%1.%2"/>
      <w:lvlJc w:val="left"/>
      <w:pPr>
        <w:ind w:left="720" w:hanging="720"/>
      </w:pPr>
      <w:rPr>
        <w:rFonts w:ascii="Times New Roman" w:hAnsi="Times New Roman" w:cs="Times New Roman"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2">
      <w:start w:val="1"/>
      <w:numFmt w:val="decimal"/>
      <w:lvlText w:val="%1.%2.%3"/>
      <w:lvlJc w:val="left"/>
      <w:pPr>
        <w:ind w:left="720" w:hanging="720"/>
      </w:pPr>
      <w:rPr>
        <w:rFonts w:hint="default"/>
      </w:rPr>
    </w:lvl>
    <w:lvl w:ilvl="3">
      <w:start w:val="1"/>
      <w:numFmt w:val="decimal"/>
      <w:suff w:val="nothing"/>
      <w:lvlText w:val="%1.%2.%3.%4  "/>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0C216D69"/>
    <w:multiLevelType w:val="multilevel"/>
    <w:tmpl w:val="0EDC6816"/>
    <w:styleLink w:val="ListBulletsTight"/>
    <w:lvl w:ilvl="0">
      <w:start w:val="1"/>
      <w:numFmt w:val="bullet"/>
      <w:pStyle w:val="ListBullettight"/>
      <w:lvlText w:val=""/>
      <w:lvlJc w:val="left"/>
      <w:pPr>
        <w:ind w:left="720" w:hanging="360"/>
      </w:pPr>
      <w:rPr>
        <w:rFonts w:ascii="Symbol" w:hAnsi="Symbol" w:hint="default"/>
        <w:color w:val="3B70B6" w:themeColor="accent1" w:themeShade="BF"/>
      </w:rPr>
    </w:lvl>
    <w:lvl w:ilvl="1">
      <w:start w:val="1"/>
      <w:numFmt w:val="bullet"/>
      <w:pStyle w:val="ListBullet2tight"/>
      <w:lvlText w:val="o"/>
      <w:lvlJc w:val="left"/>
      <w:pPr>
        <w:ind w:left="1080" w:hanging="360"/>
      </w:pPr>
      <w:rPr>
        <w:rFonts w:ascii="Courier New" w:hAnsi="Courier New" w:hint="default"/>
        <w:sz w:val="16"/>
      </w:rPr>
    </w:lvl>
    <w:lvl w:ilvl="2">
      <w:start w:val="1"/>
      <w:numFmt w:val="bullet"/>
      <w:pStyle w:val="ListBullet3tight"/>
      <w:lvlText w:val=""/>
      <w:lvlJc w:val="left"/>
      <w:pPr>
        <w:ind w:left="1440" w:hanging="360"/>
      </w:pPr>
      <w:rPr>
        <w:rFonts w:ascii="Wingdings" w:hAnsi="Wingding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0">
    <w:nsid w:val="149F5740"/>
    <w:multiLevelType w:val="hybridMultilevel"/>
    <w:tmpl w:val="1B8C4F9A"/>
    <w:lvl w:ilvl="0" w:tplc="5BC03E4A">
      <w:start w:val="1"/>
      <w:numFmt w:val="bullet"/>
      <w:pStyle w:val="Bullet"/>
      <w:lvlText w:val=""/>
      <w:lvlJc w:val="left"/>
      <w:pPr>
        <w:tabs>
          <w:tab w:val="num" w:pos="1080"/>
        </w:tabs>
        <w:ind w:left="1080" w:hanging="360"/>
      </w:pPr>
      <w:rPr>
        <w:rFonts w:ascii="Symbol" w:hAnsi="Symbol" w:hint="default"/>
      </w:rPr>
    </w:lvl>
    <w:lvl w:ilvl="1" w:tplc="FC840E6A">
      <w:start w:val="1"/>
      <w:numFmt w:val="bullet"/>
      <w:lvlText w:val=""/>
      <w:lvlJc w:val="left"/>
      <w:pPr>
        <w:tabs>
          <w:tab w:val="num" w:pos="1440"/>
        </w:tabs>
        <w:ind w:left="1440" w:hanging="360"/>
      </w:pPr>
      <w:rPr>
        <w:rFonts w:ascii="Symbol" w:hAnsi="Symbol" w:hint="default"/>
      </w:rPr>
    </w:lvl>
    <w:lvl w:ilvl="2" w:tplc="714AAA92" w:tentative="1">
      <w:start w:val="1"/>
      <w:numFmt w:val="bullet"/>
      <w:lvlText w:val=""/>
      <w:lvlJc w:val="left"/>
      <w:pPr>
        <w:tabs>
          <w:tab w:val="num" w:pos="2160"/>
        </w:tabs>
        <w:ind w:left="2160" w:hanging="360"/>
      </w:pPr>
      <w:rPr>
        <w:rFonts w:ascii="Wingdings" w:hAnsi="Wingdings" w:hint="default"/>
      </w:rPr>
    </w:lvl>
    <w:lvl w:ilvl="3" w:tplc="0D4ED30A" w:tentative="1">
      <w:start w:val="1"/>
      <w:numFmt w:val="bullet"/>
      <w:lvlText w:val=""/>
      <w:lvlJc w:val="left"/>
      <w:pPr>
        <w:tabs>
          <w:tab w:val="num" w:pos="2880"/>
        </w:tabs>
        <w:ind w:left="2880" w:hanging="360"/>
      </w:pPr>
      <w:rPr>
        <w:rFonts w:ascii="Symbol" w:hAnsi="Symbol" w:hint="default"/>
      </w:rPr>
    </w:lvl>
    <w:lvl w:ilvl="4" w:tplc="A802F20A" w:tentative="1">
      <w:start w:val="1"/>
      <w:numFmt w:val="bullet"/>
      <w:lvlText w:val="o"/>
      <w:lvlJc w:val="left"/>
      <w:pPr>
        <w:tabs>
          <w:tab w:val="num" w:pos="3600"/>
        </w:tabs>
        <w:ind w:left="3600" w:hanging="360"/>
      </w:pPr>
      <w:rPr>
        <w:rFonts w:ascii="Courier New" w:hAnsi="Courier New" w:cs="Courier New" w:hint="default"/>
      </w:rPr>
    </w:lvl>
    <w:lvl w:ilvl="5" w:tplc="F24A8434" w:tentative="1">
      <w:start w:val="1"/>
      <w:numFmt w:val="bullet"/>
      <w:lvlText w:val=""/>
      <w:lvlJc w:val="left"/>
      <w:pPr>
        <w:tabs>
          <w:tab w:val="num" w:pos="4320"/>
        </w:tabs>
        <w:ind w:left="4320" w:hanging="360"/>
      </w:pPr>
      <w:rPr>
        <w:rFonts w:ascii="Wingdings" w:hAnsi="Wingdings" w:hint="default"/>
      </w:rPr>
    </w:lvl>
    <w:lvl w:ilvl="6" w:tplc="311A10B0" w:tentative="1">
      <w:start w:val="1"/>
      <w:numFmt w:val="bullet"/>
      <w:lvlText w:val=""/>
      <w:lvlJc w:val="left"/>
      <w:pPr>
        <w:tabs>
          <w:tab w:val="num" w:pos="5040"/>
        </w:tabs>
        <w:ind w:left="5040" w:hanging="360"/>
      </w:pPr>
      <w:rPr>
        <w:rFonts w:ascii="Symbol" w:hAnsi="Symbol" w:hint="default"/>
      </w:rPr>
    </w:lvl>
    <w:lvl w:ilvl="7" w:tplc="84DEB248" w:tentative="1">
      <w:start w:val="1"/>
      <w:numFmt w:val="bullet"/>
      <w:lvlText w:val="o"/>
      <w:lvlJc w:val="left"/>
      <w:pPr>
        <w:tabs>
          <w:tab w:val="num" w:pos="5760"/>
        </w:tabs>
        <w:ind w:left="5760" w:hanging="360"/>
      </w:pPr>
      <w:rPr>
        <w:rFonts w:ascii="Courier New" w:hAnsi="Courier New" w:cs="Courier New" w:hint="default"/>
      </w:rPr>
    </w:lvl>
    <w:lvl w:ilvl="8" w:tplc="22683B7A" w:tentative="1">
      <w:start w:val="1"/>
      <w:numFmt w:val="bullet"/>
      <w:lvlText w:val=""/>
      <w:lvlJc w:val="left"/>
      <w:pPr>
        <w:tabs>
          <w:tab w:val="num" w:pos="6480"/>
        </w:tabs>
        <w:ind w:left="6480" w:hanging="360"/>
      </w:pPr>
      <w:rPr>
        <w:rFonts w:ascii="Wingdings" w:hAnsi="Wingdings" w:hint="default"/>
      </w:rPr>
    </w:lvl>
  </w:abstractNum>
  <w:abstractNum w:abstractNumId="11">
    <w:nsid w:val="19E104B5"/>
    <w:multiLevelType w:val="hybridMultilevel"/>
    <w:tmpl w:val="596AB80A"/>
    <w:lvl w:ilvl="0" w:tplc="AFF60202">
      <w:start w:val="1"/>
      <w:numFmt w:val="bullet"/>
      <w:pStyle w:val="BulletList3"/>
      <w:lvlText w:val=""/>
      <w:lvlJc w:val="left"/>
      <w:pPr>
        <w:ind w:left="2160" w:hanging="360"/>
      </w:pPr>
      <w:rPr>
        <w:rFonts w:ascii="Wingdings" w:hAnsi="Wingdings" w:hint="default"/>
      </w:rPr>
    </w:lvl>
    <w:lvl w:ilvl="1" w:tplc="04090001">
      <w:start w:val="1"/>
      <w:numFmt w:val="bullet"/>
      <w:lvlText w:val="o"/>
      <w:lvlJc w:val="left"/>
      <w:pPr>
        <w:ind w:left="2700" w:hanging="360"/>
      </w:pPr>
      <w:rPr>
        <w:rFonts w:ascii="Courier New" w:hAnsi="Courier New" w:cs="Courier New" w:hint="default"/>
      </w:rPr>
    </w:lvl>
    <w:lvl w:ilvl="2" w:tplc="04090005">
      <w:start w:val="1"/>
      <w:numFmt w:val="bullet"/>
      <w:lvlText w:val=""/>
      <w:lvlJc w:val="left"/>
      <w:pPr>
        <w:ind w:left="3420" w:hanging="360"/>
      </w:pPr>
      <w:rPr>
        <w:rFonts w:ascii="Wingdings" w:hAnsi="Wingdings" w:hint="default"/>
      </w:rPr>
    </w:lvl>
    <w:lvl w:ilvl="3" w:tplc="04090001">
      <w:start w:val="1"/>
      <w:numFmt w:val="bullet"/>
      <w:lvlText w:val=""/>
      <w:lvlJc w:val="left"/>
      <w:pPr>
        <w:ind w:left="4140" w:hanging="360"/>
      </w:pPr>
      <w:rPr>
        <w:rFonts w:ascii="Symbol" w:hAnsi="Symbol" w:hint="default"/>
      </w:rPr>
    </w:lvl>
    <w:lvl w:ilvl="4" w:tplc="04090003">
      <w:start w:val="1"/>
      <w:numFmt w:val="bullet"/>
      <w:lvlText w:val="o"/>
      <w:lvlJc w:val="left"/>
      <w:pPr>
        <w:ind w:left="4860" w:hanging="360"/>
      </w:pPr>
      <w:rPr>
        <w:rFonts w:ascii="Courier New" w:hAnsi="Courier New" w:cs="Courier New" w:hint="default"/>
      </w:rPr>
    </w:lvl>
    <w:lvl w:ilvl="5" w:tplc="04090005">
      <w:start w:val="1"/>
      <w:numFmt w:val="bullet"/>
      <w:lvlText w:val=""/>
      <w:lvlJc w:val="left"/>
      <w:pPr>
        <w:ind w:left="5580" w:hanging="360"/>
      </w:pPr>
      <w:rPr>
        <w:rFonts w:ascii="Wingdings" w:hAnsi="Wingdings" w:hint="default"/>
      </w:rPr>
    </w:lvl>
    <w:lvl w:ilvl="6" w:tplc="04090001">
      <w:start w:val="1"/>
      <w:numFmt w:val="bullet"/>
      <w:lvlText w:val=""/>
      <w:lvlJc w:val="left"/>
      <w:pPr>
        <w:ind w:left="6300" w:hanging="360"/>
      </w:pPr>
      <w:rPr>
        <w:rFonts w:ascii="Symbol" w:hAnsi="Symbol" w:hint="default"/>
      </w:rPr>
    </w:lvl>
    <w:lvl w:ilvl="7" w:tplc="04090003">
      <w:start w:val="1"/>
      <w:numFmt w:val="bullet"/>
      <w:lvlText w:val="o"/>
      <w:lvlJc w:val="left"/>
      <w:pPr>
        <w:ind w:left="7020" w:hanging="360"/>
      </w:pPr>
      <w:rPr>
        <w:rFonts w:ascii="Courier New" w:hAnsi="Courier New" w:cs="Courier New" w:hint="default"/>
      </w:rPr>
    </w:lvl>
    <w:lvl w:ilvl="8" w:tplc="04090005">
      <w:start w:val="1"/>
      <w:numFmt w:val="bullet"/>
      <w:lvlText w:val=""/>
      <w:lvlJc w:val="left"/>
      <w:pPr>
        <w:ind w:left="7740" w:hanging="360"/>
      </w:pPr>
      <w:rPr>
        <w:rFonts w:ascii="Wingdings" w:hAnsi="Wingdings" w:hint="default"/>
      </w:rPr>
    </w:lvl>
  </w:abstractNum>
  <w:abstractNum w:abstractNumId="12">
    <w:nsid w:val="234E274A"/>
    <w:multiLevelType w:val="multilevel"/>
    <w:tmpl w:val="FD3EBEF6"/>
    <w:numStyleLink w:val="ListBullets"/>
  </w:abstractNum>
  <w:abstractNum w:abstractNumId="13">
    <w:nsid w:val="361A4A72"/>
    <w:multiLevelType w:val="multilevel"/>
    <w:tmpl w:val="FD3EBEF6"/>
    <w:styleLink w:val="ListBullets"/>
    <w:lvl w:ilvl="0">
      <w:start w:val="1"/>
      <w:numFmt w:val="bullet"/>
      <w:pStyle w:val="ListBullet"/>
      <w:lvlText w:val=""/>
      <w:lvlJc w:val="left"/>
      <w:pPr>
        <w:ind w:left="720" w:hanging="360"/>
      </w:pPr>
      <w:rPr>
        <w:rFonts w:ascii="Symbol" w:hAnsi="Symbol" w:hint="default"/>
        <w:color w:val="3B70B6" w:themeColor="accent1" w:themeShade="BF"/>
      </w:rPr>
    </w:lvl>
    <w:lvl w:ilvl="1">
      <w:start w:val="1"/>
      <w:numFmt w:val="bullet"/>
      <w:pStyle w:val="ListBullet2"/>
      <w:lvlText w:val="o"/>
      <w:lvlJc w:val="left"/>
      <w:pPr>
        <w:ind w:left="1080" w:hanging="360"/>
      </w:pPr>
      <w:rPr>
        <w:rFonts w:ascii="Courier New" w:hAnsi="Courier New" w:hint="default"/>
        <w:sz w:val="16"/>
      </w:rPr>
    </w:lvl>
    <w:lvl w:ilvl="2">
      <w:start w:val="1"/>
      <w:numFmt w:val="bullet"/>
      <w:pStyle w:val="ListBullet3"/>
      <w:lvlText w:val=""/>
      <w:lvlJc w:val="left"/>
      <w:pPr>
        <w:ind w:left="144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
    <w:nsid w:val="37AF04DC"/>
    <w:multiLevelType w:val="hybridMultilevel"/>
    <w:tmpl w:val="590C7472"/>
    <w:lvl w:ilvl="0" w:tplc="CAF24684">
      <w:start w:val="1"/>
      <w:numFmt w:val="lowerLetter"/>
      <w:pStyle w:val="NumberedList2"/>
      <w:lvlText w:val="%1)"/>
      <w:lvlJc w:val="left"/>
      <w:pPr>
        <w:ind w:left="1440" w:hanging="360"/>
      </w:pPr>
    </w:lvl>
    <w:lvl w:ilvl="1" w:tplc="CABE5B20">
      <w:start w:val="1"/>
      <w:numFmt w:val="lowerLetter"/>
      <w:lvlText w:val="%2."/>
      <w:lvlJc w:val="left"/>
      <w:pPr>
        <w:ind w:left="2160" w:hanging="360"/>
      </w:pPr>
    </w:lvl>
    <w:lvl w:ilvl="2" w:tplc="4B068EF8">
      <w:start w:val="1"/>
      <w:numFmt w:val="lowerRoman"/>
      <w:lvlText w:val="%3."/>
      <w:lvlJc w:val="right"/>
      <w:pPr>
        <w:ind w:left="2880" w:hanging="180"/>
      </w:pPr>
    </w:lvl>
    <w:lvl w:ilvl="3" w:tplc="2BBE98C8">
      <w:start w:val="1"/>
      <w:numFmt w:val="decimal"/>
      <w:lvlText w:val="%4."/>
      <w:lvlJc w:val="left"/>
      <w:pPr>
        <w:ind w:left="3600" w:hanging="360"/>
      </w:pPr>
    </w:lvl>
    <w:lvl w:ilvl="4" w:tplc="CD48D4F2">
      <w:start w:val="1"/>
      <w:numFmt w:val="lowerLetter"/>
      <w:lvlText w:val="%5."/>
      <w:lvlJc w:val="left"/>
      <w:pPr>
        <w:ind w:left="4320" w:hanging="360"/>
      </w:pPr>
    </w:lvl>
    <w:lvl w:ilvl="5" w:tplc="EC62F602">
      <w:start w:val="1"/>
      <w:numFmt w:val="lowerRoman"/>
      <w:lvlText w:val="%6."/>
      <w:lvlJc w:val="right"/>
      <w:pPr>
        <w:ind w:left="5040" w:hanging="180"/>
      </w:pPr>
    </w:lvl>
    <w:lvl w:ilvl="6" w:tplc="507C1F1C">
      <w:start w:val="1"/>
      <w:numFmt w:val="decimal"/>
      <w:lvlText w:val="%7."/>
      <w:lvlJc w:val="left"/>
      <w:pPr>
        <w:ind w:left="5760" w:hanging="360"/>
      </w:pPr>
    </w:lvl>
    <w:lvl w:ilvl="7" w:tplc="DDD82D80">
      <w:start w:val="1"/>
      <w:numFmt w:val="lowerLetter"/>
      <w:lvlText w:val="%8."/>
      <w:lvlJc w:val="left"/>
      <w:pPr>
        <w:ind w:left="6480" w:hanging="360"/>
      </w:pPr>
    </w:lvl>
    <w:lvl w:ilvl="8" w:tplc="0FD84928">
      <w:start w:val="1"/>
      <w:numFmt w:val="lowerRoman"/>
      <w:lvlText w:val="%9."/>
      <w:lvlJc w:val="right"/>
      <w:pPr>
        <w:ind w:left="7200" w:hanging="180"/>
      </w:pPr>
    </w:lvl>
  </w:abstractNum>
  <w:abstractNum w:abstractNumId="15">
    <w:nsid w:val="3B67107C"/>
    <w:multiLevelType w:val="multilevel"/>
    <w:tmpl w:val="C99E5A12"/>
    <w:lvl w:ilvl="0">
      <w:start w:val="1"/>
      <w:numFmt w:val="decimal"/>
      <w:pStyle w:val="CH5Heading1"/>
      <w:lvlText w:val="%1."/>
      <w:lvlJc w:val="left"/>
      <w:pPr>
        <w:ind w:left="360" w:hanging="360"/>
      </w:pPr>
      <w:rPr>
        <w:rFonts w:ascii="Times New Roman" w:hAnsi="Times New Roman" w:cs="Times New Roman" w:hint="default"/>
        <w:b w:val="0"/>
        <w:bCs w:val="0"/>
        <w:i w:val="0"/>
        <w:iCs w:val="0"/>
        <w:caps w:val="0"/>
        <w:smallCaps w:val="0"/>
        <w:strike w:val="0"/>
        <w:dstrike w:val="0"/>
        <w:noProof w:val="0"/>
        <w:vanish w:val="0"/>
        <w:color w:val="auto"/>
        <w:spacing w:val="0"/>
        <w:w w:val="1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H5Heading2"/>
      <w:lvlText w:val="%2.%1"/>
      <w:lvlJc w:val="left"/>
      <w:pPr>
        <w:tabs>
          <w:tab w:val="num" w:pos="720"/>
        </w:tabs>
        <w:ind w:left="72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419648FE"/>
    <w:multiLevelType w:val="hybridMultilevel"/>
    <w:tmpl w:val="172A0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152DB5"/>
    <w:multiLevelType w:val="multilevel"/>
    <w:tmpl w:val="0EDC6816"/>
    <w:numStyleLink w:val="ListBulletsTight"/>
  </w:abstractNum>
  <w:abstractNum w:abstractNumId="18">
    <w:nsid w:val="4AB708D0"/>
    <w:multiLevelType w:val="multilevel"/>
    <w:tmpl w:val="80F8484C"/>
    <w:styleLink w:val="Headings"/>
    <w:lvl w:ilvl="0">
      <w:start w:val="1"/>
      <w:numFmt w:val="decimal"/>
      <w:lvlText w:val="%1."/>
      <w:lvlJc w:val="left"/>
      <w:pPr>
        <w:ind w:left="360" w:hanging="360"/>
      </w:pPr>
    </w:lvl>
    <w:lvl w:ilvl="1">
      <w:start w:val="1"/>
      <w:numFmt w:val="decimal"/>
      <w:lvlText w:val="%1.%2."/>
      <w:lvlJc w:val="left"/>
      <w:pPr>
        <w:ind w:left="360" w:hanging="360"/>
      </w:pPr>
    </w:lvl>
    <w:lvl w:ilvl="2">
      <w:start w:val="1"/>
      <w:numFmt w:val="none"/>
      <w:lvlText w:val=""/>
      <w:lvlJc w:val="left"/>
      <w:pPr>
        <w:ind w:left="360" w:hanging="360"/>
      </w:pPr>
    </w:lvl>
    <w:lvl w:ilvl="3">
      <w:start w:val="1"/>
      <w:numFmt w:val="none"/>
      <w:lvlText w:val=""/>
      <w:lvlJc w:val="left"/>
      <w:pPr>
        <w:ind w:left="360" w:hanging="360"/>
      </w:pPr>
    </w:lvl>
    <w:lvl w:ilvl="4">
      <w:start w:val="1"/>
      <w:numFmt w:val="none"/>
      <w:lvlText w:val=""/>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19">
    <w:nsid w:val="4F76193B"/>
    <w:multiLevelType w:val="hybridMultilevel"/>
    <w:tmpl w:val="586ECC4A"/>
    <w:lvl w:ilvl="0" w:tplc="B63C9184">
      <w:start w:val="1"/>
      <w:numFmt w:val="lowerRoman"/>
      <w:pStyle w:val="NumberedList3"/>
      <w:lvlText w:val="%1."/>
      <w:lvlJc w:val="righ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0">
    <w:nsid w:val="50A80944"/>
    <w:multiLevelType w:val="hybridMultilevel"/>
    <w:tmpl w:val="646AC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456699"/>
    <w:multiLevelType w:val="hybridMultilevel"/>
    <w:tmpl w:val="9934FE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77566B8"/>
    <w:multiLevelType w:val="hybridMultilevel"/>
    <w:tmpl w:val="102490C2"/>
    <w:lvl w:ilvl="0" w:tplc="5172E7FC">
      <w:start w:val="1"/>
      <w:numFmt w:val="bullet"/>
      <w:pStyle w:val="Bulletlist-last"/>
      <w:lvlText w:val=""/>
      <w:lvlJc w:val="left"/>
      <w:pPr>
        <w:ind w:left="720" w:hanging="360"/>
      </w:pPr>
      <w:rPr>
        <w:rFonts w:ascii="Symbol" w:hAnsi="Symbol" w:hint="default"/>
      </w:rPr>
    </w:lvl>
    <w:lvl w:ilvl="1" w:tplc="629A27B4" w:tentative="1">
      <w:start w:val="1"/>
      <w:numFmt w:val="bullet"/>
      <w:lvlText w:val="o"/>
      <w:lvlJc w:val="left"/>
      <w:pPr>
        <w:ind w:left="1440" w:hanging="360"/>
      </w:pPr>
      <w:rPr>
        <w:rFonts w:ascii="Courier New" w:hAnsi="Courier New" w:cs="Courier New" w:hint="default"/>
      </w:rPr>
    </w:lvl>
    <w:lvl w:ilvl="2" w:tplc="7E805F06" w:tentative="1">
      <w:start w:val="1"/>
      <w:numFmt w:val="bullet"/>
      <w:lvlText w:val=""/>
      <w:lvlJc w:val="left"/>
      <w:pPr>
        <w:ind w:left="2160" w:hanging="360"/>
      </w:pPr>
      <w:rPr>
        <w:rFonts w:ascii="Wingdings" w:hAnsi="Wingdings" w:hint="default"/>
      </w:rPr>
    </w:lvl>
    <w:lvl w:ilvl="3" w:tplc="E7DC7CDE" w:tentative="1">
      <w:start w:val="1"/>
      <w:numFmt w:val="bullet"/>
      <w:lvlText w:val=""/>
      <w:lvlJc w:val="left"/>
      <w:pPr>
        <w:ind w:left="2880" w:hanging="360"/>
      </w:pPr>
      <w:rPr>
        <w:rFonts w:ascii="Symbol" w:hAnsi="Symbol" w:hint="default"/>
      </w:rPr>
    </w:lvl>
    <w:lvl w:ilvl="4" w:tplc="E646C754" w:tentative="1">
      <w:start w:val="1"/>
      <w:numFmt w:val="bullet"/>
      <w:lvlText w:val="o"/>
      <w:lvlJc w:val="left"/>
      <w:pPr>
        <w:ind w:left="3600" w:hanging="360"/>
      </w:pPr>
      <w:rPr>
        <w:rFonts w:ascii="Courier New" w:hAnsi="Courier New" w:cs="Courier New" w:hint="default"/>
      </w:rPr>
    </w:lvl>
    <w:lvl w:ilvl="5" w:tplc="597655B2" w:tentative="1">
      <w:start w:val="1"/>
      <w:numFmt w:val="bullet"/>
      <w:lvlText w:val=""/>
      <w:lvlJc w:val="left"/>
      <w:pPr>
        <w:ind w:left="4320" w:hanging="360"/>
      </w:pPr>
      <w:rPr>
        <w:rFonts w:ascii="Wingdings" w:hAnsi="Wingdings" w:hint="default"/>
      </w:rPr>
    </w:lvl>
    <w:lvl w:ilvl="6" w:tplc="012EB518" w:tentative="1">
      <w:start w:val="1"/>
      <w:numFmt w:val="bullet"/>
      <w:lvlText w:val=""/>
      <w:lvlJc w:val="left"/>
      <w:pPr>
        <w:ind w:left="5040" w:hanging="360"/>
      </w:pPr>
      <w:rPr>
        <w:rFonts w:ascii="Symbol" w:hAnsi="Symbol" w:hint="default"/>
      </w:rPr>
    </w:lvl>
    <w:lvl w:ilvl="7" w:tplc="FDE8476E" w:tentative="1">
      <w:start w:val="1"/>
      <w:numFmt w:val="bullet"/>
      <w:lvlText w:val="o"/>
      <w:lvlJc w:val="left"/>
      <w:pPr>
        <w:ind w:left="5760" w:hanging="360"/>
      </w:pPr>
      <w:rPr>
        <w:rFonts w:ascii="Courier New" w:hAnsi="Courier New" w:cs="Courier New" w:hint="default"/>
      </w:rPr>
    </w:lvl>
    <w:lvl w:ilvl="8" w:tplc="9C481120" w:tentative="1">
      <w:start w:val="1"/>
      <w:numFmt w:val="bullet"/>
      <w:lvlText w:val=""/>
      <w:lvlJc w:val="left"/>
      <w:pPr>
        <w:ind w:left="6480" w:hanging="360"/>
      </w:pPr>
      <w:rPr>
        <w:rFonts w:ascii="Wingdings" w:hAnsi="Wingdings" w:hint="default"/>
      </w:rPr>
    </w:lvl>
  </w:abstractNum>
  <w:abstractNum w:abstractNumId="23">
    <w:nsid w:val="5AE26494"/>
    <w:multiLevelType w:val="multilevel"/>
    <w:tmpl w:val="4818353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i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upperLetter"/>
      <w:suff w:val="space"/>
      <w:lvlText w:val="Appendix %7:"/>
      <w:lvlJc w:val="left"/>
      <w:pPr>
        <w:ind w:left="2106" w:hanging="1296"/>
      </w:pPr>
      <w:rPr>
        <w:rFonts w:hint="default"/>
      </w:rPr>
    </w:lvl>
    <w:lvl w:ilvl="7">
      <w:start w:val="1"/>
      <w:numFmt w:val="decimal"/>
      <w:pStyle w:val="Heading8"/>
      <w:lvlText w:val="%7.%8"/>
      <w:lvlJc w:val="left"/>
      <w:pPr>
        <w:ind w:left="576" w:hanging="576"/>
      </w:pPr>
      <w:rPr>
        <w:rFonts w:hint="default"/>
      </w:rPr>
    </w:lvl>
    <w:lvl w:ilvl="8">
      <w:start w:val="1"/>
      <w:numFmt w:val="decimal"/>
      <w:pStyle w:val="Heading9"/>
      <w:lvlText w:val="%7.%8.%9"/>
      <w:lvlJc w:val="left"/>
      <w:pPr>
        <w:ind w:left="720" w:hanging="720"/>
      </w:pPr>
      <w:rPr>
        <w:rFonts w:hint="default"/>
      </w:rPr>
    </w:lvl>
  </w:abstractNum>
  <w:abstractNum w:abstractNumId="24">
    <w:nsid w:val="5D152A89"/>
    <w:multiLevelType w:val="hybridMultilevel"/>
    <w:tmpl w:val="810E9472"/>
    <w:lvl w:ilvl="0" w:tplc="B2C6C768">
      <w:start w:val="1"/>
      <w:numFmt w:val="decimal"/>
      <w:pStyle w:val="CH5NumberedList1"/>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nsid w:val="5D984DC8"/>
    <w:multiLevelType w:val="hybridMultilevel"/>
    <w:tmpl w:val="30E077E8"/>
    <w:lvl w:ilvl="0" w:tplc="DBB68CE0">
      <w:start w:val="1"/>
      <w:numFmt w:val="bullet"/>
      <w:pStyle w:val="TableBulletLis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nsid w:val="622905B1"/>
    <w:multiLevelType w:val="hybridMultilevel"/>
    <w:tmpl w:val="4E685344"/>
    <w:lvl w:ilvl="0" w:tplc="EDBA9D08">
      <w:start w:val="1"/>
      <w:numFmt w:val="lowerLetter"/>
      <w:pStyle w:val="TableFootnote"/>
      <w:lvlText w:val="%1"/>
      <w:lvlJc w:val="left"/>
      <w:pPr>
        <w:ind w:left="720" w:hanging="360"/>
      </w:pPr>
      <w:rPr>
        <w:rFonts w:ascii="Calibri" w:hAnsi="Calibri" w:hint="default"/>
        <w:sz w:val="2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E4346F4"/>
    <w:multiLevelType w:val="multilevel"/>
    <w:tmpl w:val="75FE35DC"/>
    <w:lvl w:ilvl="0">
      <w:start w:val="1"/>
      <w:numFmt w:val="decimal"/>
      <w:pStyle w:val="StyleHeading1Before05lineAfter05lin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798F3327"/>
    <w:multiLevelType w:val="hybridMultilevel"/>
    <w:tmpl w:val="6584F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DA3D7D"/>
    <w:multiLevelType w:val="hybridMultilevel"/>
    <w:tmpl w:val="6854CC74"/>
    <w:lvl w:ilvl="0" w:tplc="9B8E47F2">
      <w:start w:val="1852"/>
      <w:numFmt w:val="bullet"/>
      <w:pStyle w:val="CH5BulletList2"/>
      <w:lvlText w:val="–"/>
      <w:lvlJc w:val="left"/>
      <w:pPr>
        <w:ind w:left="2160" w:hanging="360"/>
      </w:pPr>
      <w:rPr>
        <w:rFonts w:ascii="Arial" w:hAnsi="Arial" w:hint="default"/>
      </w:rPr>
    </w:lvl>
    <w:lvl w:ilvl="1" w:tplc="04090019" w:tentative="1">
      <w:start w:val="1"/>
      <w:numFmt w:val="bullet"/>
      <w:lvlText w:val="o"/>
      <w:lvlJc w:val="left"/>
      <w:pPr>
        <w:ind w:left="2880" w:hanging="360"/>
      </w:pPr>
      <w:rPr>
        <w:rFonts w:ascii="Courier New" w:hAnsi="Courier New" w:cs="Courier New" w:hint="default"/>
      </w:rPr>
    </w:lvl>
    <w:lvl w:ilvl="2" w:tplc="0409001B" w:tentative="1">
      <w:start w:val="1"/>
      <w:numFmt w:val="bullet"/>
      <w:lvlText w:val=""/>
      <w:lvlJc w:val="left"/>
      <w:pPr>
        <w:ind w:left="3600" w:hanging="360"/>
      </w:pPr>
      <w:rPr>
        <w:rFonts w:ascii="Wingdings" w:hAnsi="Wingdings" w:hint="default"/>
      </w:rPr>
    </w:lvl>
    <w:lvl w:ilvl="3" w:tplc="0409000F" w:tentative="1">
      <w:start w:val="1"/>
      <w:numFmt w:val="bullet"/>
      <w:lvlText w:val=""/>
      <w:lvlJc w:val="left"/>
      <w:pPr>
        <w:ind w:left="4320" w:hanging="360"/>
      </w:pPr>
      <w:rPr>
        <w:rFonts w:ascii="Symbol" w:hAnsi="Symbol" w:hint="default"/>
      </w:rPr>
    </w:lvl>
    <w:lvl w:ilvl="4" w:tplc="04090019" w:tentative="1">
      <w:start w:val="1"/>
      <w:numFmt w:val="bullet"/>
      <w:lvlText w:val="o"/>
      <w:lvlJc w:val="left"/>
      <w:pPr>
        <w:ind w:left="5040" w:hanging="360"/>
      </w:pPr>
      <w:rPr>
        <w:rFonts w:ascii="Courier New" w:hAnsi="Courier New" w:cs="Courier New" w:hint="default"/>
      </w:rPr>
    </w:lvl>
    <w:lvl w:ilvl="5" w:tplc="0409001B" w:tentative="1">
      <w:start w:val="1"/>
      <w:numFmt w:val="bullet"/>
      <w:lvlText w:val=""/>
      <w:lvlJc w:val="left"/>
      <w:pPr>
        <w:ind w:left="5760" w:hanging="360"/>
      </w:pPr>
      <w:rPr>
        <w:rFonts w:ascii="Wingdings" w:hAnsi="Wingdings" w:hint="default"/>
      </w:rPr>
    </w:lvl>
    <w:lvl w:ilvl="6" w:tplc="0409000F" w:tentative="1">
      <w:start w:val="1"/>
      <w:numFmt w:val="bullet"/>
      <w:lvlText w:val=""/>
      <w:lvlJc w:val="left"/>
      <w:pPr>
        <w:ind w:left="6480" w:hanging="360"/>
      </w:pPr>
      <w:rPr>
        <w:rFonts w:ascii="Symbol" w:hAnsi="Symbol" w:hint="default"/>
      </w:rPr>
    </w:lvl>
    <w:lvl w:ilvl="7" w:tplc="04090019" w:tentative="1">
      <w:start w:val="1"/>
      <w:numFmt w:val="bullet"/>
      <w:lvlText w:val="o"/>
      <w:lvlJc w:val="left"/>
      <w:pPr>
        <w:ind w:left="7200" w:hanging="360"/>
      </w:pPr>
      <w:rPr>
        <w:rFonts w:ascii="Courier New" w:hAnsi="Courier New" w:cs="Courier New" w:hint="default"/>
      </w:rPr>
    </w:lvl>
    <w:lvl w:ilvl="8" w:tplc="0409001B" w:tentative="1">
      <w:start w:val="1"/>
      <w:numFmt w:val="bullet"/>
      <w:lvlText w:val=""/>
      <w:lvlJc w:val="left"/>
      <w:pPr>
        <w:ind w:left="7920" w:hanging="360"/>
      </w:pPr>
      <w:rPr>
        <w:rFonts w:ascii="Wingdings" w:hAnsi="Wingdings" w:hint="default"/>
      </w:rPr>
    </w:lvl>
  </w:abstractNum>
  <w:abstractNum w:abstractNumId="30">
    <w:nsid w:val="7C9C331A"/>
    <w:multiLevelType w:val="multilevel"/>
    <w:tmpl w:val="9B2A34CA"/>
    <w:lvl w:ilvl="0">
      <w:start w:val="5"/>
      <w:numFmt w:val="decimal"/>
      <w:suff w:val="space"/>
      <w:lvlText w:val="Chapter %1: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suff w:val="nothing"/>
      <w:lvlText w:val="%1.%2.%3  "/>
      <w:lvlJc w:val="left"/>
      <w:pPr>
        <w:ind w:left="0" w:firstLine="0"/>
      </w:pPr>
      <w:rPr>
        <w:rFonts w:hint="default"/>
        <w:u w:val="singl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7F313E1E"/>
    <w:multiLevelType w:val="hybridMultilevel"/>
    <w:tmpl w:val="76CE3B46"/>
    <w:lvl w:ilvl="0" w:tplc="D9983C62">
      <w:start w:val="1"/>
      <w:numFmt w:val="bullet"/>
      <w:pStyle w:val="BulletList2"/>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num w:numId="1">
    <w:abstractNumId w:val="23"/>
  </w:num>
  <w:num w:numId="2">
    <w:abstractNumId w:val="13"/>
  </w:num>
  <w:num w:numId="3">
    <w:abstractNumId w:val="9"/>
  </w:num>
  <w:num w:numId="4">
    <w:abstractNumId w:val="12"/>
  </w:num>
  <w:num w:numId="5">
    <w:abstractNumId w:val="17"/>
  </w:num>
  <w:num w:numId="6">
    <w:abstractNumId w:val="26"/>
  </w:num>
  <w:num w:numId="7">
    <w:abstractNumId w:val="26"/>
    <w:lvlOverride w:ilvl="0">
      <w:startOverride w:val="1"/>
    </w:lvlOverride>
  </w:num>
  <w:num w:numId="8">
    <w:abstractNumId w:val="5"/>
  </w:num>
  <w:num w:numId="9">
    <w:abstractNumId w:val="4"/>
  </w:num>
  <w:num w:numId="10">
    <w:abstractNumId w:val="6"/>
  </w:num>
  <w:num w:numId="11">
    <w:abstractNumId w:val="3"/>
  </w:num>
  <w:num w:numId="12">
    <w:abstractNumId w:val="2"/>
  </w:num>
  <w:num w:numId="13">
    <w:abstractNumId w:val="1"/>
  </w:num>
  <w:num w:numId="14">
    <w:abstractNumId w:val="0"/>
  </w:num>
  <w:num w:numId="15">
    <w:abstractNumId w:val="7"/>
  </w:num>
  <w:num w:numId="16">
    <w:abstractNumId w:val="25"/>
  </w:num>
  <w:num w:numId="17">
    <w:abstractNumId w:val="22"/>
  </w:num>
  <w:num w:numId="18">
    <w:abstractNumId w:val="31"/>
  </w:num>
  <w:num w:numId="19">
    <w:abstractNumId w:val="11"/>
  </w:num>
  <w:num w:numId="20">
    <w:abstractNumId w:val="24"/>
  </w:num>
  <w:num w:numId="21">
    <w:abstractNumId w:val="14"/>
  </w:num>
  <w:num w:numId="22">
    <w:abstractNumId w:val="19"/>
  </w:num>
  <w:num w:numId="23">
    <w:abstractNumId w:val="18"/>
  </w:num>
  <w:num w:numId="24">
    <w:abstractNumId w:val="8"/>
  </w:num>
  <w:num w:numId="25">
    <w:abstractNumId w:val="30"/>
  </w:num>
  <w:num w:numId="26">
    <w:abstractNumId w:val="29"/>
  </w:num>
  <w:num w:numId="27">
    <w:abstractNumId w:val="24"/>
    <w:lvlOverride w:ilvl="0">
      <w:startOverride w:val="1"/>
    </w:lvlOverride>
  </w:num>
  <w:num w:numId="28">
    <w:abstractNumId w:val="24"/>
    <w:lvlOverride w:ilvl="0">
      <w:startOverride w:val="1"/>
    </w:lvlOverride>
  </w:num>
  <w:num w:numId="29">
    <w:abstractNumId w:val="24"/>
    <w:lvlOverride w:ilvl="0">
      <w:startOverride w:val="1"/>
    </w:lvlOverride>
  </w:num>
  <w:num w:numId="30">
    <w:abstractNumId w:val="10"/>
  </w:num>
  <w:num w:numId="31">
    <w:abstractNumId w:val="27"/>
  </w:num>
  <w:num w:numId="32">
    <w:abstractNumId w:val="20"/>
  </w:num>
  <w:num w:numId="33">
    <w:abstractNumId w:val="16"/>
  </w:num>
  <w:num w:numId="34">
    <w:abstractNumId w:val="21"/>
  </w:num>
  <w:num w:numId="35">
    <w:abstractNumId w:val="28"/>
  </w:num>
  <w:num w:numId="36">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0721" style="mso-position-horizontal:right;mso-position-horizontal-relative:margin;mso-position-vertical:top;mso-position-vertical-relative:margin;mso-width-relative:margin;mso-height-relative:margin" fillcolor="white" stroke="f">
      <v:fill color="white"/>
      <v:stroke on="f"/>
      <v:textbox inset="3.6pt,,3.6pt"/>
    </o:shapedefaults>
  </w:hdrShapeDefaults>
  <w:footnotePr>
    <w:footnote w:id="-1"/>
    <w:footnote w:id="0"/>
  </w:footnotePr>
  <w:endnotePr>
    <w:pos w:val="sectEnd"/>
    <w:numFmt w:val="lowerLetter"/>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33C"/>
    <w:rsid w:val="000004CC"/>
    <w:rsid w:val="00003324"/>
    <w:rsid w:val="000040B3"/>
    <w:rsid w:val="000044A8"/>
    <w:rsid w:val="00005DBF"/>
    <w:rsid w:val="00006EEC"/>
    <w:rsid w:val="000073DB"/>
    <w:rsid w:val="00010D20"/>
    <w:rsid w:val="00016896"/>
    <w:rsid w:val="00024BBB"/>
    <w:rsid w:val="00031950"/>
    <w:rsid w:val="00032752"/>
    <w:rsid w:val="00033F3D"/>
    <w:rsid w:val="00040A1A"/>
    <w:rsid w:val="0004136E"/>
    <w:rsid w:val="000413CB"/>
    <w:rsid w:val="00042B1B"/>
    <w:rsid w:val="0005247D"/>
    <w:rsid w:val="00053143"/>
    <w:rsid w:val="00054AA6"/>
    <w:rsid w:val="00060168"/>
    <w:rsid w:val="0006061A"/>
    <w:rsid w:val="000609A6"/>
    <w:rsid w:val="00061547"/>
    <w:rsid w:val="00061C90"/>
    <w:rsid w:val="00061FB0"/>
    <w:rsid w:val="00065F7E"/>
    <w:rsid w:val="000663C4"/>
    <w:rsid w:val="00066C41"/>
    <w:rsid w:val="0006754E"/>
    <w:rsid w:val="00067E8C"/>
    <w:rsid w:val="000709F2"/>
    <w:rsid w:val="00071F2F"/>
    <w:rsid w:val="0007313F"/>
    <w:rsid w:val="00075F05"/>
    <w:rsid w:val="00082AFC"/>
    <w:rsid w:val="00083AC1"/>
    <w:rsid w:val="00086C38"/>
    <w:rsid w:val="000935E5"/>
    <w:rsid w:val="000948F6"/>
    <w:rsid w:val="000950F2"/>
    <w:rsid w:val="000955BB"/>
    <w:rsid w:val="0009651A"/>
    <w:rsid w:val="000968DC"/>
    <w:rsid w:val="00096ACD"/>
    <w:rsid w:val="000A1325"/>
    <w:rsid w:val="000A1EB5"/>
    <w:rsid w:val="000A1F2C"/>
    <w:rsid w:val="000A466F"/>
    <w:rsid w:val="000A6776"/>
    <w:rsid w:val="000A6D80"/>
    <w:rsid w:val="000B0073"/>
    <w:rsid w:val="000B1267"/>
    <w:rsid w:val="000B178F"/>
    <w:rsid w:val="000B473C"/>
    <w:rsid w:val="000B6507"/>
    <w:rsid w:val="000C447D"/>
    <w:rsid w:val="000C4B12"/>
    <w:rsid w:val="000D111B"/>
    <w:rsid w:val="000D6D55"/>
    <w:rsid w:val="000D7F4B"/>
    <w:rsid w:val="000E0A3A"/>
    <w:rsid w:val="000E3931"/>
    <w:rsid w:val="000E7418"/>
    <w:rsid w:val="000F3120"/>
    <w:rsid w:val="000F33E6"/>
    <w:rsid w:val="000F7248"/>
    <w:rsid w:val="001021F6"/>
    <w:rsid w:val="001022F1"/>
    <w:rsid w:val="00103A3F"/>
    <w:rsid w:val="001045D1"/>
    <w:rsid w:val="001063AC"/>
    <w:rsid w:val="001113F9"/>
    <w:rsid w:val="00114269"/>
    <w:rsid w:val="00114C8B"/>
    <w:rsid w:val="0012151E"/>
    <w:rsid w:val="00122949"/>
    <w:rsid w:val="00126267"/>
    <w:rsid w:val="00130104"/>
    <w:rsid w:val="00131A6F"/>
    <w:rsid w:val="001326F2"/>
    <w:rsid w:val="00135271"/>
    <w:rsid w:val="00135A8E"/>
    <w:rsid w:val="00136C6D"/>
    <w:rsid w:val="001372D5"/>
    <w:rsid w:val="00137398"/>
    <w:rsid w:val="00144488"/>
    <w:rsid w:val="0015295A"/>
    <w:rsid w:val="00163B60"/>
    <w:rsid w:val="00163EFF"/>
    <w:rsid w:val="00164498"/>
    <w:rsid w:val="001644E7"/>
    <w:rsid w:val="001665D8"/>
    <w:rsid w:val="00167DA1"/>
    <w:rsid w:val="00170D2D"/>
    <w:rsid w:val="001714F0"/>
    <w:rsid w:val="00173269"/>
    <w:rsid w:val="00175F91"/>
    <w:rsid w:val="00176B66"/>
    <w:rsid w:val="00177ED7"/>
    <w:rsid w:val="001813CC"/>
    <w:rsid w:val="00184BF7"/>
    <w:rsid w:val="00184F8F"/>
    <w:rsid w:val="0018517F"/>
    <w:rsid w:val="00186AE6"/>
    <w:rsid w:val="00186EE7"/>
    <w:rsid w:val="001870A8"/>
    <w:rsid w:val="00187500"/>
    <w:rsid w:val="00187F95"/>
    <w:rsid w:val="00191807"/>
    <w:rsid w:val="00191F00"/>
    <w:rsid w:val="001920BF"/>
    <w:rsid w:val="00194780"/>
    <w:rsid w:val="001950DB"/>
    <w:rsid w:val="00197A0E"/>
    <w:rsid w:val="001A149C"/>
    <w:rsid w:val="001A305F"/>
    <w:rsid w:val="001A49AE"/>
    <w:rsid w:val="001A51BE"/>
    <w:rsid w:val="001A5D2F"/>
    <w:rsid w:val="001A7D56"/>
    <w:rsid w:val="001B4A7B"/>
    <w:rsid w:val="001B54C7"/>
    <w:rsid w:val="001B6532"/>
    <w:rsid w:val="001C1541"/>
    <w:rsid w:val="001C19D2"/>
    <w:rsid w:val="001C209D"/>
    <w:rsid w:val="001C228D"/>
    <w:rsid w:val="001C2CF1"/>
    <w:rsid w:val="001C4255"/>
    <w:rsid w:val="001C7115"/>
    <w:rsid w:val="001E2566"/>
    <w:rsid w:val="001E2A64"/>
    <w:rsid w:val="001E2EF2"/>
    <w:rsid w:val="001E3BF8"/>
    <w:rsid w:val="001E6139"/>
    <w:rsid w:val="001E6515"/>
    <w:rsid w:val="001E7018"/>
    <w:rsid w:val="001F7A2C"/>
    <w:rsid w:val="00202AE0"/>
    <w:rsid w:val="00205A03"/>
    <w:rsid w:val="00211251"/>
    <w:rsid w:val="00211D59"/>
    <w:rsid w:val="00213846"/>
    <w:rsid w:val="002149B8"/>
    <w:rsid w:val="00214C08"/>
    <w:rsid w:val="002156CA"/>
    <w:rsid w:val="0021585F"/>
    <w:rsid w:val="002159B3"/>
    <w:rsid w:val="00215CAC"/>
    <w:rsid w:val="00215D7A"/>
    <w:rsid w:val="00222062"/>
    <w:rsid w:val="00225A19"/>
    <w:rsid w:val="00227B93"/>
    <w:rsid w:val="00230BA2"/>
    <w:rsid w:val="00230C0F"/>
    <w:rsid w:val="002324AB"/>
    <w:rsid w:val="002329FB"/>
    <w:rsid w:val="002348D8"/>
    <w:rsid w:val="00234D40"/>
    <w:rsid w:val="002354ED"/>
    <w:rsid w:val="0023595B"/>
    <w:rsid w:val="002414EA"/>
    <w:rsid w:val="00245190"/>
    <w:rsid w:val="00246223"/>
    <w:rsid w:val="0024649E"/>
    <w:rsid w:val="002478E3"/>
    <w:rsid w:val="002504EC"/>
    <w:rsid w:val="0025179E"/>
    <w:rsid w:val="00260D2B"/>
    <w:rsid w:val="00274AD0"/>
    <w:rsid w:val="00275F68"/>
    <w:rsid w:val="00277ACA"/>
    <w:rsid w:val="002816C4"/>
    <w:rsid w:val="00281743"/>
    <w:rsid w:val="002818AB"/>
    <w:rsid w:val="00286C9E"/>
    <w:rsid w:val="00291192"/>
    <w:rsid w:val="002928AB"/>
    <w:rsid w:val="00293111"/>
    <w:rsid w:val="00294722"/>
    <w:rsid w:val="00296D73"/>
    <w:rsid w:val="002A3805"/>
    <w:rsid w:val="002A3C15"/>
    <w:rsid w:val="002A6648"/>
    <w:rsid w:val="002A6949"/>
    <w:rsid w:val="002B1434"/>
    <w:rsid w:val="002B3B39"/>
    <w:rsid w:val="002B4929"/>
    <w:rsid w:val="002C1060"/>
    <w:rsid w:val="002C1E26"/>
    <w:rsid w:val="002C227C"/>
    <w:rsid w:val="002C4791"/>
    <w:rsid w:val="002D0E54"/>
    <w:rsid w:val="002D1050"/>
    <w:rsid w:val="002D396B"/>
    <w:rsid w:val="002D47BA"/>
    <w:rsid w:val="002D59E1"/>
    <w:rsid w:val="002D6E17"/>
    <w:rsid w:val="002D795B"/>
    <w:rsid w:val="002E03D5"/>
    <w:rsid w:val="002E1035"/>
    <w:rsid w:val="002E28E2"/>
    <w:rsid w:val="002E4CA5"/>
    <w:rsid w:val="002E5DB0"/>
    <w:rsid w:val="002E7D35"/>
    <w:rsid w:val="002F05AE"/>
    <w:rsid w:val="002F094E"/>
    <w:rsid w:val="002F1C5A"/>
    <w:rsid w:val="002F2EBE"/>
    <w:rsid w:val="002F55BC"/>
    <w:rsid w:val="003013A3"/>
    <w:rsid w:val="00303D9A"/>
    <w:rsid w:val="003058CE"/>
    <w:rsid w:val="00305B5F"/>
    <w:rsid w:val="0030759B"/>
    <w:rsid w:val="0031020C"/>
    <w:rsid w:val="00311E15"/>
    <w:rsid w:val="00312BEA"/>
    <w:rsid w:val="003152E5"/>
    <w:rsid w:val="00320092"/>
    <w:rsid w:val="0032118B"/>
    <w:rsid w:val="00322F96"/>
    <w:rsid w:val="003247D8"/>
    <w:rsid w:val="00325157"/>
    <w:rsid w:val="00330D15"/>
    <w:rsid w:val="00331106"/>
    <w:rsid w:val="00334A17"/>
    <w:rsid w:val="00334F14"/>
    <w:rsid w:val="0033515E"/>
    <w:rsid w:val="00340389"/>
    <w:rsid w:val="003408BA"/>
    <w:rsid w:val="003415AB"/>
    <w:rsid w:val="00342169"/>
    <w:rsid w:val="0034674A"/>
    <w:rsid w:val="00347ACD"/>
    <w:rsid w:val="00347C01"/>
    <w:rsid w:val="00350095"/>
    <w:rsid w:val="00350DC6"/>
    <w:rsid w:val="00352AEB"/>
    <w:rsid w:val="00355593"/>
    <w:rsid w:val="003566E6"/>
    <w:rsid w:val="00357E0A"/>
    <w:rsid w:val="00363B45"/>
    <w:rsid w:val="003643F9"/>
    <w:rsid w:val="0037402A"/>
    <w:rsid w:val="003817F7"/>
    <w:rsid w:val="003826A8"/>
    <w:rsid w:val="003843BF"/>
    <w:rsid w:val="00385615"/>
    <w:rsid w:val="003920C4"/>
    <w:rsid w:val="003927FE"/>
    <w:rsid w:val="0039619B"/>
    <w:rsid w:val="003A0247"/>
    <w:rsid w:val="003A0784"/>
    <w:rsid w:val="003A10B9"/>
    <w:rsid w:val="003A235F"/>
    <w:rsid w:val="003A262F"/>
    <w:rsid w:val="003A2EB2"/>
    <w:rsid w:val="003B0F43"/>
    <w:rsid w:val="003B1441"/>
    <w:rsid w:val="003B1859"/>
    <w:rsid w:val="003B1ED0"/>
    <w:rsid w:val="003B1F9D"/>
    <w:rsid w:val="003B22B7"/>
    <w:rsid w:val="003B270F"/>
    <w:rsid w:val="003B5B82"/>
    <w:rsid w:val="003B60F8"/>
    <w:rsid w:val="003B79CD"/>
    <w:rsid w:val="003C1497"/>
    <w:rsid w:val="003C1BEF"/>
    <w:rsid w:val="003C7BE0"/>
    <w:rsid w:val="003D1D68"/>
    <w:rsid w:val="003D2226"/>
    <w:rsid w:val="003D3139"/>
    <w:rsid w:val="003D3F8C"/>
    <w:rsid w:val="003D5B2F"/>
    <w:rsid w:val="003D6361"/>
    <w:rsid w:val="003D7D6B"/>
    <w:rsid w:val="003E02FC"/>
    <w:rsid w:val="003E2F0F"/>
    <w:rsid w:val="003E7021"/>
    <w:rsid w:val="003F02F1"/>
    <w:rsid w:val="003F1DD7"/>
    <w:rsid w:val="003F2232"/>
    <w:rsid w:val="003F533C"/>
    <w:rsid w:val="003F5688"/>
    <w:rsid w:val="003F5A56"/>
    <w:rsid w:val="003F5C09"/>
    <w:rsid w:val="003F6477"/>
    <w:rsid w:val="003F6493"/>
    <w:rsid w:val="00402528"/>
    <w:rsid w:val="00405E1D"/>
    <w:rsid w:val="004069CB"/>
    <w:rsid w:val="00407723"/>
    <w:rsid w:val="00407CBA"/>
    <w:rsid w:val="004110CE"/>
    <w:rsid w:val="00411CFB"/>
    <w:rsid w:val="004239EB"/>
    <w:rsid w:val="004254D3"/>
    <w:rsid w:val="00425FAA"/>
    <w:rsid w:val="004260E6"/>
    <w:rsid w:val="0042646E"/>
    <w:rsid w:val="00426B91"/>
    <w:rsid w:val="00432B28"/>
    <w:rsid w:val="00432F0C"/>
    <w:rsid w:val="004343D7"/>
    <w:rsid w:val="00435EA1"/>
    <w:rsid w:val="00437872"/>
    <w:rsid w:val="00442527"/>
    <w:rsid w:val="004448A6"/>
    <w:rsid w:val="0045166F"/>
    <w:rsid w:val="004554E1"/>
    <w:rsid w:val="004613F0"/>
    <w:rsid w:val="0046196B"/>
    <w:rsid w:val="00461CC1"/>
    <w:rsid w:val="004666ED"/>
    <w:rsid w:val="00466DF5"/>
    <w:rsid w:val="00467DB8"/>
    <w:rsid w:val="0047161C"/>
    <w:rsid w:val="0047248C"/>
    <w:rsid w:val="00474861"/>
    <w:rsid w:val="00475D8D"/>
    <w:rsid w:val="00475FC1"/>
    <w:rsid w:val="00481521"/>
    <w:rsid w:val="00481F2B"/>
    <w:rsid w:val="004831B9"/>
    <w:rsid w:val="004840F3"/>
    <w:rsid w:val="00484D65"/>
    <w:rsid w:val="00484F17"/>
    <w:rsid w:val="00485CDC"/>
    <w:rsid w:val="00492430"/>
    <w:rsid w:val="004972D7"/>
    <w:rsid w:val="00497983"/>
    <w:rsid w:val="004A0673"/>
    <w:rsid w:val="004A0B64"/>
    <w:rsid w:val="004A2195"/>
    <w:rsid w:val="004A37E6"/>
    <w:rsid w:val="004A61E1"/>
    <w:rsid w:val="004A7653"/>
    <w:rsid w:val="004B0419"/>
    <w:rsid w:val="004B159D"/>
    <w:rsid w:val="004B2961"/>
    <w:rsid w:val="004B3696"/>
    <w:rsid w:val="004B4524"/>
    <w:rsid w:val="004B475E"/>
    <w:rsid w:val="004B609E"/>
    <w:rsid w:val="004B6CCD"/>
    <w:rsid w:val="004B7481"/>
    <w:rsid w:val="004C21E7"/>
    <w:rsid w:val="004C3E8B"/>
    <w:rsid w:val="004C5B09"/>
    <w:rsid w:val="004D13F8"/>
    <w:rsid w:val="004D1DAB"/>
    <w:rsid w:val="004D53F9"/>
    <w:rsid w:val="004D5635"/>
    <w:rsid w:val="004D6B3A"/>
    <w:rsid w:val="004D6F1C"/>
    <w:rsid w:val="004E2929"/>
    <w:rsid w:val="004E2E45"/>
    <w:rsid w:val="004E40D5"/>
    <w:rsid w:val="004E4EA4"/>
    <w:rsid w:val="004E5732"/>
    <w:rsid w:val="004E7187"/>
    <w:rsid w:val="004E7A9A"/>
    <w:rsid w:val="004F02CE"/>
    <w:rsid w:val="004F441A"/>
    <w:rsid w:val="004F48EE"/>
    <w:rsid w:val="004F6234"/>
    <w:rsid w:val="00500CC6"/>
    <w:rsid w:val="005038A4"/>
    <w:rsid w:val="005052E5"/>
    <w:rsid w:val="00507091"/>
    <w:rsid w:val="00507709"/>
    <w:rsid w:val="005078A2"/>
    <w:rsid w:val="0051222A"/>
    <w:rsid w:val="0051428B"/>
    <w:rsid w:val="00514F02"/>
    <w:rsid w:val="005151D2"/>
    <w:rsid w:val="0051599B"/>
    <w:rsid w:val="00517925"/>
    <w:rsid w:val="0052056A"/>
    <w:rsid w:val="005218AE"/>
    <w:rsid w:val="00522EE0"/>
    <w:rsid w:val="0052650F"/>
    <w:rsid w:val="00526A2A"/>
    <w:rsid w:val="00531659"/>
    <w:rsid w:val="0053172E"/>
    <w:rsid w:val="0053637E"/>
    <w:rsid w:val="00536CD2"/>
    <w:rsid w:val="00541FB1"/>
    <w:rsid w:val="005452C2"/>
    <w:rsid w:val="00551D96"/>
    <w:rsid w:val="00553725"/>
    <w:rsid w:val="0056025C"/>
    <w:rsid w:val="005623F0"/>
    <w:rsid w:val="00562754"/>
    <w:rsid w:val="0056793C"/>
    <w:rsid w:val="00570133"/>
    <w:rsid w:val="005733BC"/>
    <w:rsid w:val="005753E4"/>
    <w:rsid w:val="0057760D"/>
    <w:rsid w:val="005856C3"/>
    <w:rsid w:val="005859C0"/>
    <w:rsid w:val="00587DCD"/>
    <w:rsid w:val="0059035F"/>
    <w:rsid w:val="0059160C"/>
    <w:rsid w:val="00595045"/>
    <w:rsid w:val="005A13D8"/>
    <w:rsid w:val="005A3E2C"/>
    <w:rsid w:val="005A693A"/>
    <w:rsid w:val="005A7D1A"/>
    <w:rsid w:val="005A7D2C"/>
    <w:rsid w:val="005B0444"/>
    <w:rsid w:val="005B09A9"/>
    <w:rsid w:val="005B1E09"/>
    <w:rsid w:val="005B349B"/>
    <w:rsid w:val="005B3A41"/>
    <w:rsid w:val="005B4206"/>
    <w:rsid w:val="005C470F"/>
    <w:rsid w:val="005C54C7"/>
    <w:rsid w:val="005C5A81"/>
    <w:rsid w:val="005C5B22"/>
    <w:rsid w:val="005C5B7A"/>
    <w:rsid w:val="005D0248"/>
    <w:rsid w:val="005D553A"/>
    <w:rsid w:val="005D7842"/>
    <w:rsid w:val="005E2EB9"/>
    <w:rsid w:val="005E5DE6"/>
    <w:rsid w:val="005E7178"/>
    <w:rsid w:val="005E7CB8"/>
    <w:rsid w:val="005E7FFA"/>
    <w:rsid w:val="005F094F"/>
    <w:rsid w:val="005F12FD"/>
    <w:rsid w:val="005F578F"/>
    <w:rsid w:val="005F5D89"/>
    <w:rsid w:val="005F79AB"/>
    <w:rsid w:val="00600812"/>
    <w:rsid w:val="00601133"/>
    <w:rsid w:val="00601462"/>
    <w:rsid w:val="00602443"/>
    <w:rsid w:val="00604A69"/>
    <w:rsid w:val="00604B2F"/>
    <w:rsid w:val="0060619D"/>
    <w:rsid w:val="00612812"/>
    <w:rsid w:val="00613076"/>
    <w:rsid w:val="006140CD"/>
    <w:rsid w:val="0061589F"/>
    <w:rsid w:val="00615DC7"/>
    <w:rsid w:val="00616B37"/>
    <w:rsid w:val="006170FF"/>
    <w:rsid w:val="00617FC9"/>
    <w:rsid w:val="00623145"/>
    <w:rsid w:val="006239BB"/>
    <w:rsid w:val="00623B7F"/>
    <w:rsid w:val="00625C49"/>
    <w:rsid w:val="0062671F"/>
    <w:rsid w:val="006271DB"/>
    <w:rsid w:val="00630D99"/>
    <w:rsid w:val="0063160D"/>
    <w:rsid w:val="0063164B"/>
    <w:rsid w:val="006327C2"/>
    <w:rsid w:val="006331F8"/>
    <w:rsid w:val="00634E58"/>
    <w:rsid w:val="00635AC9"/>
    <w:rsid w:val="00636946"/>
    <w:rsid w:val="00636CE5"/>
    <w:rsid w:val="00640336"/>
    <w:rsid w:val="00643F50"/>
    <w:rsid w:val="006453C4"/>
    <w:rsid w:val="006461F6"/>
    <w:rsid w:val="00650B4F"/>
    <w:rsid w:val="00654EF4"/>
    <w:rsid w:val="00655451"/>
    <w:rsid w:val="00655C9C"/>
    <w:rsid w:val="0066334E"/>
    <w:rsid w:val="006639BB"/>
    <w:rsid w:val="00663A54"/>
    <w:rsid w:val="00664B33"/>
    <w:rsid w:val="00667C26"/>
    <w:rsid w:val="00675315"/>
    <w:rsid w:val="006761A9"/>
    <w:rsid w:val="006823F6"/>
    <w:rsid w:val="00682756"/>
    <w:rsid w:val="006828F2"/>
    <w:rsid w:val="00682C70"/>
    <w:rsid w:val="00682FF6"/>
    <w:rsid w:val="006852AF"/>
    <w:rsid w:val="00685E02"/>
    <w:rsid w:val="00687A36"/>
    <w:rsid w:val="0069058A"/>
    <w:rsid w:val="006A08BF"/>
    <w:rsid w:val="006A0E5B"/>
    <w:rsid w:val="006A1F58"/>
    <w:rsid w:val="006A3247"/>
    <w:rsid w:val="006A547D"/>
    <w:rsid w:val="006A7247"/>
    <w:rsid w:val="006A78D5"/>
    <w:rsid w:val="006B25BC"/>
    <w:rsid w:val="006B2CE7"/>
    <w:rsid w:val="006B330B"/>
    <w:rsid w:val="006B478B"/>
    <w:rsid w:val="006B4ADC"/>
    <w:rsid w:val="006B6784"/>
    <w:rsid w:val="006C13AB"/>
    <w:rsid w:val="006C20F4"/>
    <w:rsid w:val="006C21E6"/>
    <w:rsid w:val="006C2CE9"/>
    <w:rsid w:val="006C6488"/>
    <w:rsid w:val="006C648C"/>
    <w:rsid w:val="006C7208"/>
    <w:rsid w:val="006C7839"/>
    <w:rsid w:val="006C7DC7"/>
    <w:rsid w:val="006D0C15"/>
    <w:rsid w:val="006D386F"/>
    <w:rsid w:val="006D7710"/>
    <w:rsid w:val="006E18FE"/>
    <w:rsid w:val="006E421A"/>
    <w:rsid w:val="006E4444"/>
    <w:rsid w:val="006E44A1"/>
    <w:rsid w:val="006E6A19"/>
    <w:rsid w:val="006E7DF1"/>
    <w:rsid w:val="006F3F90"/>
    <w:rsid w:val="006F6442"/>
    <w:rsid w:val="006F7DEA"/>
    <w:rsid w:val="00702C39"/>
    <w:rsid w:val="007042BD"/>
    <w:rsid w:val="00704E72"/>
    <w:rsid w:val="00707A51"/>
    <w:rsid w:val="007111E4"/>
    <w:rsid w:val="00715BC4"/>
    <w:rsid w:val="00722445"/>
    <w:rsid w:val="00724FEC"/>
    <w:rsid w:val="00725BCB"/>
    <w:rsid w:val="00725FE5"/>
    <w:rsid w:val="007300F4"/>
    <w:rsid w:val="007301D1"/>
    <w:rsid w:val="00730D47"/>
    <w:rsid w:val="00740DA0"/>
    <w:rsid w:val="007416D5"/>
    <w:rsid w:val="00743B3E"/>
    <w:rsid w:val="00744C7A"/>
    <w:rsid w:val="00745F0D"/>
    <w:rsid w:val="00751C9C"/>
    <w:rsid w:val="00752F9F"/>
    <w:rsid w:val="007559A1"/>
    <w:rsid w:val="0076027E"/>
    <w:rsid w:val="00761FF0"/>
    <w:rsid w:val="00763D9A"/>
    <w:rsid w:val="0076534C"/>
    <w:rsid w:val="00765958"/>
    <w:rsid w:val="00766193"/>
    <w:rsid w:val="00770176"/>
    <w:rsid w:val="0077067D"/>
    <w:rsid w:val="00771738"/>
    <w:rsid w:val="0077190F"/>
    <w:rsid w:val="007838AF"/>
    <w:rsid w:val="00783DE4"/>
    <w:rsid w:val="00784760"/>
    <w:rsid w:val="00787FA9"/>
    <w:rsid w:val="007944DD"/>
    <w:rsid w:val="007963FB"/>
    <w:rsid w:val="00796BE0"/>
    <w:rsid w:val="007976DF"/>
    <w:rsid w:val="007A3569"/>
    <w:rsid w:val="007A3974"/>
    <w:rsid w:val="007A55F6"/>
    <w:rsid w:val="007A7627"/>
    <w:rsid w:val="007B2A82"/>
    <w:rsid w:val="007B55D3"/>
    <w:rsid w:val="007B571B"/>
    <w:rsid w:val="007B5E62"/>
    <w:rsid w:val="007B6543"/>
    <w:rsid w:val="007C30B4"/>
    <w:rsid w:val="007C30D1"/>
    <w:rsid w:val="007C4BA4"/>
    <w:rsid w:val="007C7425"/>
    <w:rsid w:val="007D53FB"/>
    <w:rsid w:val="007D6F76"/>
    <w:rsid w:val="007E085A"/>
    <w:rsid w:val="007E2B65"/>
    <w:rsid w:val="007E3FB0"/>
    <w:rsid w:val="007E4FBA"/>
    <w:rsid w:val="007F2CA3"/>
    <w:rsid w:val="007F6C70"/>
    <w:rsid w:val="008005F6"/>
    <w:rsid w:val="008010CB"/>
    <w:rsid w:val="00802D43"/>
    <w:rsid w:val="008068E9"/>
    <w:rsid w:val="008078E5"/>
    <w:rsid w:val="00810565"/>
    <w:rsid w:val="00810FAC"/>
    <w:rsid w:val="00812F04"/>
    <w:rsid w:val="00813355"/>
    <w:rsid w:val="00813A71"/>
    <w:rsid w:val="008155A4"/>
    <w:rsid w:val="00815FF3"/>
    <w:rsid w:val="008225CD"/>
    <w:rsid w:val="0082300C"/>
    <w:rsid w:val="00823B9D"/>
    <w:rsid w:val="0082599A"/>
    <w:rsid w:val="00827635"/>
    <w:rsid w:val="008312EA"/>
    <w:rsid w:val="0083141E"/>
    <w:rsid w:val="008324B6"/>
    <w:rsid w:val="00833CD8"/>
    <w:rsid w:val="00834FE2"/>
    <w:rsid w:val="00835097"/>
    <w:rsid w:val="0083611E"/>
    <w:rsid w:val="00836687"/>
    <w:rsid w:val="008448F1"/>
    <w:rsid w:val="008469E3"/>
    <w:rsid w:val="00850592"/>
    <w:rsid w:val="00853239"/>
    <w:rsid w:val="00855A4B"/>
    <w:rsid w:val="00855F18"/>
    <w:rsid w:val="0085637D"/>
    <w:rsid w:val="0086014D"/>
    <w:rsid w:val="0086040B"/>
    <w:rsid w:val="008614C0"/>
    <w:rsid w:val="008646B4"/>
    <w:rsid w:val="0087009A"/>
    <w:rsid w:val="00871CF6"/>
    <w:rsid w:val="00873638"/>
    <w:rsid w:val="008751F0"/>
    <w:rsid w:val="00876D1D"/>
    <w:rsid w:val="00877DDA"/>
    <w:rsid w:val="00881450"/>
    <w:rsid w:val="00881B1C"/>
    <w:rsid w:val="008875B0"/>
    <w:rsid w:val="00890192"/>
    <w:rsid w:val="008938D6"/>
    <w:rsid w:val="00893A38"/>
    <w:rsid w:val="0089615D"/>
    <w:rsid w:val="00896D15"/>
    <w:rsid w:val="00897B4F"/>
    <w:rsid w:val="008A1BED"/>
    <w:rsid w:val="008A2BBB"/>
    <w:rsid w:val="008A58C6"/>
    <w:rsid w:val="008B1407"/>
    <w:rsid w:val="008B50E7"/>
    <w:rsid w:val="008B5679"/>
    <w:rsid w:val="008B669B"/>
    <w:rsid w:val="008B7BF2"/>
    <w:rsid w:val="008C3008"/>
    <w:rsid w:val="008C7278"/>
    <w:rsid w:val="008D6699"/>
    <w:rsid w:val="008D6FB7"/>
    <w:rsid w:val="008D75BF"/>
    <w:rsid w:val="008D7B65"/>
    <w:rsid w:val="008E13E2"/>
    <w:rsid w:val="008E19F9"/>
    <w:rsid w:val="008E589F"/>
    <w:rsid w:val="008E6A38"/>
    <w:rsid w:val="008F5349"/>
    <w:rsid w:val="008F78E0"/>
    <w:rsid w:val="00902022"/>
    <w:rsid w:val="00904183"/>
    <w:rsid w:val="009049CF"/>
    <w:rsid w:val="00906D1E"/>
    <w:rsid w:val="00907B58"/>
    <w:rsid w:val="009102E3"/>
    <w:rsid w:val="0091274B"/>
    <w:rsid w:val="0091357D"/>
    <w:rsid w:val="009148E2"/>
    <w:rsid w:val="009202D2"/>
    <w:rsid w:val="0092125B"/>
    <w:rsid w:val="0092229C"/>
    <w:rsid w:val="00927C72"/>
    <w:rsid w:val="009309E1"/>
    <w:rsid w:val="0094025F"/>
    <w:rsid w:val="00940993"/>
    <w:rsid w:val="00943612"/>
    <w:rsid w:val="00951C24"/>
    <w:rsid w:val="00952261"/>
    <w:rsid w:val="00957559"/>
    <w:rsid w:val="00960E80"/>
    <w:rsid w:val="0096273B"/>
    <w:rsid w:val="009639A9"/>
    <w:rsid w:val="00965A87"/>
    <w:rsid w:val="00967126"/>
    <w:rsid w:val="0097443E"/>
    <w:rsid w:val="00976C92"/>
    <w:rsid w:val="00976FD3"/>
    <w:rsid w:val="009772C1"/>
    <w:rsid w:val="00981F10"/>
    <w:rsid w:val="009842D1"/>
    <w:rsid w:val="00987A58"/>
    <w:rsid w:val="00987B32"/>
    <w:rsid w:val="00987CB9"/>
    <w:rsid w:val="00990BCC"/>
    <w:rsid w:val="009924AA"/>
    <w:rsid w:val="0099323D"/>
    <w:rsid w:val="009934E5"/>
    <w:rsid w:val="00993E3C"/>
    <w:rsid w:val="00994A95"/>
    <w:rsid w:val="00997073"/>
    <w:rsid w:val="00997557"/>
    <w:rsid w:val="009A086A"/>
    <w:rsid w:val="009A0EE9"/>
    <w:rsid w:val="009A3BCD"/>
    <w:rsid w:val="009A79E2"/>
    <w:rsid w:val="009B362E"/>
    <w:rsid w:val="009B3FA3"/>
    <w:rsid w:val="009C5B11"/>
    <w:rsid w:val="009C5BF1"/>
    <w:rsid w:val="009C70C1"/>
    <w:rsid w:val="009D07E3"/>
    <w:rsid w:val="009D0CA5"/>
    <w:rsid w:val="009D2DD3"/>
    <w:rsid w:val="009D50A5"/>
    <w:rsid w:val="009D600B"/>
    <w:rsid w:val="009D640A"/>
    <w:rsid w:val="009D719A"/>
    <w:rsid w:val="009D7362"/>
    <w:rsid w:val="009E1139"/>
    <w:rsid w:val="009E505A"/>
    <w:rsid w:val="009F04FF"/>
    <w:rsid w:val="009F2DD6"/>
    <w:rsid w:val="00A01AFB"/>
    <w:rsid w:val="00A01BC2"/>
    <w:rsid w:val="00A029A8"/>
    <w:rsid w:val="00A05037"/>
    <w:rsid w:val="00A060E2"/>
    <w:rsid w:val="00A10359"/>
    <w:rsid w:val="00A10393"/>
    <w:rsid w:val="00A10CF0"/>
    <w:rsid w:val="00A1287E"/>
    <w:rsid w:val="00A13282"/>
    <w:rsid w:val="00A15066"/>
    <w:rsid w:val="00A15FE6"/>
    <w:rsid w:val="00A21357"/>
    <w:rsid w:val="00A2215B"/>
    <w:rsid w:val="00A241F6"/>
    <w:rsid w:val="00A2521F"/>
    <w:rsid w:val="00A307F9"/>
    <w:rsid w:val="00A31444"/>
    <w:rsid w:val="00A34DF3"/>
    <w:rsid w:val="00A35EE3"/>
    <w:rsid w:val="00A35F2D"/>
    <w:rsid w:val="00A363EE"/>
    <w:rsid w:val="00A46719"/>
    <w:rsid w:val="00A46E6E"/>
    <w:rsid w:val="00A471FB"/>
    <w:rsid w:val="00A47500"/>
    <w:rsid w:val="00A5157B"/>
    <w:rsid w:val="00A53523"/>
    <w:rsid w:val="00A54CFD"/>
    <w:rsid w:val="00A572B1"/>
    <w:rsid w:val="00A606B8"/>
    <w:rsid w:val="00A6477D"/>
    <w:rsid w:val="00A65130"/>
    <w:rsid w:val="00A65300"/>
    <w:rsid w:val="00A655F7"/>
    <w:rsid w:val="00A6665B"/>
    <w:rsid w:val="00A666C5"/>
    <w:rsid w:val="00A714EA"/>
    <w:rsid w:val="00A7155C"/>
    <w:rsid w:val="00A774AB"/>
    <w:rsid w:val="00A800D3"/>
    <w:rsid w:val="00A8218A"/>
    <w:rsid w:val="00A82D6E"/>
    <w:rsid w:val="00A849B0"/>
    <w:rsid w:val="00A86E47"/>
    <w:rsid w:val="00A908AE"/>
    <w:rsid w:val="00A90E99"/>
    <w:rsid w:val="00A90EDB"/>
    <w:rsid w:val="00A914C7"/>
    <w:rsid w:val="00A940EF"/>
    <w:rsid w:val="00A97028"/>
    <w:rsid w:val="00AA00AA"/>
    <w:rsid w:val="00AA2D0B"/>
    <w:rsid w:val="00AA4E6D"/>
    <w:rsid w:val="00AB0A37"/>
    <w:rsid w:val="00AB0FCE"/>
    <w:rsid w:val="00AB4FC1"/>
    <w:rsid w:val="00AB65DC"/>
    <w:rsid w:val="00AB6999"/>
    <w:rsid w:val="00AC340A"/>
    <w:rsid w:val="00AC359A"/>
    <w:rsid w:val="00AC4C88"/>
    <w:rsid w:val="00AC76A7"/>
    <w:rsid w:val="00AD3951"/>
    <w:rsid w:val="00AD4E80"/>
    <w:rsid w:val="00AD6637"/>
    <w:rsid w:val="00AD7422"/>
    <w:rsid w:val="00AD78FF"/>
    <w:rsid w:val="00AE1161"/>
    <w:rsid w:val="00AE635F"/>
    <w:rsid w:val="00AF13A1"/>
    <w:rsid w:val="00B0066B"/>
    <w:rsid w:val="00B01339"/>
    <w:rsid w:val="00B03136"/>
    <w:rsid w:val="00B03199"/>
    <w:rsid w:val="00B036AE"/>
    <w:rsid w:val="00B046CD"/>
    <w:rsid w:val="00B101F0"/>
    <w:rsid w:val="00B10B5F"/>
    <w:rsid w:val="00B15894"/>
    <w:rsid w:val="00B21892"/>
    <w:rsid w:val="00B24438"/>
    <w:rsid w:val="00B24771"/>
    <w:rsid w:val="00B25CA9"/>
    <w:rsid w:val="00B265F4"/>
    <w:rsid w:val="00B26E5B"/>
    <w:rsid w:val="00B3143D"/>
    <w:rsid w:val="00B32340"/>
    <w:rsid w:val="00B324B0"/>
    <w:rsid w:val="00B32AC2"/>
    <w:rsid w:val="00B36EE5"/>
    <w:rsid w:val="00B37DBA"/>
    <w:rsid w:val="00B40A8A"/>
    <w:rsid w:val="00B42AA8"/>
    <w:rsid w:val="00B42E94"/>
    <w:rsid w:val="00B43C20"/>
    <w:rsid w:val="00B4617F"/>
    <w:rsid w:val="00B5230B"/>
    <w:rsid w:val="00B5241E"/>
    <w:rsid w:val="00B536A8"/>
    <w:rsid w:val="00B546D5"/>
    <w:rsid w:val="00B547AF"/>
    <w:rsid w:val="00B562BA"/>
    <w:rsid w:val="00B56B71"/>
    <w:rsid w:val="00B57C28"/>
    <w:rsid w:val="00B6241A"/>
    <w:rsid w:val="00B63FC1"/>
    <w:rsid w:val="00B66212"/>
    <w:rsid w:val="00B7173E"/>
    <w:rsid w:val="00B74736"/>
    <w:rsid w:val="00B75BAF"/>
    <w:rsid w:val="00B81C18"/>
    <w:rsid w:val="00B81EF1"/>
    <w:rsid w:val="00B831C1"/>
    <w:rsid w:val="00B85E8C"/>
    <w:rsid w:val="00B86541"/>
    <w:rsid w:val="00B97CD4"/>
    <w:rsid w:val="00BA0F06"/>
    <w:rsid w:val="00BA7869"/>
    <w:rsid w:val="00BB0F68"/>
    <w:rsid w:val="00BB4704"/>
    <w:rsid w:val="00BB750C"/>
    <w:rsid w:val="00BB7A8E"/>
    <w:rsid w:val="00BC096D"/>
    <w:rsid w:val="00BC112D"/>
    <w:rsid w:val="00BC1432"/>
    <w:rsid w:val="00BC3AC5"/>
    <w:rsid w:val="00BC5CC0"/>
    <w:rsid w:val="00BC71FE"/>
    <w:rsid w:val="00BC7BB1"/>
    <w:rsid w:val="00BC7CEC"/>
    <w:rsid w:val="00BD5370"/>
    <w:rsid w:val="00BD53EB"/>
    <w:rsid w:val="00BD7B49"/>
    <w:rsid w:val="00BE012E"/>
    <w:rsid w:val="00BE045B"/>
    <w:rsid w:val="00BE0AC6"/>
    <w:rsid w:val="00BE3E15"/>
    <w:rsid w:val="00BE6729"/>
    <w:rsid w:val="00BE7F30"/>
    <w:rsid w:val="00BF1C42"/>
    <w:rsid w:val="00BF34CB"/>
    <w:rsid w:val="00BF5472"/>
    <w:rsid w:val="00BF715A"/>
    <w:rsid w:val="00C00391"/>
    <w:rsid w:val="00C01DB7"/>
    <w:rsid w:val="00C05154"/>
    <w:rsid w:val="00C075F7"/>
    <w:rsid w:val="00C11CAB"/>
    <w:rsid w:val="00C12C81"/>
    <w:rsid w:val="00C13A6A"/>
    <w:rsid w:val="00C15B89"/>
    <w:rsid w:val="00C17B4E"/>
    <w:rsid w:val="00C2461E"/>
    <w:rsid w:val="00C26B74"/>
    <w:rsid w:val="00C33476"/>
    <w:rsid w:val="00C34CB7"/>
    <w:rsid w:val="00C37607"/>
    <w:rsid w:val="00C40830"/>
    <w:rsid w:val="00C412D4"/>
    <w:rsid w:val="00C426C2"/>
    <w:rsid w:val="00C437A6"/>
    <w:rsid w:val="00C438E8"/>
    <w:rsid w:val="00C4768E"/>
    <w:rsid w:val="00C50014"/>
    <w:rsid w:val="00C5106A"/>
    <w:rsid w:val="00C51B07"/>
    <w:rsid w:val="00C52AE7"/>
    <w:rsid w:val="00C532A6"/>
    <w:rsid w:val="00C545E1"/>
    <w:rsid w:val="00C555E0"/>
    <w:rsid w:val="00C55749"/>
    <w:rsid w:val="00C613C6"/>
    <w:rsid w:val="00C62C5D"/>
    <w:rsid w:val="00C632C7"/>
    <w:rsid w:val="00C63B62"/>
    <w:rsid w:val="00C6450C"/>
    <w:rsid w:val="00C6683D"/>
    <w:rsid w:val="00C671B1"/>
    <w:rsid w:val="00C72525"/>
    <w:rsid w:val="00C74346"/>
    <w:rsid w:val="00C74F82"/>
    <w:rsid w:val="00C756BF"/>
    <w:rsid w:val="00C770FF"/>
    <w:rsid w:val="00C8060F"/>
    <w:rsid w:val="00C819CA"/>
    <w:rsid w:val="00C82BCB"/>
    <w:rsid w:val="00C83A61"/>
    <w:rsid w:val="00C84F3B"/>
    <w:rsid w:val="00C8571D"/>
    <w:rsid w:val="00C85D10"/>
    <w:rsid w:val="00C91D3A"/>
    <w:rsid w:val="00C926DB"/>
    <w:rsid w:val="00C92C0D"/>
    <w:rsid w:val="00C976C7"/>
    <w:rsid w:val="00C979AB"/>
    <w:rsid w:val="00C97ABA"/>
    <w:rsid w:val="00CA6483"/>
    <w:rsid w:val="00CA6576"/>
    <w:rsid w:val="00CA6579"/>
    <w:rsid w:val="00CB1601"/>
    <w:rsid w:val="00CB3FB9"/>
    <w:rsid w:val="00CB573E"/>
    <w:rsid w:val="00CB75F6"/>
    <w:rsid w:val="00CB7F14"/>
    <w:rsid w:val="00CC11D3"/>
    <w:rsid w:val="00CC1857"/>
    <w:rsid w:val="00CC2BC1"/>
    <w:rsid w:val="00CC5523"/>
    <w:rsid w:val="00CC5D1D"/>
    <w:rsid w:val="00CD185D"/>
    <w:rsid w:val="00CD1A20"/>
    <w:rsid w:val="00CD1C17"/>
    <w:rsid w:val="00CD249D"/>
    <w:rsid w:val="00CD3138"/>
    <w:rsid w:val="00CD3E91"/>
    <w:rsid w:val="00CD425B"/>
    <w:rsid w:val="00CD47AB"/>
    <w:rsid w:val="00CD5324"/>
    <w:rsid w:val="00CD6963"/>
    <w:rsid w:val="00CE11C4"/>
    <w:rsid w:val="00CE64EA"/>
    <w:rsid w:val="00CE7CD7"/>
    <w:rsid w:val="00CF00B7"/>
    <w:rsid w:val="00CF02C7"/>
    <w:rsid w:val="00CF0305"/>
    <w:rsid w:val="00CF0391"/>
    <w:rsid w:val="00CF0C9C"/>
    <w:rsid w:val="00CF0D49"/>
    <w:rsid w:val="00CF2624"/>
    <w:rsid w:val="00CF3F79"/>
    <w:rsid w:val="00CF6EBE"/>
    <w:rsid w:val="00CF7D7B"/>
    <w:rsid w:val="00D0129E"/>
    <w:rsid w:val="00D0426D"/>
    <w:rsid w:val="00D10B78"/>
    <w:rsid w:val="00D1235B"/>
    <w:rsid w:val="00D1239E"/>
    <w:rsid w:val="00D142B8"/>
    <w:rsid w:val="00D14E48"/>
    <w:rsid w:val="00D152C4"/>
    <w:rsid w:val="00D15D6A"/>
    <w:rsid w:val="00D16B76"/>
    <w:rsid w:val="00D20040"/>
    <w:rsid w:val="00D2064E"/>
    <w:rsid w:val="00D23887"/>
    <w:rsid w:val="00D25836"/>
    <w:rsid w:val="00D303CC"/>
    <w:rsid w:val="00D34065"/>
    <w:rsid w:val="00D433CC"/>
    <w:rsid w:val="00D446F0"/>
    <w:rsid w:val="00D449AD"/>
    <w:rsid w:val="00D5112B"/>
    <w:rsid w:val="00D51182"/>
    <w:rsid w:val="00D51BFD"/>
    <w:rsid w:val="00D54D59"/>
    <w:rsid w:val="00D55209"/>
    <w:rsid w:val="00D578C9"/>
    <w:rsid w:val="00D57DB0"/>
    <w:rsid w:val="00D64CA5"/>
    <w:rsid w:val="00D67C3D"/>
    <w:rsid w:val="00D707D7"/>
    <w:rsid w:val="00D73377"/>
    <w:rsid w:val="00D75D5C"/>
    <w:rsid w:val="00D75EBF"/>
    <w:rsid w:val="00D80829"/>
    <w:rsid w:val="00D82453"/>
    <w:rsid w:val="00D8245B"/>
    <w:rsid w:val="00D826A3"/>
    <w:rsid w:val="00D8285A"/>
    <w:rsid w:val="00D82984"/>
    <w:rsid w:val="00D83588"/>
    <w:rsid w:val="00D83A80"/>
    <w:rsid w:val="00D83B3B"/>
    <w:rsid w:val="00D83BEE"/>
    <w:rsid w:val="00D85E31"/>
    <w:rsid w:val="00D87774"/>
    <w:rsid w:val="00D93276"/>
    <w:rsid w:val="00D944A8"/>
    <w:rsid w:val="00D94F42"/>
    <w:rsid w:val="00DA0354"/>
    <w:rsid w:val="00DA0E2B"/>
    <w:rsid w:val="00DA346C"/>
    <w:rsid w:val="00DB1557"/>
    <w:rsid w:val="00DB232D"/>
    <w:rsid w:val="00DB29BA"/>
    <w:rsid w:val="00DC4EF2"/>
    <w:rsid w:val="00DC5FE4"/>
    <w:rsid w:val="00DC606E"/>
    <w:rsid w:val="00DD1B79"/>
    <w:rsid w:val="00DD4E97"/>
    <w:rsid w:val="00DD78F6"/>
    <w:rsid w:val="00DD79C5"/>
    <w:rsid w:val="00DE209B"/>
    <w:rsid w:val="00DE286C"/>
    <w:rsid w:val="00DE40E5"/>
    <w:rsid w:val="00DF369F"/>
    <w:rsid w:val="00DF40BE"/>
    <w:rsid w:val="00DF4316"/>
    <w:rsid w:val="00DF57DA"/>
    <w:rsid w:val="00DF6634"/>
    <w:rsid w:val="00DF668A"/>
    <w:rsid w:val="00DF6AF7"/>
    <w:rsid w:val="00DF7B56"/>
    <w:rsid w:val="00DF7D4F"/>
    <w:rsid w:val="00E02B41"/>
    <w:rsid w:val="00E0440B"/>
    <w:rsid w:val="00E06161"/>
    <w:rsid w:val="00E07FA3"/>
    <w:rsid w:val="00E1101B"/>
    <w:rsid w:val="00E138B9"/>
    <w:rsid w:val="00E172AE"/>
    <w:rsid w:val="00E21492"/>
    <w:rsid w:val="00E21C41"/>
    <w:rsid w:val="00E21F59"/>
    <w:rsid w:val="00E24E4C"/>
    <w:rsid w:val="00E26F4A"/>
    <w:rsid w:val="00E36D5E"/>
    <w:rsid w:val="00E41832"/>
    <w:rsid w:val="00E418C8"/>
    <w:rsid w:val="00E43FD5"/>
    <w:rsid w:val="00E4432E"/>
    <w:rsid w:val="00E446EA"/>
    <w:rsid w:val="00E44B84"/>
    <w:rsid w:val="00E44F68"/>
    <w:rsid w:val="00E47020"/>
    <w:rsid w:val="00E47864"/>
    <w:rsid w:val="00E502A8"/>
    <w:rsid w:val="00E54B99"/>
    <w:rsid w:val="00E56CAF"/>
    <w:rsid w:val="00E6032B"/>
    <w:rsid w:val="00E6074E"/>
    <w:rsid w:val="00E633FE"/>
    <w:rsid w:val="00E647B1"/>
    <w:rsid w:val="00E66BB3"/>
    <w:rsid w:val="00E67426"/>
    <w:rsid w:val="00E7033B"/>
    <w:rsid w:val="00E74FAD"/>
    <w:rsid w:val="00E7601D"/>
    <w:rsid w:val="00E7701C"/>
    <w:rsid w:val="00E80363"/>
    <w:rsid w:val="00E81150"/>
    <w:rsid w:val="00E81375"/>
    <w:rsid w:val="00E82566"/>
    <w:rsid w:val="00E8704F"/>
    <w:rsid w:val="00E87DBA"/>
    <w:rsid w:val="00E9089B"/>
    <w:rsid w:val="00E90B8E"/>
    <w:rsid w:val="00E913F9"/>
    <w:rsid w:val="00E925DF"/>
    <w:rsid w:val="00E9524E"/>
    <w:rsid w:val="00E96D4A"/>
    <w:rsid w:val="00E97855"/>
    <w:rsid w:val="00EA309A"/>
    <w:rsid w:val="00EA636B"/>
    <w:rsid w:val="00EA7AB0"/>
    <w:rsid w:val="00EB0CD1"/>
    <w:rsid w:val="00EB587D"/>
    <w:rsid w:val="00EB63DE"/>
    <w:rsid w:val="00EB7B31"/>
    <w:rsid w:val="00EC3BA4"/>
    <w:rsid w:val="00EC3C2D"/>
    <w:rsid w:val="00EC448D"/>
    <w:rsid w:val="00EC49DF"/>
    <w:rsid w:val="00EC755E"/>
    <w:rsid w:val="00ED006E"/>
    <w:rsid w:val="00ED1439"/>
    <w:rsid w:val="00ED145A"/>
    <w:rsid w:val="00ED2E53"/>
    <w:rsid w:val="00ED3663"/>
    <w:rsid w:val="00ED4EEC"/>
    <w:rsid w:val="00ED5931"/>
    <w:rsid w:val="00ED5C27"/>
    <w:rsid w:val="00ED5EA4"/>
    <w:rsid w:val="00ED661E"/>
    <w:rsid w:val="00ED7793"/>
    <w:rsid w:val="00ED7C14"/>
    <w:rsid w:val="00EE07D8"/>
    <w:rsid w:val="00EE3DC2"/>
    <w:rsid w:val="00EE6C2D"/>
    <w:rsid w:val="00EE7FA7"/>
    <w:rsid w:val="00EF0B53"/>
    <w:rsid w:val="00EF23E7"/>
    <w:rsid w:val="00EF26C5"/>
    <w:rsid w:val="00EF2FCE"/>
    <w:rsid w:val="00EF464E"/>
    <w:rsid w:val="00EF4FB8"/>
    <w:rsid w:val="00EF71B6"/>
    <w:rsid w:val="00EF78D1"/>
    <w:rsid w:val="00F009C4"/>
    <w:rsid w:val="00F02E22"/>
    <w:rsid w:val="00F057B5"/>
    <w:rsid w:val="00F14187"/>
    <w:rsid w:val="00F15060"/>
    <w:rsid w:val="00F156B6"/>
    <w:rsid w:val="00F16226"/>
    <w:rsid w:val="00F17FBF"/>
    <w:rsid w:val="00F24EE0"/>
    <w:rsid w:val="00F25863"/>
    <w:rsid w:val="00F272D9"/>
    <w:rsid w:val="00F277FE"/>
    <w:rsid w:val="00F30083"/>
    <w:rsid w:val="00F31D36"/>
    <w:rsid w:val="00F32070"/>
    <w:rsid w:val="00F323BF"/>
    <w:rsid w:val="00F32B89"/>
    <w:rsid w:val="00F40724"/>
    <w:rsid w:val="00F415C5"/>
    <w:rsid w:val="00F461C1"/>
    <w:rsid w:val="00F46ECA"/>
    <w:rsid w:val="00F5031D"/>
    <w:rsid w:val="00F508A7"/>
    <w:rsid w:val="00F51E92"/>
    <w:rsid w:val="00F5280A"/>
    <w:rsid w:val="00F530A2"/>
    <w:rsid w:val="00F55226"/>
    <w:rsid w:val="00F615C1"/>
    <w:rsid w:val="00F623A8"/>
    <w:rsid w:val="00F70FD3"/>
    <w:rsid w:val="00F75561"/>
    <w:rsid w:val="00F76326"/>
    <w:rsid w:val="00F76C38"/>
    <w:rsid w:val="00F80107"/>
    <w:rsid w:val="00F80808"/>
    <w:rsid w:val="00F81798"/>
    <w:rsid w:val="00F86C3E"/>
    <w:rsid w:val="00F86F10"/>
    <w:rsid w:val="00F92AE3"/>
    <w:rsid w:val="00F96A75"/>
    <w:rsid w:val="00F978FA"/>
    <w:rsid w:val="00FA05CB"/>
    <w:rsid w:val="00FA0B65"/>
    <w:rsid w:val="00FA2806"/>
    <w:rsid w:val="00FA3182"/>
    <w:rsid w:val="00FA3BF7"/>
    <w:rsid w:val="00FA7C34"/>
    <w:rsid w:val="00FB070C"/>
    <w:rsid w:val="00FB27B4"/>
    <w:rsid w:val="00FB6A23"/>
    <w:rsid w:val="00FB6B77"/>
    <w:rsid w:val="00FB70D0"/>
    <w:rsid w:val="00FC2594"/>
    <w:rsid w:val="00FC2EA9"/>
    <w:rsid w:val="00FC3349"/>
    <w:rsid w:val="00FC66E8"/>
    <w:rsid w:val="00FD27AA"/>
    <w:rsid w:val="00FD3785"/>
    <w:rsid w:val="00FD4D33"/>
    <w:rsid w:val="00FD5064"/>
    <w:rsid w:val="00FD5C00"/>
    <w:rsid w:val="00FE1061"/>
    <w:rsid w:val="00FE2E4D"/>
    <w:rsid w:val="00FE489C"/>
    <w:rsid w:val="00FE4F48"/>
    <w:rsid w:val="00FE73A5"/>
    <w:rsid w:val="00FF15F9"/>
    <w:rsid w:val="00FF48E8"/>
    <w:rsid w:val="00FF4F83"/>
    <w:rsid w:val="00FF5B3F"/>
    <w:rsid w:val="00FF6775"/>
    <w:rsid w:val="00FF7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style="mso-position-horizontal:right;mso-position-horizontal-relative:margin;mso-position-vertical:top;mso-position-vertical-relative:margin;mso-width-relative:margin;mso-height-relative:margin" fillcolor="white" stroke="f">
      <v:fill color="white"/>
      <v:stroke on="f"/>
      <v:textbox inset="3.6pt,,3.6pt"/>
    </o:shapedefaults>
    <o:shapelayout v:ext="edit">
      <o:idmap v:ext="edit" data="1"/>
    </o:shapelayout>
  </w:shapeDefaults>
  <w:decimalSymbol w:val="."/>
  <w:listSeparator w:val=","/>
  <w14:docId w14:val="0700B186"/>
  <w15:docId w15:val="{93426C93-D9C2-4444-92AD-C449A7BF8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lsdException w:name="List Bullet 3" w:semiHidden="1" w:uiPriority="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4"/>
    <w:qFormat/>
    <w:rsid w:val="00E4432E"/>
    <w:pPr>
      <w:spacing w:after="0" w:line="240" w:lineRule="auto"/>
    </w:pPr>
  </w:style>
  <w:style w:type="paragraph" w:styleId="Heading1">
    <w:name w:val="heading 1"/>
    <w:basedOn w:val="Normal"/>
    <w:link w:val="Heading1Char"/>
    <w:qFormat/>
    <w:rsid w:val="00DF7B56"/>
    <w:pPr>
      <w:keepNext/>
      <w:keepLines/>
      <w:numPr>
        <w:numId w:val="1"/>
      </w:numPr>
      <w:spacing w:before="160" w:after="80"/>
      <w:outlineLvl w:val="0"/>
    </w:pPr>
    <w:rPr>
      <w:rFonts w:ascii="Times New Roman" w:eastAsiaTheme="majorEastAsia" w:hAnsi="Times New Roman" w:cstheme="majorBidi"/>
      <w:b/>
      <w:bCs/>
      <w:sz w:val="28"/>
      <w:szCs w:val="28"/>
    </w:rPr>
  </w:style>
  <w:style w:type="paragraph" w:styleId="Heading2">
    <w:name w:val="heading 2"/>
    <w:basedOn w:val="Normal"/>
    <w:next w:val="TOCHeading"/>
    <w:link w:val="Heading2Char"/>
    <w:qFormat/>
    <w:rsid w:val="00E06161"/>
    <w:pPr>
      <w:keepNext/>
      <w:keepLines/>
      <w:numPr>
        <w:ilvl w:val="1"/>
        <w:numId w:val="1"/>
      </w:numPr>
      <w:spacing w:before="300" w:after="100"/>
      <w:outlineLvl w:val="1"/>
    </w:pPr>
    <w:rPr>
      <w:rFonts w:ascii="Times New Roman" w:eastAsiaTheme="majorEastAsia" w:hAnsi="Times New Roman" w:cstheme="minorHAnsi"/>
      <w:b/>
      <w:bCs/>
      <w:sz w:val="24"/>
      <w:szCs w:val="26"/>
    </w:rPr>
  </w:style>
  <w:style w:type="paragraph" w:styleId="Heading3">
    <w:name w:val="heading 3"/>
    <w:basedOn w:val="Normal"/>
    <w:link w:val="Heading3Char"/>
    <w:qFormat/>
    <w:rsid w:val="00E06161"/>
    <w:pPr>
      <w:keepNext/>
      <w:keepLines/>
      <w:numPr>
        <w:ilvl w:val="2"/>
        <w:numId w:val="1"/>
      </w:numPr>
      <w:spacing w:before="240" w:after="120"/>
      <w:outlineLvl w:val="2"/>
    </w:pPr>
    <w:rPr>
      <w:rFonts w:ascii="Times New Roman" w:eastAsiaTheme="majorEastAsia" w:hAnsi="Times New Roman" w:cstheme="majorBidi"/>
      <w:b/>
      <w:bCs/>
      <w:sz w:val="24"/>
      <w:u w:val="single"/>
    </w:rPr>
  </w:style>
  <w:style w:type="paragraph" w:styleId="Heading4">
    <w:name w:val="heading 4"/>
    <w:basedOn w:val="Normal"/>
    <w:link w:val="Heading4Char"/>
    <w:qFormat/>
    <w:rsid w:val="00E06161"/>
    <w:pPr>
      <w:keepNext/>
      <w:keepLines/>
      <w:numPr>
        <w:ilvl w:val="3"/>
        <w:numId w:val="1"/>
      </w:numPr>
      <w:spacing w:before="200"/>
      <w:outlineLvl w:val="3"/>
    </w:pPr>
    <w:rPr>
      <w:rFonts w:ascii="Times New Roman" w:eastAsiaTheme="majorEastAsia" w:hAnsi="Times New Roman" w:cstheme="majorBidi"/>
      <w:b/>
      <w:bCs/>
      <w:i/>
      <w:iCs/>
      <w:sz w:val="24"/>
    </w:rPr>
  </w:style>
  <w:style w:type="paragraph" w:styleId="Heading5">
    <w:name w:val="heading 5"/>
    <w:basedOn w:val="Normal"/>
    <w:next w:val="Normal"/>
    <w:link w:val="Heading5Char"/>
    <w:qFormat/>
    <w:rsid w:val="00E4432E"/>
    <w:pPr>
      <w:keepNext/>
      <w:keepLines/>
      <w:numPr>
        <w:ilvl w:val="4"/>
        <w:numId w:val="1"/>
      </w:numPr>
      <w:spacing w:before="200"/>
      <w:outlineLvl w:val="4"/>
    </w:pPr>
    <w:rPr>
      <w:rFonts w:ascii="Times New Roman" w:eastAsiaTheme="majorEastAsia" w:hAnsi="Times New Roman" w:cstheme="majorBidi"/>
    </w:rPr>
  </w:style>
  <w:style w:type="paragraph" w:styleId="Heading6">
    <w:name w:val="heading 6"/>
    <w:basedOn w:val="Normal"/>
    <w:next w:val="Normal"/>
    <w:link w:val="Heading6Char"/>
    <w:uiPriority w:val="9"/>
    <w:qFormat/>
    <w:rsid w:val="00E4432E"/>
    <w:pPr>
      <w:keepNext/>
      <w:keepLines/>
      <w:numPr>
        <w:ilvl w:val="5"/>
        <w:numId w:val="1"/>
      </w:numPr>
      <w:spacing w:before="200"/>
      <w:outlineLvl w:val="5"/>
    </w:pPr>
    <w:rPr>
      <w:rFonts w:ascii="Times New Roman" w:eastAsiaTheme="majorEastAsia" w:hAnsi="Times New Roman" w:cstheme="majorBidi"/>
      <w:iCs/>
    </w:rPr>
  </w:style>
  <w:style w:type="paragraph" w:styleId="Heading7">
    <w:name w:val="heading 7"/>
    <w:basedOn w:val="Heading1"/>
    <w:next w:val="Normal"/>
    <w:link w:val="Heading7Char"/>
    <w:uiPriority w:val="9"/>
    <w:qFormat/>
    <w:rsid w:val="007838AF"/>
    <w:pPr>
      <w:numPr>
        <w:numId w:val="0"/>
      </w:numPr>
      <w:spacing w:before="0" w:after="240"/>
      <w:jc w:val="center"/>
      <w:outlineLvl w:val="6"/>
    </w:pPr>
    <w:rPr>
      <w:iCs/>
    </w:rPr>
  </w:style>
  <w:style w:type="paragraph" w:styleId="Heading8">
    <w:name w:val="heading 8"/>
    <w:basedOn w:val="Normal"/>
    <w:next w:val="Normal"/>
    <w:link w:val="Heading8Char"/>
    <w:uiPriority w:val="9"/>
    <w:qFormat/>
    <w:rsid w:val="00E4432E"/>
    <w:pPr>
      <w:keepNext/>
      <w:keepLines/>
      <w:numPr>
        <w:ilvl w:val="7"/>
        <w:numId w:val="1"/>
      </w:numPr>
      <w:spacing w:before="300" w:after="100"/>
      <w:outlineLvl w:val="7"/>
    </w:pPr>
    <w:rPr>
      <w:rFonts w:ascii="Times New Roman" w:eastAsiaTheme="majorEastAsia" w:hAnsi="Times New Roman" w:cstheme="majorBidi"/>
      <w:b/>
      <w:sz w:val="26"/>
      <w:szCs w:val="20"/>
    </w:rPr>
  </w:style>
  <w:style w:type="paragraph" w:styleId="Heading9">
    <w:name w:val="heading 9"/>
    <w:basedOn w:val="Normal"/>
    <w:next w:val="Normal"/>
    <w:link w:val="Heading9Char"/>
    <w:uiPriority w:val="9"/>
    <w:qFormat/>
    <w:rsid w:val="00E4432E"/>
    <w:pPr>
      <w:keepNext/>
      <w:keepLines/>
      <w:numPr>
        <w:ilvl w:val="8"/>
        <w:numId w:val="1"/>
      </w:numPr>
      <w:spacing w:before="200"/>
      <w:outlineLvl w:val="8"/>
    </w:pPr>
    <w:rPr>
      <w:rFonts w:ascii="Times New Roman" w:eastAsiaTheme="majorEastAsia" w:hAnsi="Times New Roman" w:cstheme="majorBidi"/>
      <w:b/>
      <w:i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7B56"/>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rsid w:val="00E06161"/>
    <w:rPr>
      <w:rFonts w:ascii="Times New Roman" w:eastAsiaTheme="majorEastAsia" w:hAnsi="Times New Roman" w:cstheme="minorHAnsi"/>
      <w:b/>
      <w:bCs/>
      <w:sz w:val="24"/>
      <w:szCs w:val="26"/>
    </w:rPr>
  </w:style>
  <w:style w:type="character" w:customStyle="1" w:styleId="Heading3Char">
    <w:name w:val="Heading 3 Char"/>
    <w:basedOn w:val="DefaultParagraphFont"/>
    <w:link w:val="Heading3"/>
    <w:rsid w:val="00E06161"/>
    <w:rPr>
      <w:rFonts w:ascii="Times New Roman" w:eastAsiaTheme="majorEastAsia" w:hAnsi="Times New Roman" w:cstheme="majorBidi"/>
      <w:b/>
      <w:bCs/>
      <w:sz w:val="24"/>
      <w:u w:val="single"/>
    </w:rPr>
  </w:style>
  <w:style w:type="character" w:customStyle="1" w:styleId="Heading4Char">
    <w:name w:val="Heading 4 Char"/>
    <w:basedOn w:val="DefaultParagraphFont"/>
    <w:link w:val="Heading4"/>
    <w:rsid w:val="00E06161"/>
    <w:rPr>
      <w:rFonts w:ascii="Times New Roman" w:eastAsiaTheme="majorEastAsia" w:hAnsi="Times New Roman" w:cstheme="majorBidi"/>
      <w:b/>
      <w:bCs/>
      <w:i/>
      <w:iCs/>
      <w:sz w:val="24"/>
    </w:rPr>
  </w:style>
  <w:style w:type="character" w:customStyle="1" w:styleId="Heading5Char">
    <w:name w:val="Heading 5 Char"/>
    <w:basedOn w:val="DefaultParagraphFont"/>
    <w:link w:val="Heading5"/>
    <w:rsid w:val="00E4432E"/>
    <w:rPr>
      <w:rFonts w:ascii="Times New Roman" w:eastAsiaTheme="majorEastAsia" w:hAnsi="Times New Roman" w:cstheme="majorBidi"/>
    </w:rPr>
  </w:style>
  <w:style w:type="character" w:customStyle="1" w:styleId="Heading6Char">
    <w:name w:val="Heading 6 Char"/>
    <w:basedOn w:val="DefaultParagraphFont"/>
    <w:link w:val="Heading6"/>
    <w:uiPriority w:val="9"/>
    <w:rsid w:val="00E4432E"/>
    <w:rPr>
      <w:rFonts w:ascii="Times New Roman" w:eastAsiaTheme="majorEastAsia" w:hAnsi="Times New Roman" w:cstheme="majorBidi"/>
      <w:iCs/>
    </w:rPr>
  </w:style>
  <w:style w:type="character" w:customStyle="1" w:styleId="Heading7Char">
    <w:name w:val="Heading 7 Char"/>
    <w:basedOn w:val="DefaultParagraphFont"/>
    <w:link w:val="Heading7"/>
    <w:uiPriority w:val="9"/>
    <w:rsid w:val="007838AF"/>
    <w:rPr>
      <w:rFonts w:ascii="Times New Roman" w:eastAsiaTheme="majorEastAsia" w:hAnsi="Times New Roman" w:cstheme="majorBidi"/>
      <w:b/>
      <w:bCs/>
      <w:iCs/>
      <w:sz w:val="28"/>
      <w:szCs w:val="28"/>
    </w:rPr>
  </w:style>
  <w:style w:type="character" w:customStyle="1" w:styleId="Heading8Char">
    <w:name w:val="Heading 8 Char"/>
    <w:basedOn w:val="DefaultParagraphFont"/>
    <w:link w:val="Heading8"/>
    <w:uiPriority w:val="9"/>
    <w:rsid w:val="00E4432E"/>
    <w:rPr>
      <w:rFonts w:ascii="Times New Roman" w:eastAsiaTheme="majorEastAsia" w:hAnsi="Times New Roman" w:cstheme="majorBidi"/>
      <w:b/>
      <w:sz w:val="26"/>
      <w:szCs w:val="20"/>
    </w:rPr>
  </w:style>
  <w:style w:type="character" w:customStyle="1" w:styleId="Heading9Char">
    <w:name w:val="Heading 9 Char"/>
    <w:basedOn w:val="DefaultParagraphFont"/>
    <w:link w:val="Heading9"/>
    <w:uiPriority w:val="9"/>
    <w:rsid w:val="00E4432E"/>
    <w:rPr>
      <w:rFonts w:ascii="Times New Roman" w:eastAsiaTheme="majorEastAsia" w:hAnsi="Times New Roman" w:cstheme="majorBidi"/>
      <w:b/>
      <w:iCs/>
      <w:sz w:val="24"/>
      <w:szCs w:val="20"/>
    </w:rPr>
  </w:style>
  <w:style w:type="table" w:customStyle="1" w:styleId="BlueTable">
    <w:name w:val="BlueTable"/>
    <w:basedOn w:val="TableNormal"/>
    <w:uiPriority w:val="99"/>
    <w:qFormat/>
    <w:rsid w:val="001C228D"/>
    <w:pPr>
      <w:spacing w:after="0" w:line="240" w:lineRule="auto"/>
    </w:pPr>
    <w:rPr>
      <w:rFonts w:eastAsiaTheme="minorEastAsia"/>
    </w:rPr>
    <w:tblPr/>
  </w:style>
  <w:style w:type="paragraph" w:styleId="Title">
    <w:name w:val="Title"/>
    <w:basedOn w:val="Normal"/>
    <w:next w:val="Normal"/>
    <w:link w:val="TitleChar"/>
    <w:qFormat/>
    <w:rsid w:val="00071F2F"/>
    <w:pPr>
      <w:pBdr>
        <w:bottom w:val="single" w:sz="18" w:space="2" w:color="3B70B6" w:themeColor="accent1" w:themeShade="BF"/>
      </w:pBdr>
      <w:spacing w:after="240"/>
      <w:ind w:left="2880"/>
      <w:contextualSpacing/>
    </w:pPr>
    <w:rPr>
      <w:rFonts w:asciiTheme="majorHAnsi" w:eastAsiaTheme="majorEastAsia" w:hAnsiTheme="majorHAnsi" w:cstheme="majorBidi"/>
      <w:b/>
      <w:color w:val="3B70B6" w:themeColor="accent1" w:themeShade="BF"/>
      <w:spacing w:val="5"/>
      <w:kern w:val="28"/>
      <w:sz w:val="64"/>
      <w:szCs w:val="52"/>
    </w:rPr>
  </w:style>
  <w:style w:type="character" w:customStyle="1" w:styleId="TitleChar">
    <w:name w:val="Title Char"/>
    <w:basedOn w:val="DefaultParagraphFont"/>
    <w:link w:val="Title"/>
    <w:rsid w:val="00071F2F"/>
    <w:rPr>
      <w:rFonts w:asciiTheme="majorHAnsi" w:eastAsiaTheme="majorEastAsia" w:hAnsiTheme="majorHAnsi" w:cstheme="majorBidi"/>
      <w:b/>
      <w:color w:val="3B70B6" w:themeColor="accent1" w:themeShade="BF"/>
      <w:spacing w:val="5"/>
      <w:kern w:val="28"/>
      <w:sz w:val="64"/>
      <w:szCs w:val="52"/>
    </w:rPr>
  </w:style>
  <w:style w:type="paragraph" w:styleId="Subtitle">
    <w:name w:val="Subtitle"/>
    <w:basedOn w:val="Normal"/>
    <w:next w:val="Normal"/>
    <w:link w:val="SubtitleChar"/>
    <w:uiPriority w:val="1"/>
    <w:qFormat/>
    <w:rsid w:val="00071F2F"/>
    <w:pPr>
      <w:numPr>
        <w:ilvl w:val="1"/>
      </w:numPr>
      <w:ind w:left="2880"/>
    </w:pPr>
    <w:rPr>
      <w:rFonts w:asciiTheme="majorHAnsi" w:eastAsiaTheme="majorEastAsia" w:hAnsiTheme="majorHAnsi" w:cstheme="minorHAnsi"/>
      <w:b/>
      <w:i/>
      <w:iCs/>
      <w:color w:val="607B21" w:themeColor="accent3" w:themeShade="80"/>
      <w:spacing w:val="8"/>
      <w:sz w:val="40"/>
      <w:szCs w:val="24"/>
    </w:rPr>
  </w:style>
  <w:style w:type="character" w:customStyle="1" w:styleId="SubtitleChar">
    <w:name w:val="Subtitle Char"/>
    <w:basedOn w:val="DefaultParagraphFont"/>
    <w:link w:val="Subtitle"/>
    <w:uiPriority w:val="1"/>
    <w:rsid w:val="00071F2F"/>
    <w:rPr>
      <w:rFonts w:asciiTheme="majorHAnsi" w:eastAsiaTheme="majorEastAsia" w:hAnsiTheme="majorHAnsi" w:cstheme="minorHAnsi"/>
      <w:b/>
      <w:i/>
      <w:iCs/>
      <w:color w:val="607B21" w:themeColor="accent3" w:themeShade="80"/>
      <w:spacing w:val="8"/>
      <w:sz w:val="40"/>
      <w:szCs w:val="24"/>
    </w:rPr>
  </w:style>
  <w:style w:type="character" w:styleId="SubtleEmphasis">
    <w:name w:val="Subtle Emphasis"/>
    <w:basedOn w:val="DefaultParagraphFont"/>
    <w:uiPriority w:val="8"/>
    <w:semiHidden/>
    <w:unhideWhenUsed/>
    <w:qFormat/>
    <w:rsid w:val="005C54C7"/>
    <w:rPr>
      <w:i/>
      <w:iCs/>
      <w:color w:val="808080" w:themeColor="text1" w:themeTint="7F"/>
    </w:rPr>
  </w:style>
  <w:style w:type="paragraph" w:customStyle="1" w:styleId="CoverInfo1">
    <w:name w:val="Cover Info 1"/>
    <w:basedOn w:val="Normal"/>
    <w:link w:val="CoverInfo1Char"/>
    <w:uiPriority w:val="2"/>
    <w:qFormat/>
    <w:rsid w:val="00BF34CB"/>
    <w:pPr>
      <w:spacing w:after="100"/>
      <w:jc w:val="right"/>
    </w:pPr>
    <w:rPr>
      <w:b/>
      <w:i/>
      <w:caps/>
      <w:color w:val="7F7F7F" w:themeColor="text1" w:themeTint="80"/>
      <w:spacing w:val="5"/>
    </w:rPr>
  </w:style>
  <w:style w:type="character" w:customStyle="1" w:styleId="CoverInfo1Char">
    <w:name w:val="Cover Info 1 Char"/>
    <w:basedOn w:val="DefaultParagraphFont"/>
    <w:link w:val="CoverInfo1"/>
    <w:uiPriority w:val="2"/>
    <w:rsid w:val="00BF34CB"/>
    <w:rPr>
      <w:b/>
      <w:i/>
      <w:caps/>
      <w:color w:val="7F7F7F" w:themeColor="text1" w:themeTint="80"/>
      <w:spacing w:val="5"/>
    </w:rPr>
  </w:style>
  <w:style w:type="paragraph" w:styleId="Header">
    <w:name w:val="header"/>
    <w:basedOn w:val="Normal"/>
    <w:link w:val="HeaderChar"/>
    <w:rsid w:val="00D433CC"/>
    <w:pPr>
      <w:tabs>
        <w:tab w:val="center" w:pos="4680"/>
        <w:tab w:val="right" w:pos="9360"/>
      </w:tabs>
    </w:pPr>
    <w:rPr>
      <w:color w:val="FFFFFF" w:themeColor="background1"/>
    </w:rPr>
  </w:style>
  <w:style w:type="character" w:customStyle="1" w:styleId="HeaderChar">
    <w:name w:val="Header Char"/>
    <w:basedOn w:val="DefaultParagraphFont"/>
    <w:link w:val="Header"/>
    <w:rsid w:val="00BC096D"/>
    <w:rPr>
      <w:color w:val="FFFFFF" w:themeColor="background1"/>
    </w:rPr>
  </w:style>
  <w:style w:type="paragraph" w:styleId="Footer">
    <w:name w:val="footer"/>
    <w:basedOn w:val="Normal"/>
    <w:link w:val="FooterChar"/>
    <w:uiPriority w:val="99"/>
    <w:rsid w:val="00B546D5"/>
    <w:pPr>
      <w:tabs>
        <w:tab w:val="center" w:pos="4680"/>
        <w:tab w:val="right" w:pos="9360"/>
      </w:tabs>
      <w:jc w:val="right"/>
    </w:pPr>
    <w:rPr>
      <w:color w:val="393939" w:themeColor="background2" w:themeShade="40"/>
    </w:rPr>
  </w:style>
  <w:style w:type="character" w:customStyle="1" w:styleId="FooterChar">
    <w:name w:val="Footer Char"/>
    <w:basedOn w:val="DefaultParagraphFont"/>
    <w:link w:val="Footer"/>
    <w:uiPriority w:val="99"/>
    <w:rsid w:val="00B546D5"/>
    <w:rPr>
      <w:color w:val="393939" w:themeColor="background2" w:themeShade="40"/>
    </w:rPr>
  </w:style>
  <w:style w:type="character" w:styleId="PlaceholderText">
    <w:name w:val="Placeholder Text"/>
    <w:basedOn w:val="DefaultParagraphFont"/>
    <w:uiPriority w:val="99"/>
    <w:semiHidden/>
    <w:rsid w:val="00293111"/>
    <w:rPr>
      <w:color w:val="808080"/>
    </w:rPr>
  </w:style>
  <w:style w:type="paragraph" w:styleId="BalloonText">
    <w:name w:val="Balloon Text"/>
    <w:basedOn w:val="Normal"/>
    <w:link w:val="BalloonTextChar"/>
    <w:unhideWhenUsed/>
    <w:rsid w:val="00293111"/>
    <w:rPr>
      <w:rFonts w:ascii="Tahoma" w:hAnsi="Tahoma" w:cs="Tahoma"/>
      <w:sz w:val="16"/>
      <w:szCs w:val="16"/>
    </w:rPr>
  </w:style>
  <w:style w:type="character" w:customStyle="1" w:styleId="BalloonTextChar">
    <w:name w:val="Balloon Text Char"/>
    <w:basedOn w:val="DefaultParagraphFont"/>
    <w:link w:val="BalloonText"/>
    <w:rsid w:val="00293111"/>
    <w:rPr>
      <w:rFonts w:ascii="Tahoma" w:hAnsi="Tahoma" w:cs="Tahoma"/>
      <w:sz w:val="16"/>
      <w:szCs w:val="16"/>
    </w:rPr>
  </w:style>
  <w:style w:type="paragraph" w:styleId="TOCHeading">
    <w:name w:val="TOC Heading"/>
    <w:basedOn w:val="Heading1"/>
    <w:next w:val="Normal"/>
    <w:link w:val="TOCHeadingChar"/>
    <w:uiPriority w:val="2"/>
    <w:unhideWhenUsed/>
    <w:qFormat/>
    <w:rsid w:val="006A0E5B"/>
    <w:pPr>
      <w:numPr>
        <w:numId w:val="0"/>
      </w:numPr>
      <w:outlineLvl w:val="9"/>
    </w:pPr>
  </w:style>
  <w:style w:type="paragraph" w:styleId="TOC1">
    <w:name w:val="toc 1"/>
    <w:basedOn w:val="Normal"/>
    <w:next w:val="Normal"/>
    <w:autoRedefine/>
    <w:uiPriority w:val="39"/>
    <w:qFormat/>
    <w:rsid w:val="0091274B"/>
    <w:pPr>
      <w:tabs>
        <w:tab w:val="left" w:pos="432"/>
        <w:tab w:val="right" w:leader="dot" w:pos="9360"/>
      </w:tabs>
      <w:spacing w:after="100"/>
    </w:pPr>
    <w:rPr>
      <w:rFonts w:ascii="Times New Roman" w:hAnsi="Times New Roman"/>
      <w:b/>
      <w:sz w:val="24"/>
    </w:rPr>
  </w:style>
  <w:style w:type="character" w:styleId="Hyperlink">
    <w:name w:val="Hyperlink"/>
    <w:basedOn w:val="DefaultParagraphFont"/>
    <w:uiPriority w:val="99"/>
    <w:rsid w:val="00E06161"/>
    <w:rPr>
      <w:i/>
      <w:color w:val="0000FF"/>
      <w:u w:val="none"/>
    </w:rPr>
  </w:style>
  <w:style w:type="paragraph" w:styleId="TOC2">
    <w:name w:val="toc 2"/>
    <w:basedOn w:val="Normal"/>
    <w:next w:val="Normal"/>
    <w:autoRedefine/>
    <w:uiPriority w:val="39"/>
    <w:qFormat/>
    <w:rsid w:val="00B562BA"/>
    <w:pPr>
      <w:tabs>
        <w:tab w:val="left" w:pos="864"/>
        <w:tab w:val="left" w:pos="1440"/>
        <w:tab w:val="right" w:leader="dot" w:pos="9360"/>
      </w:tabs>
      <w:spacing w:after="100"/>
      <w:ind w:left="1440" w:hanging="720"/>
    </w:pPr>
    <w:rPr>
      <w:rFonts w:ascii="Times New Roman" w:eastAsiaTheme="minorEastAsia" w:hAnsi="Times New Roman"/>
      <w:sz w:val="24"/>
    </w:rPr>
  </w:style>
  <w:style w:type="paragraph" w:styleId="TOC3">
    <w:name w:val="toc 3"/>
    <w:basedOn w:val="Normal"/>
    <w:next w:val="Normal"/>
    <w:autoRedefine/>
    <w:uiPriority w:val="39"/>
    <w:unhideWhenUsed/>
    <w:qFormat/>
    <w:rsid w:val="00B562BA"/>
    <w:pPr>
      <w:tabs>
        <w:tab w:val="left" w:pos="1100"/>
        <w:tab w:val="left" w:pos="2160"/>
        <w:tab w:val="right" w:leader="dot" w:pos="9350"/>
      </w:tabs>
      <w:spacing w:after="60"/>
      <w:ind w:left="2160" w:right="504" w:hanging="720"/>
    </w:pPr>
    <w:rPr>
      <w:rFonts w:ascii="Times New Roman" w:eastAsiaTheme="minorEastAsia" w:hAnsi="Times New Roman"/>
      <w:sz w:val="24"/>
    </w:rPr>
  </w:style>
  <w:style w:type="character" w:styleId="IntenseEmphasis">
    <w:name w:val="Intense Emphasis"/>
    <w:basedOn w:val="DefaultParagraphFont"/>
    <w:uiPriority w:val="8"/>
    <w:qFormat/>
    <w:rsid w:val="0007313F"/>
    <w:rPr>
      <w:b/>
      <w:bCs/>
      <w:i/>
      <w:iCs/>
      <w:color w:val="0D0D0D" w:themeColor="text1" w:themeTint="F2"/>
    </w:rPr>
  </w:style>
  <w:style w:type="paragraph" w:styleId="NoSpacing">
    <w:name w:val="No Spacing"/>
    <w:link w:val="NoSpacingChar"/>
    <w:unhideWhenUsed/>
    <w:qFormat/>
    <w:rsid w:val="008A1BED"/>
    <w:pPr>
      <w:spacing w:after="0" w:line="240" w:lineRule="auto"/>
    </w:pPr>
  </w:style>
  <w:style w:type="paragraph" w:styleId="ListParagraph">
    <w:name w:val="List Paragraph"/>
    <w:aliases w:val="Bullet List 1"/>
    <w:basedOn w:val="Normal"/>
    <w:link w:val="ListParagraphChar"/>
    <w:uiPriority w:val="34"/>
    <w:unhideWhenUsed/>
    <w:qFormat/>
    <w:rsid w:val="004B3696"/>
    <w:pPr>
      <w:ind w:left="720"/>
      <w:contextualSpacing/>
    </w:pPr>
  </w:style>
  <w:style w:type="paragraph" w:customStyle="1" w:styleId="ListBullet3tight">
    <w:name w:val="List Bullet 3 (tight)"/>
    <w:basedOn w:val="ListBullet3"/>
    <w:uiPriority w:val="11"/>
    <w:qFormat/>
    <w:rsid w:val="003927FE"/>
    <w:pPr>
      <w:numPr>
        <w:numId w:val="5"/>
      </w:numPr>
      <w:contextualSpacing/>
    </w:pPr>
  </w:style>
  <w:style w:type="paragraph" w:styleId="ListBullet3">
    <w:name w:val="List Bullet 3"/>
    <w:basedOn w:val="Normal"/>
    <w:uiPriority w:val="9"/>
    <w:rsid w:val="00214C08"/>
    <w:pPr>
      <w:numPr>
        <w:ilvl w:val="2"/>
        <w:numId w:val="4"/>
      </w:numPr>
    </w:pPr>
  </w:style>
  <w:style w:type="table" w:customStyle="1" w:styleId="MediumShading1-Accent11">
    <w:name w:val="Medium Shading 1 - Accent 11"/>
    <w:basedOn w:val="TableNormal"/>
    <w:uiPriority w:val="63"/>
    <w:rsid w:val="00C555E0"/>
    <w:pPr>
      <w:spacing w:after="0" w:line="240" w:lineRule="auto"/>
    </w:pPr>
    <w:tblPr>
      <w:tblStyleRowBandSize w:val="1"/>
      <w:tblStyleColBandSize w:val="1"/>
      <w:tblBorders>
        <w:top w:val="single" w:sz="8" w:space="0" w:color="94B3DC" w:themeColor="accent1" w:themeTint="BF"/>
        <w:left w:val="single" w:sz="8" w:space="0" w:color="94B3DC" w:themeColor="accent1" w:themeTint="BF"/>
        <w:bottom w:val="single" w:sz="8" w:space="0" w:color="94B3DC" w:themeColor="accent1" w:themeTint="BF"/>
        <w:right w:val="single" w:sz="8" w:space="0" w:color="94B3DC" w:themeColor="accent1" w:themeTint="BF"/>
        <w:insideH w:val="single" w:sz="8" w:space="0" w:color="94B3DC" w:themeColor="accent1" w:themeTint="BF"/>
      </w:tblBorders>
    </w:tblPr>
    <w:tblStylePr w:type="firstRow">
      <w:pPr>
        <w:spacing w:before="0" w:after="0" w:line="240" w:lineRule="auto"/>
      </w:pPr>
      <w:rPr>
        <w:b/>
        <w:bCs/>
        <w:color w:val="FFFFFF" w:themeColor="background1"/>
      </w:rPr>
      <w:tblPr/>
      <w:tcPr>
        <w:tcBorders>
          <w:top w:val="single" w:sz="8" w:space="0" w:color="94B3DC" w:themeColor="accent1" w:themeTint="BF"/>
          <w:left w:val="single" w:sz="8" w:space="0" w:color="94B3DC" w:themeColor="accent1" w:themeTint="BF"/>
          <w:bottom w:val="single" w:sz="8" w:space="0" w:color="94B3DC" w:themeColor="accent1" w:themeTint="BF"/>
          <w:right w:val="single" w:sz="8" w:space="0" w:color="94B3DC" w:themeColor="accent1" w:themeTint="BF"/>
          <w:insideH w:val="nil"/>
          <w:insideV w:val="nil"/>
        </w:tcBorders>
        <w:shd w:val="clear" w:color="auto" w:fill="719BD1" w:themeFill="accent1"/>
      </w:tcPr>
    </w:tblStylePr>
    <w:tblStylePr w:type="lastRow">
      <w:pPr>
        <w:spacing w:before="0" w:after="0" w:line="240" w:lineRule="auto"/>
      </w:pPr>
      <w:rPr>
        <w:b/>
        <w:bCs/>
      </w:rPr>
      <w:tblPr/>
      <w:tcPr>
        <w:tcBorders>
          <w:top w:val="double" w:sz="6" w:space="0" w:color="94B3DC" w:themeColor="accent1" w:themeTint="BF"/>
          <w:left w:val="single" w:sz="8" w:space="0" w:color="94B3DC" w:themeColor="accent1" w:themeTint="BF"/>
          <w:bottom w:val="single" w:sz="8" w:space="0" w:color="94B3DC" w:themeColor="accent1" w:themeTint="BF"/>
          <w:right w:val="single" w:sz="8" w:space="0" w:color="94B3D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E6F3" w:themeFill="accent1" w:themeFillTint="3F"/>
      </w:tcPr>
    </w:tblStylePr>
    <w:tblStylePr w:type="band1Horz">
      <w:tblPr/>
      <w:tcPr>
        <w:tcBorders>
          <w:insideH w:val="nil"/>
          <w:insideV w:val="nil"/>
        </w:tcBorders>
        <w:shd w:val="clear" w:color="auto" w:fill="DBE6F3" w:themeFill="accent1" w:themeFillTint="3F"/>
      </w:tcPr>
    </w:tblStylePr>
    <w:tblStylePr w:type="band2Horz">
      <w:tblPr/>
      <w:tcPr>
        <w:tcBorders>
          <w:insideH w:val="nil"/>
          <w:insideV w:val="nil"/>
        </w:tcBorders>
      </w:tcPr>
    </w:tblStylePr>
  </w:style>
  <w:style w:type="character" w:styleId="Strong">
    <w:name w:val="Strong"/>
    <w:basedOn w:val="DefaultParagraphFont"/>
    <w:uiPriority w:val="22"/>
    <w:qFormat/>
    <w:rsid w:val="00EA309A"/>
    <w:rPr>
      <w:b/>
      <w:bCs/>
      <w:color w:val="404040" w:themeColor="text1" w:themeTint="BF"/>
    </w:rPr>
  </w:style>
  <w:style w:type="character" w:styleId="Emphasis">
    <w:name w:val="Emphasis"/>
    <w:basedOn w:val="DefaultParagraphFont"/>
    <w:uiPriority w:val="8"/>
    <w:qFormat/>
    <w:rsid w:val="00F40724"/>
    <w:rPr>
      <w:i/>
      <w:iCs/>
    </w:rPr>
  </w:style>
  <w:style w:type="paragraph" w:customStyle="1" w:styleId="IntroParagraph">
    <w:name w:val="Intro Paragraph"/>
    <w:basedOn w:val="Normal"/>
    <w:link w:val="IntroParagraphChar"/>
    <w:uiPriority w:val="4"/>
    <w:qFormat/>
    <w:rsid w:val="008751F0"/>
    <w:rPr>
      <w:b/>
      <w:i/>
      <w:color w:val="404040" w:themeColor="text1" w:themeTint="BF"/>
    </w:rPr>
  </w:style>
  <w:style w:type="character" w:customStyle="1" w:styleId="IntroParagraphChar">
    <w:name w:val="Intro Paragraph Char"/>
    <w:basedOn w:val="DefaultParagraphFont"/>
    <w:link w:val="IntroParagraph"/>
    <w:uiPriority w:val="4"/>
    <w:rsid w:val="008751F0"/>
    <w:rPr>
      <w:b/>
      <w:i/>
      <w:color w:val="404040" w:themeColor="text1" w:themeTint="BF"/>
    </w:rPr>
  </w:style>
  <w:style w:type="table" w:customStyle="1" w:styleId="Style1">
    <w:name w:val="Style1"/>
    <w:basedOn w:val="MediumShading1-Accent11"/>
    <w:uiPriority w:val="99"/>
    <w:qFormat/>
    <w:rsid w:val="00A241F6"/>
    <w:tblPr>
      <w:tblBorders>
        <w:top w:val="none" w:sz="0" w:space="0" w:color="auto"/>
        <w:left w:val="none" w:sz="0" w:space="0" w:color="auto"/>
        <w:bottom w:val="none" w:sz="0" w:space="0" w:color="auto"/>
        <w:right w:val="none" w:sz="0" w:space="0" w:color="auto"/>
        <w:insideH w:val="single" w:sz="6" w:space="0" w:color="94B3DC" w:themeColor="accent1" w:themeTint="BF"/>
        <w:insideV w:val="single" w:sz="6" w:space="0" w:color="94B3DC" w:themeColor="accent1" w:themeTint="BF"/>
      </w:tblBorders>
    </w:tblPr>
    <w:tcPr>
      <w:shd w:val="clear" w:color="auto" w:fill="auto"/>
    </w:tcPr>
    <w:tblStylePr w:type="firstRow">
      <w:pPr>
        <w:spacing w:before="0" w:after="0" w:line="240" w:lineRule="auto"/>
      </w:pPr>
      <w:rPr>
        <w:b/>
        <w:bCs/>
        <w:color w:val="FFFFFF" w:themeColor="background1"/>
      </w:rPr>
      <w:tblPr/>
      <w:tcPr>
        <w:tcBorders>
          <w:top w:val="single" w:sz="8" w:space="0" w:color="94B3DC" w:themeColor="accent1" w:themeTint="BF"/>
          <w:left w:val="single" w:sz="8" w:space="0" w:color="94B3DC" w:themeColor="accent1" w:themeTint="BF"/>
          <w:bottom w:val="single" w:sz="8" w:space="0" w:color="94B3DC" w:themeColor="accent1" w:themeTint="BF"/>
          <w:right w:val="single" w:sz="8" w:space="0" w:color="94B3DC" w:themeColor="accent1" w:themeTint="BF"/>
          <w:insideH w:val="nil"/>
          <w:insideV w:val="nil"/>
        </w:tcBorders>
        <w:shd w:val="clear" w:color="auto" w:fill="719BD1" w:themeFill="accent1"/>
      </w:tcPr>
    </w:tblStylePr>
    <w:tblStylePr w:type="lastRow">
      <w:pPr>
        <w:spacing w:before="0" w:after="0" w:line="240" w:lineRule="auto"/>
      </w:pPr>
      <w:rPr>
        <w:b/>
        <w:bCs/>
      </w:rPr>
      <w:tblPr/>
      <w:tcPr>
        <w:tcBorders>
          <w:top w:val="double" w:sz="6" w:space="0" w:color="94B3DC" w:themeColor="accent1" w:themeTint="BF"/>
          <w:left w:val="single" w:sz="8" w:space="0" w:color="94B3DC" w:themeColor="accent1" w:themeTint="BF"/>
          <w:bottom w:val="single" w:sz="8" w:space="0" w:color="94B3DC" w:themeColor="accent1" w:themeTint="BF"/>
          <w:right w:val="single" w:sz="8" w:space="0" w:color="94B3D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E6F3" w:themeFill="accent1" w:themeFillTint="3F"/>
      </w:tcPr>
    </w:tblStylePr>
    <w:tblStylePr w:type="band1Horz">
      <w:tblPr/>
      <w:tcPr>
        <w:tcBorders>
          <w:insideH w:val="nil"/>
          <w:insideV w:val="nil"/>
        </w:tcBorders>
        <w:shd w:val="clear" w:color="auto" w:fill="DBE6F3" w:themeFill="accent1" w:themeFillTint="3F"/>
      </w:tcPr>
    </w:tblStylePr>
    <w:tblStylePr w:type="band2Horz">
      <w:tblPr/>
      <w:tcPr>
        <w:tcBorders>
          <w:insideH w:val="nil"/>
          <w:insideV w:val="nil"/>
        </w:tcBorders>
      </w:tcPr>
    </w:tblStylePr>
  </w:style>
  <w:style w:type="paragraph" w:customStyle="1" w:styleId="HighlightedText">
    <w:name w:val="Highlighted Text"/>
    <w:basedOn w:val="Normal"/>
    <w:link w:val="HighlightedTextChar"/>
    <w:uiPriority w:val="6"/>
    <w:qFormat/>
    <w:rsid w:val="008C3008"/>
    <w:rPr>
      <w:b/>
      <w:color w:val="3B70B6" w:themeColor="accent1" w:themeShade="BF"/>
    </w:rPr>
  </w:style>
  <w:style w:type="character" w:customStyle="1" w:styleId="HighlightedTextChar">
    <w:name w:val="Highlighted Text Char"/>
    <w:basedOn w:val="DefaultParagraphFont"/>
    <w:link w:val="HighlightedText"/>
    <w:uiPriority w:val="6"/>
    <w:rsid w:val="00347C01"/>
    <w:rPr>
      <w:b/>
      <w:color w:val="3B70B6" w:themeColor="accent1" w:themeShade="BF"/>
    </w:rPr>
  </w:style>
  <w:style w:type="paragraph" w:customStyle="1" w:styleId="ListBullettight">
    <w:name w:val="List Bullet (tight)"/>
    <w:basedOn w:val="ListBullet"/>
    <w:link w:val="ListBullettightChar"/>
    <w:uiPriority w:val="11"/>
    <w:qFormat/>
    <w:rsid w:val="003927FE"/>
    <w:pPr>
      <w:numPr>
        <w:numId w:val="5"/>
      </w:numPr>
      <w:contextualSpacing/>
    </w:pPr>
  </w:style>
  <w:style w:type="paragraph" w:styleId="ListBullet">
    <w:name w:val="List Bullet"/>
    <w:basedOn w:val="Normal"/>
    <w:rsid w:val="00214C08"/>
    <w:pPr>
      <w:numPr>
        <w:numId w:val="4"/>
      </w:numPr>
    </w:pPr>
  </w:style>
  <w:style w:type="character" w:customStyle="1" w:styleId="ListBullettightChar">
    <w:name w:val="List Bullet (tight) Char"/>
    <w:basedOn w:val="DefaultParagraphFont"/>
    <w:link w:val="ListBullettight"/>
    <w:uiPriority w:val="11"/>
    <w:rsid w:val="003927FE"/>
  </w:style>
  <w:style w:type="character" w:styleId="IntenseReference">
    <w:name w:val="Intense Reference"/>
    <w:basedOn w:val="DefaultParagraphFont"/>
    <w:uiPriority w:val="32"/>
    <w:unhideWhenUsed/>
    <w:qFormat/>
    <w:rsid w:val="00890192"/>
    <w:rPr>
      <w:b/>
      <w:bCs/>
      <w:smallCaps/>
      <w:color w:val="A7D0E9" w:themeColor="accent2"/>
      <w:spacing w:val="5"/>
      <w:u w:val="single"/>
    </w:rPr>
  </w:style>
  <w:style w:type="paragraph" w:styleId="Caption">
    <w:name w:val="caption"/>
    <w:basedOn w:val="Normal"/>
    <w:next w:val="Normal"/>
    <w:uiPriority w:val="35"/>
    <w:qFormat/>
    <w:rsid w:val="001B6532"/>
    <w:pPr>
      <w:keepNext/>
      <w:keepLines/>
      <w:spacing w:after="100"/>
    </w:pPr>
    <w:rPr>
      <w:rFonts w:asciiTheme="majorHAnsi" w:hAnsiTheme="majorHAnsi"/>
      <w:b/>
      <w:color w:val="274B79" w:themeColor="accent1" w:themeShade="80"/>
      <w:sz w:val="24"/>
      <w:szCs w:val="26"/>
    </w:rPr>
  </w:style>
  <w:style w:type="table" w:styleId="MediumShading1-Accent3">
    <w:name w:val="Medium Shading 1 Accent 3"/>
    <w:basedOn w:val="TableNormal"/>
    <w:uiPriority w:val="63"/>
    <w:rsid w:val="002D0E5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6DF89" w:themeColor="accent3" w:themeTint="BF"/>
        <w:left w:val="single" w:sz="8" w:space="0" w:color="C6DF89" w:themeColor="accent3" w:themeTint="BF"/>
        <w:bottom w:val="single" w:sz="8" w:space="0" w:color="C6DF89" w:themeColor="accent3" w:themeTint="BF"/>
        <w:right w:val="single" w:sz="8" w:space="0" w:color="C6DF89" w:themeColor="accent3" w:themeTint="BF"/>
        <w:insideH w:val="single" w:sz="8" w:space="0" w:color="C6DF89" w:themeColor="accent3" w:themeTint="BF"/>
      </w:tblBorders>
    </w:tblPr>
    <w:tblStylePr w:type="firstRow">
      <w:pPr>
        <w:spacing w:before="0" w:after="0" w:line="240" w:lineRule="auto"/>
      </w:pPr>
      <w:rPr>
        <w:b/>
        <w:bCs/>
        <w:color w:val="FFFFFF" w:themeColor="background1"/>
      </w:rPr>
      <w:tblPr/>
      <w:tcPr>
        <w:tcBorders>
          <w:top w:val="single" w:sz="8" w:space="0" w:color="C6DF89" w:themeColor="accent3" w:themeTint="BF"/>
          <w:left w:val="single" w:sz="8" w:space="0" w:color="C6DF89" w:themeColor="accent3" w:themeTint="BF"/>
          <w:bottom w:val="single" w:sz="8" w:space="0" w:color="C6DF89" w:themeColor="accent3" w:themeTint="BF"/>
          <w:right w:val="single" w:sz="8" w:space="0" w:color="C6DF89" w:themeColor="accent3" w:themeTint="BF"/>
          <w:insideH w:val="nil"/>
          <w:insideV w:val="nil"/>
        </w:tcBorders>
        <w:shd w:val="clear" w:color="auto" w:fill="B4D562" w:themeFill="accent3"/>
      </w:tcPr>
    </w:tblStylePr>
    <w:tblStylePr w:type="lastRow">
      <w:pPr>
        <w:spacing w:before="0" w:after="0" w:line="240" w:lineRule="auto"/>
      </w:pPr>
      <w:rPr>
        <w:b/>
        <w:bCs/>
      </w:rPr>
      <w:tblPr/>
      <w:tcPr>
        <w:tcBorders>
          <w:top w:val="double" w:sz="6" w:space="0" w:color="C6DF89" w:themeColor="accent3" w:themeTint="BF"/>
          <w:left w:val="single" w:sz="8" w:space="0" w:color="C6DF89" w:themeColor="accent3" w:themeTint="BF"/>
          <w:bottom w:val="single" w:sz="8" w:space="0" w:color="C6DF89" w:themeColor="accent3" w:themeTint="BF"/>
          <w:right w:val="single" w:sz="8" w:space="0" w:color="C6DF89" w:themeColor="accent3" w:themeTint="BF"/>
          <w:insideH w:val="nil"/>
          <w:insideV w:val="nil"/>
        </w:tcBorders>
      </w:tcPr>
    </w:tblStylePr>
    <w:tblStylePr w:type="firstCol">
      <w:rPr>
        <w:b/>
        <w:bCs/>
      </w:rPr>
    </w:tblStylePr>
    <w:tblStylePr w:type="lastCol">
      <w:rPr>
        <w:b/>
        <w:bCs/>
      </w:rPr>
    </w:tblStylePr>
    <w:tblStylePr w:type="band1Vert">
      <w:tblPr/>
      <w:tcPr>
        <w:shd w:val="clear" w:color="auto" w:fill="ECF4D8" w:themeFill="accent3" w:themeFillTint="3F"/>
      </w:tcPr>
    </w:tblStylePr>
    <w:tblStylePr w:type="band1Horz">
      <w:tblPr/>
      <w:tcPr>
        <w:tcBorders>
          <w:insideH w:val="nil"/>
          <w:insideV w:val="nil"/>
        </w:tcBorders>
        <w:shd w:val="clear" w:color="auto" w:fill="ECF4D8" w:themeFill="accent3"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2D0E54"/>
    <w:pPr>
      <w:spacing w:after="0" w:line="240" w:lineRule="auto"/>
    </w:pPr>
    <w:tblPr>
      <w:tblStyleRowBandSize w:val="1"/>
      <w:tblStyleColBandSize w:val="1"/>
      <w:tblBorders>
        <w:top w:val="single" w:sz="8" w:space="0" w:color="DB9E98" w:themeColor="accent5" w:themeTint="BF"/>
        <w:left w:val="single" w:sz="8" w:space="0" w:color="DB9E98" w:themeColor="accent5" w:themeTint="BF"/>
        <w:bottom w:val="single" w:sz="8" w:space="0" w:color="DB9E98" w:themeColor="accent5" w:themeTint="BF"/>
        <w:right w:val="single" w:sz="8" w:space="0" w:color="DB9E98" w:themeColor="accent5" w:themeTint="BF"/>
        <w:insideH w:val="single" w:sz="8" w:space="0" w:color="DB9E98" w:themeColor="accent5" w:themeTint="BF"/>
      </w:tblBorders>
    </w:tblPr>
    <w:tblStylePr w:type="firstRow">
      <w:pPr>
        <w:spacing w:before="0" w:after="0" w:line="240" w:lineRule="auto"/>
      </w:pPr>
      <w:rPr>
        <w:b/>
        <w:bCs/>
        <w:color w:val="FFFFFF" w:themeColor="background1"/>
      </w:rPr>
      <w:tblPr/>
      <w:tcPr>
        <w:tcBorders>
          <w:top w:val="single" w:sz="8" w:space="0" w:color="DB9E98" w:themeColor="accent5" w:themeTint="BF"/>
          <w:left w:val="single" w:sz="8" w:space="0" w:color="DB9E98" w:themeColor="accent5" w:themeTint="BF"/>
          <w:bottom w:val="single" w:sz="8" w:space="0" w:color="DB9E98" w:themeColor="accent5" w:themeTint="BF"/>
          <w:right w:val="single" w:sz="8" w:space="0" w:color="DB9E98" w:themeColor="accent5" w:themeTint="BF"/>
          <w:insideH w:val="nil"/>
          <w:insideV w:val="nil"/>
        </w:tcBorders>
        <w:shd w:val="clear" w:color="auto" w:fill="D07E76" w:themeFill="accent5"/>
      </w:tcPr>
    </w:tblStylePr>
    <w:tblStylePr w:type="lastRow">
      <w:pPr>
        <w:spacing w:before="0" w:after="0" w:line="240" w:lineRule="auto"/>
      </w:pPr>
      <w:rPr>
        <w:b/>
        <w:bCs/>
      </w:rPr>
      <w:tblPr/>
      <w:tcPr>
        <w:tcBorders>
          <w:top w:val="double" w:sz="6" w:space="0" w:color="DB9E98" w:themeColor="accent5" w:themeTint="BF"/>
          <w:left w:val="single" w:sz="8" w:space="0" w:color="DB9E98" w:themeColor="accent5" w:themeTint="BF"/>
          <w:bottom w:val="single" w:sz="8" w:space="0" w:color="DB9E98" w:themeColor="accent5" w:themeTint="BF"/>
          <w:right w:val="single" w:sz="8" w:space="0" w:color="DB9E9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3DEDD" w:themeFill="accent5" w:themeFillTint="3F"/>
      </w:tcPr>
    </w:tblStylePr>
    <w:tblStylePr w:type="band1Horz">
      <w:tblPr/>
      <w:tcPr>
        <w:tcBorders>
          <w:insideH w:val="nil"/>
          <w:insideV w:val="nil"/>
        </w:tcBorders>
        <w:shd w:val="clear" w:color="auto" w:fill="F3DEDD" w:themeFill="accent5" w:themeFillTint="3F"/>
      </w:tcPr>
    </w:tblStylePr>
    <w:tblStylePr w:type="band2Horz">
      <w:tblPr/>
      <w:tcPr>
        <w:tcBorders>
          <w:insideH w:val="nil"/>
          <w:insideV w:val="nil"/>
        </w:tcBorders>
      </w:tcPr>
    </w:tblStylePr>
  </w:style>
  <w:style w:type="table" w:styleId="TableGrid">
    <w:name w:val="Table Grid"/>
    <w:basedOn w:val="TableNormal"/>
    <w:uiPriority w:val="39"/>
    <w:rsid w:val="00636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Title">
    <w:name w:val="Box Title"/>
    <w:basedOn w:val="Normal"/>
    <w:link w:val="BoxTitleChar"/>
    <w:uiPriority w:val="6"/>
    <w:qFormat/>
    <w:rsid w:val="00135271"/>
    <w:pPr>
      <w:pBdr>
        <w:top w:val="single" w:sz="4" w:space="10" w:color="274B79" w:themeColor="accent1" w:themeShade="80"/>
        <w:bottom w:val="single" w:sz="4" w:space="10" w:color="274B79" w:themeColor="accent1" w:themeShade="80"/>
      </w:pBdr>
      <w:jc w:val="center"/>
    </w:pPr>
    <w:rPr>
      <w:rFonts w:asciiTheme="majorHAnsi" w:hAnsiTheme="majorHAnsi"/>
      <w:b/>
      <w:iCs/>
      <w:color w:val="274B79" w:themeColor="accent1" w:themeShade="80"/>
      <w:sz w:val="28"/>
      <w:szCs w:val="28"/>
    </w:rPr>
  </w:style>
  <w:style w:type="character" w:customStyle="1" w:styleId="BoxTitleChar">
    <w:name w:val="Box Title Char"/>
    <w:basedOn w:val="DefaultParagraphFont"/>
    <w:link w:val="BoxTitle"/>
    <w:uiPriority w:val="6"/>
    <w:rsid w:val="00135271"/>
    <w:rPr>
      <w:rFonts w:asciiTheme="majorHAnsi" w:hAnsiTheme="majorHAnsi"/>
      <w:b/>
      <w:iCs/>
      <w:color w:val="274B79" w:themeColor="accent1" w:themeShade="80"/>
      <w:sz w:val="28"/>
      <w:szCs w:val="28"/>
    </w:rPr>
  </w:style>
  <w:style w:type="paragraph" w:customStyle="1" w:styleId="BoxText">
    <w:name w:val="Box Text"/>
    <w:basedOn w:val="Normal"/>
    <w:link w:val="BoxTextChar"/>
    <w:uiPriority w:val="6"/>
    <w:qFormat/>
    <w:rsid w:val="00135271"/>
    <w:pPr>
      <w:pBdr>
        <w:top w:val="single" w:sz="4" w:space="10" w:color="274B79" w:themeColor="accent1" w:themeShade="80"/>
        <w:bottom w:val="single" w:sz="4" w:space="10" w:color="274B79" w:themeColor="accent1" w:themeShade="80"/>
      </w:pBdr>
      <w:spacing w:before="200"/>
    </w:pPr>
    <w:rPr>
      <w:iCs/>
      <w:color w:val="274B79" w:themeColor="accent1" w:themeShade="80"/>
      <w:sz w:val="24"/>
      <w:szCs w:val="28"/>
    </w:rPr>
  </w:style>
  <w:style w:type="character" w:customStyle="1" w:styleId="BoxTextChar">
    <w:name w:val="Box Text Char"/>
    <w:basedOn w:val="DefaultParagraphFont"/>
    <w:link w:val="BoxText"/>
    <w:uiPriority w:val="6"/>
    <w:rsid w:val="00135271"/>
    <w:rPr>
      <w:iCs/>
      <w:color w:val="274B79" w:themeColor="accent1" w:themeShade="80"/>
      <w:sz w:val="24"/>
      <w:szCs w:val="28"/>
    </w:rPr>
  </w:style>
  <w:style w:type="paragraph" w:styleId="DocumentMap">
    <w:name w:val="Document Map"/>
    <w:basedOn w:val="Normal"/>
    <w:link w:val="DocumentMapChar"/>
    <w:uiPriority w:val="99"/>
    <w:semiHidden/>
    <w:unhideWhenUsed/>
    <w:rsid w:val="00FD27AA"/>
    <w:rPr>
      <w:rFonts w:ascii="Tahoma" w:hAnsi="Tahoma" w:cs="Tahoma"/>
      <w:sz w:val="16"/>
      <w:szCs w:val="16"/>
    </w:rPr>
  </w:style>
  <w:style w:type="character" w:customStyle="1" w:styleId="DocumentMapChar">
    <w:name w:val="Document Map Char"/>
    <w:basedOn w:val="DefaultParagraphFont"/>
    <w:link w:val="DocumentMap"/>
    <w:uiPriority w:val="99"/>
    <w:semiHidden/>
    <w:rsid w:val="00FD27AA"/>
    <w:rPr>
      <w:rFonts w:ascii="Tahoma" w:hAnsi="Tahoma" w:cs="Tahoma"/>
      <w:sz w:val="16"/>
      <w:szCs w:val="16"/>
    </w:rPr>
  </w:style>
  <w:style w:type="paragraph" w:customStyle="1" w:styleId="OffsetText">
    <w:name w:val="Offset Text"/>
    <w:basedOn w:val="Normal"/>
    <w:link w:val="OffsetTextChar"/>
    <w:uiPriority w:val="6"/>
    <w:qFormat/>
    <w:rsid w:val="00993E3C"/>
    <w:pPr>
      <w:pBdr>
        <w:left w:val="single" w:sz="48" w:space="8" w:color="719BD1" w:themeColor="accent1"/>
        <w:bottom w:val="single" w:sz="48" w:space="0" w:color="FFFFFF" w:themeColor="background1"/>
      </w:pBdr>
      <w:spacing w:line="312" w:lineRule="auto"/>
    </w:pPr>
    <w:rPr>
      <w:color w:val="3B70B6" w:themeColor="accent1" w:themeShade="BF"/>
    </w:rPr>
  </w:style>
  <w:style w:type="character" w:customStyle="1" w:styleId="OffsetTextChar">
    <w:name w:val="Offset Text Char"/>
    <w:basedOn w:val="DefaultParagraphFont"/>
    <w:link w:val="OffsetText"/>
    <w:uiPriority w:val="6"/>
    <w:rsid w:val="00993E3C"/>
    <w:rPr>
      <w:color w:val="3B70B6" w:themeColor="accent1" w:themeShade="BF"/>
    </w:rPr>
  </w:style>
  <w:style w:type="table" w:customStyle="1" w:styleId="LightGrid-Accent11">
    <w:name w:val="Light Grid - Accent 11"/>
    <w:basedOn w:val="TableNormal"/>
    <w:uiPriority w:val="62"/>
    <w:rsid w:val="00BC7CEC"/>
    <w:pPr>
      <w:spacing w:after="0" w:line="240" w:lineRule="auto"/>
    </w:pPr>
    <w:tblPr>
      <w:tblStyleRowBandSize w:val="1"/>
      <w:tblStyleColBandSize w:val="1"/>
      <w:tblBorders>
        <w:top w:val="single" w:sz="8" w:space="0" w:color="719BD1" w:themeColor="accent1"/>
        <w:left w:val="single" w:sz="8" w:space="0" w:color="719BD1" w:themeColor="accent1"/>
        <w:bottom w:val="single" w:sz="8" w:space="0" w:color="719BD1" w:themeColor="accent1"/>
        <w:right w:val="single" w:sz="8" w:space="0" w:color="719BD1" w:themeColor="accent1"/>
        <w:insideH w:val="single" w:sz="8" w:space="0" w:color="719BD1" w:themeColor="accent1"/>
        <w:insideV w:val="single" w:sz="8" w:space="0" w:color="719BD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9BD1" w:themeColor="accent1"/>
          <w:left w:val="single" w:sz="8" w:space="0" w:color="719BD1" w:themeColor="accent1"/>
          <w:bottom w:val="single" w:sz="18" w:space="0" w:color="719BD1" w:themeColor="accent1"/>
          <w:right w:val="single" w:sz="8" w:space="0" w:color="719BD1" w:themeColor="accent1"/>
          <w:insideH w:val="nil"/>
          <w:insideV w:val="single" w:sz="8" w:space="0" w:color="719BD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9BD1" w:themeColor="accent1"/>
          <w:left w:val="single" w:sz="8" w:space="0" w:color="719BD1" w:themeColor="accent1"/>
          <w:bottom w:val="single" w:sz="8" w:space="0" w:color="719BD1" w:themeColor="accent1"/>
          <w:right w:val="single" w:sz="8" w:space="0" w:color="719BD1" w:themeColor="accent1"/>
          <w:insideH w:val="nil"/>
          <w:insideV w:val="single" w:sz="8" w:space="0" w:color="719BD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9BD1" w:themeColor="accent1"/>
          <w:left w:val="single" w:sz="8" w:space="0" w:color="719BD1" w:themeColor="accent1"/>
          <w:bottom w:val="single" w:sz="8" w:space="0" w:color="719BD1" w:themeColor="accent1"/>
          <w:right w:val="single" w:sz="8" w:space="0" w:color="719BD1" w:themeColor="accent1"/>
        </w:tcBorders>
      </w:tcPr>
    </w:tblStylePr>
    <w:tblStylePr w:type="band1Vert">
      <w:tblPr/>
      <w:tcPr>
        <w:tcBorders>
          <w:top w:val="single" w:sz="8" w:space="0" w:color="719BD1" w:themeColor="accent1"/>
          <w:left w:val="single" w:sz="8" w:space="0" w:color="719BD1" w:themeColor="accent1"/>
          <w:bottom w:val="single" w:sz="8" w:space="0" w:color="719BD1" w:themeColor="accent1"/>
          <w:right w:val="single" w:sz="8" w:space="0" w:color="719BD1" w:themeColor="accent1"/>
        </w:tcBorders>
        <w:shd w:val="clear" w:color="auto" w:fill="DBE6F3" w:themeFill="accent1" w:themeFillTint="3F"/>
      </w:tcPr>
    </w:tblStylePr>
    <w:tblStylePr w:type="band1Horz">
      <w:tblPr/>
      <w:tcPr>
        <w:tcBorders>
          <w:top w:val="single" w:sz="8" w:space="0" w:color="719BD1" w:themeColor="accent1"/>
          <w:left w:val="single" w:sz="8" w:space="0" w:color="719BD1" w:themeColor="accent1"/>
          <w:bottom w:val="single" w:sz="8" w:space="0" w:color="719BD1" w:themeColor="accent1"/>
          <w:right w:val="single" w:sz="8" w:space="0" w:color="719BD1" w:themeColor="accent1"/>
          <w:insideV w:val="single" w:sz="8" w:space="0" w:color="719BD1" w:themeColor="accent1"/>
        </w:tcBorders>
        <w:shd w:val="clear" w:color="auto" w:fill="DBE6F3" w:themeFill="accent1" w:themeFillTint="3F"/>
      </w:tcPr>
    </w:tblStylePr>
    <w:tblStylePr w:type="band2Horz">
      <w:tblPr/>
      <w:tcPr>
        <w:tcBorders>
          <w:top w:val="single" w:sz="8" w:space="0" w:color="719BD1" w:themeColor="accent1"/>
          <w:left w:val="single" w:sz="8" w:space="0" w:color="719BD1" w:themeColor="accent1"/>
          <w:bottom w:val="single" w:sz="8" w:space="0" w:color="719BD1" w:themeColor="accent1"/>
          <w:right w:val="single" w:sz="8" w:space="0" w:color="719BD1" w:themeColor="accent1"/>
          <w:insideV w:val="single" w:sz="8" w:space="0" w:color="719BD1" w:themeColor="accent1"/>
        </w:tcBorders>
      </w:tcPr>
    </w:tblStylePr>
  </w:style>
  <w:style w:type="table" w:styleId="MediumGrid3-Accent1">
    <w:name w:val="Medium Grid 3 Accent 1"/>
    <w:basedOn w:val="TableNormal"/>
    <w:uiPriority w:val="69"/>
    <w:rsid w:val="005E7FF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6F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9BD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9BD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9BD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9BD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CD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CDE8" w:themeFill="accent1" w:themeFillTint="7F"/>
      </w:tcPr>
    </w:tblStylePr>
  </w:style>
  <w:style w:type="paragraph" w:styleId="TableofFigures">
    <w:name w:val="table of figures"/>
    <w:basedOn w:val="Normal"/>
    <w:next w:val="Normal"/>
    <w:uiPriority w:val="99"/>
    <w:unhideWhenUsed/>
    <w:rsid w:val="00C50014"/>
    <w:pPr>
      <w:spacing w:after="100"/>
      <w:ind w:right="504"/>
    </w:pPr>
    <w:rPr>
      <w:rFonts w:ascii="Times New Roman" w:hAnsi="Times New Roman"/>
      <w:szCs w:val="26"/>
    </w:rPr>
  </w:style>
  <w:style w:type="paragraph" w:customStyle="1" w:styleId="ListBullet2tight">
    <w:name w:val="List Bullet 2 (tight)"/>
    <w:basedOn w:val="ListBullet2"/>
    <w:link w:val="ListBullet2tightChar"/>
    <w:uiPriority w:val="11"/>
    <w:qFormat/>
    <w:rsid w:val="003927FE"/>
    <w:pPr>
      <w:numPr>
        <w:numId w:val="5"/>
      </w:numPr>
      <w:contextualSpacing/>
    </w:pPr>
  </w:style>
  <w:style w:type="paragraph" w:styleId="ListBullet2">
    <w:name w:val="List Bullet 2"/>
    <w:basedOn w:val="Normal"/>
    <w:uiPriority w:val="9"/>
    <w:rsid w:val="00214C08"/>
    <w:pPr>
      <w:numPr>
        <w:ilvl w:val="1"/>
        <w:numId w:val="4"/>
      </w:numPr>
    </w:pPr>
  </w:style>
  <w:style w:type="character" w:customStyle="1" w:styleId="ListBullet2tightChar">
    <w:name w:val="List Bullet 2 (tight) Char"/>
    <w:basedOn w:val="DefaultParagraphFont"/>
    <w:link w:val="ListBullet2tight"/>
    <w:uiPriority w:val="11"/>
    <w:rsid w:val="003927FE"/>
  </w:style>
  <w:style w:type="character" w:styleId="FollowedHyperlink">
    <w:name w:val="FollowedHyperlink"/>
    <w:basedOn w:val="DefaultParagraphFont"/>
    <w:unhideWhenUsed/>
    <w:rsid w:val="000B473C"/>
    <w:rPr>
      <w:color w:val="20518C" w:themeColor="followedHyperlink"/>
      <w:u w:val="single"/>
    </w:rPr>
  </w:style>
  <w:style w:type="paragraph" w:styleId="EndnoteText">
    <w:name w:val="endnote text"/>
    <w:basedOn w:val="Normal"/>
    <w:link w:val="EndnoteTextChar"/>
    <w:uiPriority w:val="99"/>
    <w:qFormat/>
    <w:rsid w:val="007A55F6"/>
    <w:rPr>
      <w:sz w:val="18"/>
      <w:szCs w:val="20"/>
    </w:rPr>
  </w:style>
  <w:style w:type="character" w:customStyle="1" w:styleId="EndnoteTextChar">
    <w:name w:val="Endnote Text Char"/>
    <w:basedOn w:val="DefaultParagraphFont"/>
    <w:link w:val="EndnoteText"/>
    <w:uiPriority w:val="99"/>
    <w:rsid w:val="00BC096D"/>
    <w:rPr>
      <w:sz w:val="18"/>
      <w:szCs w:val="20"/>
    </w:rPr>
  </w:style>
  <w:style w:type="character" w:styleId="EndnoteReference">
    <w:name w:val="endnote reference"/>
    <w:basedOn w:val="DefaultParagraphFont"/>
    <w:uiPriority w:val="99"/>
    <w:unhideWhenUsed/>
    <w:rsid w:val="00A606B8"/>
    <w:rPr>
      <w:vertAlign w:val="superscript"/>
    </w:rPr>
  </w:style>
  <w:style w:type="paragraph" w:styleId="FootnoteText">
    <w:name w:val="footnote text"/>
    <w:aliases w:val="Footnote Text Char Char,Footnote Text Char1 Char Char,Footnote Text Char Char Char Char,Footnote Text Char Char1,ALTS FOOTNOTE,fn,Char,Char4,Footnote Text - Preamble,Char2,Footnote Text - Preamble1,Char3,ft,f"/>
    <w:basedOn w:val="Normal"/>
    <w:link w:val="FootnoteTextChar"/>
    <w:uiPriority w:val="99"/>
    <w:qFormat/>
    <w:rsid w:val="00E06161"/>
    <w:rPr>
      <w:rFonts w:ascii="Times New Roman" w:hAnsi="Times New Roman"/>
      <w:sz w:val="18"/>
      <w:szCs w:val="20"/>
    </w:rPr>
  </w:style>
  <w:style w:type="character" w:customStyle="1" w:styleId="FootnoteTextChar">
    <w:name w:val="Footnote Text Char"/>
    <w:aliases w:val="Footnote Text Char Char Char,Footnote Text Char1 Char Char Char,Footnote Text Char Char Char Char Char,Footnote Text Char Char1 Char,ALTS FOOTNOTE Char,fn Char,Char Char,Char4 Char,Footnote Text - Preamble Char,Char2 Char,Char3 Char"/>
    <w:basedOn w:val="DefaultParagraphFont"/>
    <w:link w:val="FootnoteText"/>
    <w:uiPriority w:val="99"/>
    <w:rsid w:val="00E06161"/>
    <w:rPr>
      <w:rFonts w:ascii="Times New Roman" w:hAnsi="Times New Roman"/>
      <w:sz w:val="18"/>
      <w:szCs w:val="20"/>
    </w:rPr>
  </w:style>
  <w:style w:type="character" w:styleId="FootnoteReference">
    <w:name w:val="footnote reference"/>
    <w:basedOn w:val="DefaultParagraphFont"/>
    <w:uiPriority w:val="99"/>
    <w:unhideWhenUsed/>
    <w:rsid w:val="00A606B8"/>
    <w:rPr>
      <w:vertAlign w:val="superscript"/>
    </w:rPr>
  </w:style>
  <w:style w:type="paragraph" w:customStyle="1" w:styleId="Abbreviations">
    <w:name w:val="Abbreviations"/>
    <w:basedOn w:val="Normal"/>
    <w:uiPriority w:val="9"/>
    <w:qFormat/>
    <w:rsid w:val="0006754E"/>
    <w:pPr>
      <w:tabs>
        <w:tab w:val="left" w:pos="1800"/>
      </w:tabs>
      <w:spacing w:after="100"/>
      <w:ind w:left="1800" w:hanging="1800"/>
    </w:pPr>
  </w:style>
  <w:style w:type="paragraph" w:customStyle="1" w:styleId="Source">
    <w:name w:val="Source"/>
    <w:uiPriority w:val="6"/>
    <w:qFormat/>
    <w:rsid w:val="003F1DD7"/>
    <w:pPr>
      <w:spacing w:before="100"/>
      <w:contextualSpacing/>
    </w:pPr>
    <w:rPr>
      <w:i/>
      <w:sz w:val="20"/>
      <w:szCs w:val="20"/>
    </w:rPr>
  </w:style>
  <w:style w:type="paragraph" w:customStyle="1" w:styleId="Heading1notnumbered">
    <w:name w:val="Heading 1 (not numbered)"/>
    <w:basedOn w:val="Heading1"/>
    <w:uiPriority w:val="2"/>
    <w:qFormat/>
    <w:rsid w:val="00F76326"/>
    <w:pPr>
      <w:numPr>
        <w:numId w:val="0"/>
      </w:numPr>
      <w:outlineLvl w:val="9"/>
    </w:pPr>
  </w:style>
  <w:style w:type="table" w:styleId="LightList-Accent3">
    <w:name w:val="Light List Accent 3"/>
    <w:basedOn w:val="TableNormal"/>
    <w:uiPriority w:val="61"/>
    <w:rsid w:val="00ED1439"/>
    <w:pPr>
      <w:spacing w:after="0" w:line="240" w:lineRule="auto"/>
    </w:pPr>
    <w:tblPr>
      <w:tblStyleRowBandSize w:val="1"/>
      <w:tblStyleColBandSize w:val="1"/>
      <w:tblBorders>
        <w:top w:val="single" w:sz="8" w:space="0" w:color="B4D562" w:themeColor="accent3"/>
        <w:left w:val="single" w:sz="8" w:space="0" w:color="B4D562" w:themeColor="accent3"/>
        <w:bottom w:val="single" w:sz="8" w:space="0" w:color="B4D562" w:themeColor="accent3"/>
        <w:right w:val="single" w:sz="8" w:space="0" w:color="B4D562" w:themeColor="accent3"/>
      </w:tblBorders>
    </w:tblPr>
    <w:tblStylePr w:type="firstRow">
      <w:pPr>
        <w:spacing w:before="0" w:after="0" w:line="240" w:lineRule="auto"/>
      </w:pPr>
      <w:rPr>
        <w:b/>
        <w:bCs/>
        <w:color w:val="FFFFFF" w:themeColor="background1"/>
      </w:rPr>
      <w:tblPr/>
      <w:tcPr>
        <w:shd w:val="clear" w:color="auto" w:fill="B4D562" w:themeFill="accent3"/>
      </w:tcPr>
    </w:tblStylePr>
    <w:tblStylePr w:type="lastRow">
      <w:pPr>
        <w:spacing w:before="0" w:after="0" w:line="240" w:lineRule="auto"/>
      </w:pPr>
      <w:rPr>
        <w:b/>
        <w:bCs/>
      </w:rPr>
      <w:tblPr/>
      <w:tcPr>
        <w:tcBorders>
          <w:top w:val="double" w:sz="6" w:space="0" w:color="B4D562" w:themeColor="accent3"/>
          <w:left w:val="single" w:sz="8" w:space="0" w:color="B4D562" w:themeColor="accent3"/>
          <w:bottom w:val="single" w:sz="8" w:space="0" w:color="B4D562" w:themeColor="accent3"/>
          <w:right w:val="single" w:sz="8" w:space="0" w:color="B4D562" w:themeColor="accent3"/>
        </w:tcBorders>
      </w:tcPr>
    </w:tblStylePr>
    <w:tblStylePr w:type="firstCol">
      <w:rPr>
        <w:b/>
        <w:bCs/>
      </w:rPr>
    </w:tblStylePr>
    <w:tblStylePr w:type="lastCol">
      <w:rPr>
        <w:b/>
        <w:bCs/>
      </w:rPr>
    </w:tblStylePr>
    <w:tblStylePr w:type="band1Vert">
      <w:tblPr/>
      <w:tcPr>
        <w:tcBorders>
          <w:top w:val="single" w:sz="8" w:space="0" w:color="B4D562" w:themeColor="accent3"/>
          <w:left w:val="single" w:sz="8" w:space="0" w:color="B4D562" w:themeColor="accent3"/>
          <w:bottom w:val="single" w:sz="8" w:space="0" w:color="B4D562" w:themeColor="accent3"/>
          <w:right w:val="single" w:sz="8" w:space="0" w:color="B4D562" w:themeColor="accent3"/>
        </w:tcBorders>
      </w:tcPr>
    </w:tblStylePr>
    <w:tblStylePr w:type="band1Horz">
      <w:tblPr/>
      <w:tcPr>
        <w:tcBorders>
          <w:top w:val="single" w:sz="8" w:space="0" w:color="B4D562" w:themeColor="accent3"/>
          <w:left w:val="single" w:sz="8" w:space="0" w:color="B4D562" w:themeColor="accent3"/>
          <w:bottom w:val="single" w:sz="8" w:space="0" w:color="B4D562" w:themeColor="accent3"/>
          <w:right w:val="single" w:sz="8" w:space="0" w:color="B4D562" w:themeColor="accent3"/>
        </w:tcBorders>
      </w:tcPr>
    </w:tblStylePr>
  </w:style>
  <w:style w:type="table" w:customStyle="1" w:styleId="LightList-Accent11">
    <w:name w:val="Light List - Accent 11"/>
    <w:basedOn w:val="TableNormal"/>
    <w:uiPriority w:val="61"/>
    <w:rsid w:val="00836687"/>
    <w:pPr>
      <w:spacing w:after="0" w:line="240" w:lineRule="auto"/>
    </w:pPr>
    <w:tblPr>
      <w:tblStyleRowBandSize w:val="1"/>
      <w:tblStyleColBandSize w:val="1"/>
      <w:tblBorders>
        <w:top w:val="single" w:sz="8" w:space="0" w:color="719BD1" w:themeColor="accent1"/>
        <w:left w:val="single" w:sz="8" w:space="0" w:color="719BD1" w:themeColor="accent1"/>
        <w:bottom w:val="single" w:sz="8" w:space="0" w:color="719BD1" w:themeColor="accent1"/>
        <w:right w:val="single" w:sz="8" w:space="0" w:color="719BD1" w:themeColor="accent1"/>
      </w:tblBorders>
    </w:tblPr>
    <w:tblStylePr w:type="firstRow">
      <w:pPr>
        <w:spacing w:before="0" w:after="0" w:line="240" w:lineRule="auto"/>
      </w:pPr>
      <w:rPr>
        <w:b/>
        <w:bCs/>
        <w:color w:val="FFFFFF" w:themeColor="background1"/>
      </w:rPr>
      <w:tblPr/>
      <w:tcPr>
        <w:shd w:val="clear" w:color="auto" w:fill="719BD1" w:themeFill="accent1"/>
      </w:tcPr>
    </w:tblStylePr>
    <w:tblStylePr w:type="lastRow">
      <w:pPr>
        <w:spacing w:before="0" w:after="0" w:line="240" w:lineRule="auto"/>
      </w:pPr>
      <w:rPr>
        <w:b/>
        <w:bCs/>
      </w:rPr>
      <w:tblPr/>
      <w:tcPr>
        <w:tcBorders>
          <w:top w:val="double" w:sz="6" w:space="0" w:color="719BD1" w:themeColor="accent1"/>
          <w:left w:val="single" w:sz="8" w:space="0" w:color="719BD1" w:themeColor="accent1"/>
          <w:bottom w:val="single" w:sz="8" w:space="0" w:color="719BD1" w:themeColor="accent1"/>
          <w:right w:val="single" w:sz="8" w:space="0" w:color="719BD1" w:themeColor="accent1"/>
        </w:tcBorders>
      </w:tcPr>
    </w:tblStylePr>
    <w:tblStylePr w:type="firstCol">
      <w:rPr>
        <w:b/>
        <w:bCs/>
      </w:rPr>
    </w:tblStylePr>
    <w:tblStylePr w:type="lastCol">
      <w:rPr>
        <w:b/>
        <w:bCs/>
      </w:rPr>
    </w:tblStylePr>
    <w:tblStylePr w:type="band1Vert">
      <w:tblPr/>
      <w:tcPr>
        <w:tcBorders>
          <w:top w:val="single" w:sz="8" w:space="0" w:color="719BD1" w:themeColor="accent1"/>
          <w:left w:val="single" w:sz="8" w:space="0" w:color="719BD1" w:themeColor="accent1"/>
          <w:bottom w:val="single" w:sz="8" w:space="0" w:color="719BD1" w:themeColor="accent1"/>
          <w:right w:val="single" w:sz="8" w:space="0" w:color="719BD1" w:themeColor="accent1"/>
        </w:tcBorders>
      </w:tcPr>
    </w:tblStylePr>
    <w:tblStylePr w:type="band1Horz">
      <w:tblPr/>
      <w:tcPr>
        <w:tcBorders>
          <w:top w:val="single" w:sz="8" w:space="0" w:color="719BD1" w:themeColor="accent1"/>
          <w:left w:val="single" w:sz="8" w:space="0" w:color="719BD1" w:themeColor="accent1"/>
          <w:bottom w:val="single" w:sz="8" w:space="0" w:color="719BD1" w:themeColor="accent1"/>
          <w:right w:val="single" w:sz="8" w:space="0" w:color="719BD1" w:themeColor="accent1"/>
        </w:tcBorders>
      </w:tcPr>
    </w:tblStylePr>
  </w:style>
  <w:style w:type="paragraph" w:customStyle="1" w:styleId="CoverInfo2">
    <w:name w:val="Cover Info 2"/>
    <w:uiPriority w:val="2"/>
    <w:qFormat/>
    <w:rsid w:val="00BF34CB"/>
    <w:pPr>
      <w:spacing w:after="0" w:line="264" w:lineRule="auto"/>
      <w:jc w:val="right"/>
    </w:pPr>
    <w:rPr>
      <w:color w:val="595959" w:themeColor="text1" w:themeTint="A6"/>
      <w:spacing w:val="5"/>
      <w:sz w:val="24"/>
    </w:rPr>
  </w:style>
  <w:style w:type="table" w:styleId="MediumGrid1-Accent1">
    <w:name w:val="Medium Grid 1 Accent 1"/>
    <w:basedOn w:val="TableNormal"/>
    <w:uiPriority w:val="67"/>
    <w:rsid w:val="005E7FFA"/>
    <w:pPr>
      <w:spacing w:after="0" w:line="240" w:lineRule="auto"/>
    </w:pPr>
    <w:tblPr>
      <w:tblStyleRowBandSize w:val="1"/>
      <w:tblStyleColBandSize w:val="1"/>
      <w:tblBorders>
        <w:top w:val="single" w:sz="8" w:space="0" w:color="94B3DC" w:themeColor="accent1" w:themeTint="BF"/>
        <w:left w:val="single" w:sz="8" w:space="0" w:color="94B3DC" w:themeColor="accent1" w:themeTint="BF"/>
        <w:bottom w:val="single" w:sz="8" w:space="0" w:color="94B3DC" w:themeColor="accent1" w:themeTint="BF"/>
        <w:right w:val="single" w:sz="8" w:space="0" w:color="94B3DC" w:themeColor="accent1" w:themeTint="BF"/>
        <w:insideH w:val="single" w:sz="8" w:space="0" w:color="94B3DC" w:themeColor="accent1" w:themeTint="BF"/>
        <w:insideV w:val="single" w:sz="8" w:space="0" w:color="94B3DC" w:themeColor="accent1" w:themeTint="BF"/>
      </w:tblBorders>
    </w:tblPr>
    <w:tcPr>
      <w:shd w:val="clear" w:color="auto" w:fill="DBE6F3" w:themeFill="accent1" w:themeFillTint="3F"/>
    </w:tcPr>
    <w:tblStylePr w:type="firstRow">
      <w:rPr>
        <w:b/>
        <w:bCs/>
      </w:rPr>
    </w:tblStylePr>
    <w:tblStylePr w:type="lastRow">
      <w:rPr>
        <w:b/>
        <w:bCs/>
      </w:rPr>
      <w:tblPr/>
      <w:tcPr>
        <w:tcBorders>
          <w:top w:val="single" w:sz="18" w:space="0" w:color="94B3DC" w:themeColor="accent1" w:themeTint="BF"/>
        </w:tcBorders>
      </w:tcPr>
    </w:tblStylePr>
    <w:tblStylePr w:type="firstCol">
      <w:rPr>
        <w:b/>
        <w:bCs/>
      </w:rPr>
    </w:tblStylePr>
    <w:tblStylePr w:type="lastCol">
      <w:rPr>
        <w:b/>
        <w:bCs/>
      </w:rPr>
    </w:tblStylePr>
    <w:tblStylePr w:type="band1Vert">
      <w:tblPr/>
      <w:tcPr>
        <w:shd w:val="clear" w:color="auto" w:fill="B8CDE8" w:themeFill="accent1" w:themeFillTint="7F"/>
      </w:tcPr>
    </w:tblStylePr>
    <w:tblStylePr w:type="band1Horz">
      <w:tblPr/>
      <w:tcPr>
        <w:shd w:val="clear" w:color="auto" w:fill="B8CDE8" w:themeFill="accent1" w:themeFillTint="7F"/>
      </w:tcPr>
    </w:tblStylePr>
  </w:style>
  <w:style w:type="character" w:styleId="CommentReference">
    <w:name w:val="annotation reference"/>
    <w:basedOn w:val="DefaultParagraphFont"/>
    <w:uiPriority w:val="99"/>
    <w:unhideWhenUsed/>
    <w:rsid w:val="00D1235B"/>
    <w:rPr>
      <w:sz w:val="16"/>
      <w:szCs w:val="16"/>
    </w:rPr>
  </w:style>
  <w:style w:type="paragraph" w:styleId="CommentText">
    <w:name w:val="annotation text"/>
    <w:basedOn w:val="Normal"/>
    <w:link w:val="CommentTextChar"/>
    <w:uiPriority w:val="99"/>
    <w:unhideWhenUsed/>
    <w:rsid w:val="00D1235B"/>
    <w:rPr>
      <w:rFonts w:eastAsiaTheme="minorEastAsia"/>
      <w:sz w:val="20"/>
      <w:szCs w:val="20"/>
    </w:rPr>
  </w:style>
  <w:style w:type="character" w:customStyle="1" w:styleId="CommentTextChar">
    <w:name w:val="Comment Text Char"/>
    <w:basedOn w:val="DefaultParagraphFont"/>
    <w:link w:val="CommentText"/>
    <w:uiPriority w:val="99"/>
    <w:rsid w:val="00D1235B"/>
    <w:rPr>
      <w:rFonts w:eastAsiaTheme="minorEastAsia"/>
      <w:sz w:val="20"/>
      <w:szCs w:val="20"/>
    </w:rPr>
  </w:style>
  <w:style w:type="paragraph" w:styleId="CommentSubject">
    <w:name w:val="annotation subject"/>
    <w:basedOn w:val="CommentText"/>
    <w:next w:val="CommentText"/>
    <w:link w:val="CommentSubjectChar"/>
    <w:unhideWhenUsed/>
    <w:rsid w:val="006C7839"/>
    <w:rPr>
      <w:rFonts w:eastAsiaTheme="minorHAnsi"/>
      <w:b/>
      <w:bCs/>
    </w:rPr>
  </w:style>
  <w:style w:type="character" w:customStyle="1" w:styleId="CommentSubjectChar">
    <w:name w:val="Comment Subject Char"/>
    <w:basedOn w:val="CommentTextChar"/>
    <w:link w:val="CommentSubject"/>
    <w:rsid w:val="006C7839"/>
    <w:rPr>
      <w:rFonts w:eastAsiaTheme="minorEastAsia"/>
      <w:b/>
      <w:bCs/>
      <w:sz w:val="20"/>
      <w:szCs w:val="20"/>
    </w:rPr>
  </w:style>
  <w:style w:type="paragraph" w:styleId="Revision">
    <w:name w:val="Revision"/>
    <w:hidden/>
    <w:uiPriority w:val="99"/>
    <w:semiHidden/>
    <w:rsid w:val="004B475E"/>
    <w:pPr>
      <w:spacing w:after="0" w:line="240" w:lineRule="auto"/>
    </w:pPr>
  </w:style>
  <w:style w:type="paragraph" w:customStyle="1" w:styleId="EquationList">
    <w:name w:val="Equation List"/>
    <w:basedOn w:val="Normal"/>
    <w:uiPriority w:val="4"/>
    <w:qFormat/>
    <w:rsid w:val="00B36EE5"/>
    <w:pPr>
      <w:tabs>
        <w:tab w:val="left" w:pos="1260"/>
        <w:tab w:val="left" w:pos="1980"/>
      </w:tabs>
      <w:ind w:left="540"/>
      <w:contextualSpacing/>
    </w:pPr>
  </w:style>
  <w:style w:type="paragraph" w:styleId="NormalWeb">
    <w:name w:val="Normal (Web)"/>
    <w:basedOn w:val="Normal"/>
    <w:uiPriority w:val="99"/>
    <w:unhideWhenUsed/>
    <w:rsid w:val="00D82453"/>
    <w:pPr>
      <w:spacing w:before="100" w:beforeAutospacing="1" w:after="100" w:afterAutospacing="1"/>
    </w:pPr>
    <w:rPr>
      <w:rFonts w:ascii="Times New Roman" w:eastAsiaTheme="minorEastAsia" w:hAnsi="Times New Roman" w:cs="Times New Roman"/>
      <w:sz w:val="24"/>
      <w:szCs w:val="24"/>
    </w:rPr>
  </w:style>
  <w:style w:type="paragraph" w:styleId="ListContinue">
    <w:name w:val="List Continue"/>
    <w:basedOn w:val="Normal"/>
    <w:uiPriority w:val="99"/>
    <w:unhideWhenUsed/>
    <w:rsid w:val="005A3E2C"/>
    <w:pPr>
      <w:ind w:left="720"/>
    </w:pPr>
  </w:style>
  <w:style w:type="table" w:styleId="LightShading-Accent1">
    <w:name w:val="Light Shading Accent 1"/>
    <w:basedOn w:val="TableNormal"/>
    <w:uiPriority w:val="60"/>
    <w:rsid w:val="00951C24"/>
    <w:pPr>
      <w:spacing w:after="0" w:line="240" w:lineRule="auto"/>
    </w:pPr>
    <w:rPr>
      <w:color w:val="3B70B6" w:themeColor="accent1" w:themeShade="BF"/>
    </w:rPr>
    <w:tblPr>
      <w:tblStyleRowBandSize w:val="1"/>
      <w:tblStyleColBandSize w:val="1"/>
      <w:tblBorders>
        <w:top w:val="single" w:sz="8" w:space="0" w:color="719BD1" w:themeColor="accent1"/>
        <w:bottom w:val="single" w:sz="8" w:space="0" w:color="719BD1" w:themeColor="accent1"/>
      </w:tblBorders>
    </w:tblPr>
    <w:tblStylePr w:type="firstRow">
      <w:pPr>
        <w:spacing w:before="0" w:after="0" w:line="240" w:lineRule="auto"/>
      </w:pPr>
      <w:rPr>
        <w:b/>
        <w:bCs/>
      </w:rPr>
      <w:tblPr/>
      <w:tcPr>
        <w:tcBorders>
          <w:top w:val="single" w:sz="8" w:space="0" w:color="719BD1" w:themeColor="accent1"/>
          <w:left w:val="nil"/>
          <w:bottom w:val="single" w:sz="8" w:space="0" w:color="719BD1" w:themeColor="accent1"/>
          <w:right w:val="nil"/>
          <w:insideH w:val="nil"/>
          <w:insideV w:val="nil"/>
        </w:tcBorders>
      </w:tcPr>
    </w:tblStylePr>
    <w:tblStylePr w:type="lastRow">
      <w:pPr>
        <w:spacing w:before="0" w:after="0" w:line="240" w:lineRule="auto"/>
      </w:pPr>
      <w:rPr>
        <w:b/>
        <w:bCs/>
      </w:rPr>
      <w:tblPr/>
      <w:tcPr>
        <w:tcBorders>
          <w:top w:val="single" w:sz="8" w:space="0" w:color="719BD1" w:themeColor="accent1"/>
          <w:left w:val="nil"/>
          <w:bottom w:val="single" w:sz="8" w:space="0" w:color="719BD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6F3" w:themeFill="accent1" w:themeFillTint="3F"/>
      </w:tcPr>
    </w:tblStylePr>
    <w:tblStylePr w:type="band1Horz">
      <w:tblPr/>
      <w:tcPr>
        <w:tcBorders>
          <w:left w:val="nil"/>
          <w:right w:val="nil"/>
          <w:insideH w:val="nil"/>
          <w:insideV w:val="nil"/>
        </w:tcBorders>
        <w:shd w:val="clear" w:color="auto" w:fill="DBE6F3" w:themeFill="accent1" w:themeFillTint="3F"/>
      </w:tcPr>
    </w:tblStylePr>
  </w:style>
  <w:style w:type="numbering" w:customStyle="1" w:styleId="ListBullets">
    <w:name w:val="List Bullets"/>
    <w:uiPriority w:val="99"/>
    <w:rsid w:val="00214C08"/>
    <w:pPr>
      <w:numPr>
        <w:numId w:val="2"/>
      </w:numPr>
    </w:pPr>
  </w:style>
  <w:style w:type="numbering" w:customStyle="1" w:styleId="ListBulletsTight">
    <w:name w:val="List Bullets Tight"/>
    <w:uiPriority w:val="99"/>
    <w:rsid w:val="003927FE"/>
    <w:pPr>
      <w:numPr>
        <w:numId w:val="3"/>
      </w:numPr>
    </w:pPr>
  </w:style>
  <w:style w:type="paragraph" w:customStyle="1" w:styleId="TableFollowingLine">
    <w:name w:val="Table Following Line"/>
    <w:basedOn w:val="Normal"/>
    <w:uiPriority w:val="4"/>
    <w:qFormat/>
    <w:rsid w:val="00685E02"/>
    <w:rPr>
      <w:sz w:val="20"/>
      <w:szCs w:val="20"/>
    </w:rPr>
  </w:style>
  <w:style w:type="paragraph" w:customStyle="1" w:styleId="TableSecond-PageCaption">
    <w:name w:val="Table Second-Page Caption"/>
    <w:basedOn w:val="Caption"/>
    <w:uiPriority w:val="4"/>
    <w:qFormat/>
    <w:rsid w:val="0083141E"/>
  </w:style>
  <w:style w:type="paragraph" w:customStyle="1" w:styleId="TableFootnote">
    <w:name w:val="Table Footnote"/>
    <w:basedOn w:val="TableFollowingLine"/>
    <w:uiPriority w:val="99"/>
    <w:qFormat/>
    <w:rsid w:val="00BE3E15"/>
    <w:pPr>
      <w:numPr>
        <w:numId w:val="6"/>
      </w:numPr>
      <w:spacing w:before="60" w:after="60"/>
      <w:ind w:left="360"/>
    </w:pPr>
  </w:style>
  <w:style w:type="paragraph" w:styleId="ListNumber">
    <w:name w:val="List Number"/>
    <w:basedOn w:val="Normal"/>
    <w:uiPriority w:val="99"/>
    <w:unhideWhenUsed/>
    <w:rsid w:val="004E5732"/>
    <w:pPr>
      <w:numPr>
        <w:numId w:val="10"/>
      </w:numPr>
      <w:ind w:left="720"/>
    </w:pPr>
  </w:style>
  <w:style w:type="paragraph" w:styleId="ListNumber2">
    <w:name w:val="List Number 2"/>
    <w:basedOn w:val="Normal"/>
    <w:uiPriority w:val="99"/>
    <w:unhideWhenUsed/>
    <w:rsid w:val="004E5732"/>
    <w:pPr>
      <w:numPr>
        <w:numId w:val="11"/>
      </w:numPr>
      <w:ind w:left="1080"/>
      <w:contextualSpacing/>
    </w:pPr>
  </w:style>
  <w:style w:type="paragraph" w:styleId="ListNumber3">
    <w:name w:val="List Number 3"/>
    <w:basedOn w:val="Normal"/>
    <w:uiPriority w:val="99"/>
    <w:unhideWhenUsed/>
    <w:rsid w:val="004E5732"/>
    <w:pPr>
      <w:numPr>
        <w:numId w:val="12"/>
      </w:numPr>
      <w:ind w:left="1440"/>
      <w:contextualSpacing/>
    </w:pPr>
  </w:style>
  <w:style w:type="paragraph" w:customStyle="1" w:styleId="ListNumbertight">
    <w:name w:val="List Number (tight)"/>
    <w:basedOn w:val="ListNumber"/>
    <w:uiPriority w:val="4"/>
    <w:qFormat/>
    <w:rsid w:val="008B1407"/>
    <w:pPr>
      <w:contextualSpacing/>
    </w:pPr>
  </w:style>
  <w:style w:type="paragraph" w:customStyle="1" w:styleId="ListNumber2tight">
    <w:name w:val="List Number 2 (tight)"/>
    <w:basedOn w:val="ListNumber2"/>
    <w:uiPriority w:val="4"/>
    <w:qFormat/>
    <w:rsid w:val="008B1407"/>
    <w:pPr>
      <w:contextualSpacing w:val="0"/>
    </w:pPr>
  </w:style>
  <w:style w:type="paragraph" w:customStyle="1" w:styleId="ListNumber3tight">
    <w:name w:val="List Number 3 (tight)"/>
    <w:basedOn w:val="ListNumber3"/>
    <w:uiPriority w:val="4"/>
    <w:qFormat/>
    <w:rsid w:val="008B1407"/>
  </w:style>
  <w:style w:type="paragraph" w:customStyle="1" w:styleId="TableText">
    <w:name w:val="Table Text"/>
    <w:link w:val="TableTextChar"/>
    <w:qFormat/>
    <w:rsid w:val="00BF5472"/>
    <w:pPr>
      <w:spacing w:before="40" w:after="40" w:line="240" w:lineRule="auto"/>
      <w:jc w:val="center"/>
    </w:pPr>
    <w:rPr>
      <w:rFonts w:ascii="Times New Roman" w:hAnsi="Times New Roman"/>
      <w:sz w:val="20"/>
      <w:szCs w:val="20"/>
    </w:rPr>
  </w:style>
  <w:style w:type="paragraph" w:customStyle="1" w:styleId="TableBullet">
    <w:name w:val="Table Bullet"/>
    <w:basedOn w:val="ListBullet"/>
    <w:uiPriority w:val="4"/>
    <w:qFormat/>
    <w:rsid w:val="00FB27B4"/>
    <w:pPr>
      <w:ind w:left="216" w:hanging="216"/>
    </w:pPr>
    <w:rPr>
      <w:sz w:val="20"/>
      <w:szCs w:val="20"/>
    </w:rPr>
  </w:style>
  <w:style w:type="paragraph" w:customStyle="1" w:styleId="Body">
    <w:name w:val="Body"/>
    <w:basedOn w:val="BodyText"/>
    <w:link w:val="BodyChar"/>
    <w:uiPriority w:val="99"/>
    <w:rsid w:val="00810FAC"/>
    <w:pPr>
      <w:spacing w:before="120"/>
      <w:ind w:firstLine="720"/>
    </w:pPr>
    <w:rPr>
      <w:rFonts w:eastAsia="Times New Roman" w:cs="Times New Roman"/>
      <w:sz w:val="24"/>
      <w:szCs w:val="24"/>
    </w:rPr>
  </w:style>
  <w:style w:type="character" w:customStyle="1" w:styleId="BodyChar">
    <w:name w:val="Body Char"/>
    <w:basedOn w:val="DefaultParagraphFont"/>
    <w:link w:val="Body"/>
    <w:uiPriority w:val="99"/>
    <w:locked/>
    <w:rsid w:val="00810FAC"/>
    <w:rPr>
      <w:rFonts w:ascii="Times New Roman" w:eastAsia="Times New Roman" w:hAnsi="Times New Roman" w:cs="Times New Roman"/>
      <w:sz w:val="24"/>
      <w:szCs w:val="24"/>
    </w:rPr>
  </w:style>
  <w:style w:type="paragraph" w:customStyle="1" w:styleId="TableBulletList">
    <w:name w:val="Table Bullet List"/>
    <w:basedOn w:val="ListParagraph"/>
    <w:link w:val="TableBulletListChar"/>
    <w:uiPriority w:val="99"/>
    <w:rsid w:val="00810FAC"/>
    <w:pPr>
      <w:numPr>
        <w:numId w:val="16"/>
      </w:numPr>
      <w:spacing w:after="120"/>
      <w:ind w:left="331" w:hanging="187"/>
    </w:pPr>
    <w:rPr>
      <w:rFonts w:ascii="Times New Roman" w:eastAsia="Calibri" w:hAnsi="Times New Roman" w:cs="Times New Roman"/>
      <w:sz w:val="20"/>
    </w:rPr>
  </w:style>
  <w:style w:type="character" w:customStyle="1" w:styleId="ListParagraphChar">
    <w:name w:val="List Paragraph Char"/>
    <w:aliases w:val="Bullet List 1 Char"/>
    <w:basedOn w:val="DefaultParagraphFont"/>
    <w:link w:val="ListParagraph"/>
    <w:uiPriority w:val="34"/>
    <w:locked/>
    <w:rsid w:val="00810FAC"/>
  </w:style>
  <w:style w:type="character" w:customStyle="1" w:styleId="TableBulletListChar">
    <w:name w:val="Table Bullet List Char"/>
    <w:basedOn w:val="ListParagraphChar"/>
    <w:link w:val="TableBulletList"/>
    <w:uiPriority w:val="99"/>
    <w:locked/>
    <w:rsid w:val="00810FAC"/>
    <w:rPr>
      <w:rFonts w:ascii="Times New Roman" w:eastAsia="Calibri" w:hAnsi="Times New Roman" w:cs="Times New Roman"/>
      <w:sz w:val="20"/>
    </w:rPr>
  </w:style>
  <w:style w:type="paragraph" w:customStyle="1" w:styleId="TableTitle">
    <w:name w:val="Table_Title"/>
    <w:basedOn w:val="Normal"/>
    <w:uiPriority w:val="99"/>
    <w:rsid w:val="00810FAC"/>
    <w:pPr>
      <w:keepNext/>
      <w:widowControl w:val="0"/>
      <w:spacing w:before="120" w:after="120"/>
      <w:jc w:val="center"/>
    </w:pPr>
    <w:rPr>
      <w:rFonts w:ascii="Times New Roman" w:eastAsia="Calibri" w:hAnsi="Times New Roman" w:cs="Times New Roman"/>
      <w:b/>
      <w:bCs/>
    </w:rPr>
  </w:style>
  <w:style w:type="paragraph" w:styleId="BodyText">
    <w:name w:val="Body Text"/>
    <w:basedOn w:val="Normal"/>
    <w:link w:val="BodyTextChar"/>
    <w:unhideWhenUsed/>
    <w:rsid w:val="00810FAC"/>
    <w:pPr>
      <w:spacing w:after="120"/>
    </w:pPr>
    <w:rPr>
      <w:rFonts w:ascii="Times New Roman" w:hAnsi="Times New Roman"/>
    </w:rPr>
  </w:style>
  <w:style w:type="character" w:customStyle="1" w:styleId="BodyTextChar">
    <w:name w:val="Body Text Char"/>
    <w:basedOn w:val="DefaultParagraphFont"/>
    <w:link w:val="BodyText"/>
    <w:rsid w:val="00810FAC"/>
    <w:rPr>
      <w:rFonts w:ascii="Times New Roman" w:hAnsi="Times New Roman"/>
    </w:rPr>
  </w:style>
  <w:style w:type="paragraph" w:customStyle="1" w:styleId="Paragraph">
    <w:name w:val="Paragraph"/>
    <w:basedOn w:val="Normal"/>
    <w:link w:val="ParagraphChar"/>
    <w:qFormat/>
    <w:rsid w:val="00810FAC"/>
    <w:pPr>
      <w:spacing w:after="240"/>
    </w:pPr>
    <w:rPr>
      <w:rFonts w:asciiTheme="majorBidi" w:hAnsiTheme="majorBidi" w:cstheme="majorBidi"/>
    </w:rPr>
  </w:style>
  <w:style w:type="character" w:customStyle="1" w:styleId="ParagraphChar">
    <w:name w:val="Paragraph Char"/>
    <w:basedOn w:val="DefaultParagraphFont"/>
    <w:link w:val="Paragraph"/>
    <w:rsid w:val="00810FAC"/>
    <w:rPr>
      <w:rFonts w:asciiTheme="majorBidi" w:hAnsiTheme="majorBidi" w:cstheme="majorBidi"/>
    </w:rPr>
  </w:style>
  <w:style w:type="paragraph" w:customStyle="1" w:styleId="Default">
    <w:name w:val="Default"/>
    <w:link w:val="DefaultChar"/>
    <w:rsid w:val="00810FA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5BulletList">
    <w:name w:val="CH5_Bullet List"/>
    <w:basedOn w:val="Bulletlist-last"/>
    <w:uiPriority w:val="99"/>
    <w:rsid w:val="003F5688"/>
    <w:pPr>
      <w:spacing w:after="60" w:line="360" w:lineRule="auto"/>
      <w:ind w:left="1080"/>
    </w:pPr>
    <w:rPr>
      <w:sz w:val="24"/>
    </w:rPr>
  </w:style>
  <w:style w:type="paragraph" w:customStyle="1" w:styleId="Bulletlist-last">
    <w:name w:val="Bullet list - last"/>
    <w:basedOn w:val="ListParagraph"/>
    <w:link w:val="Bulletlist-lastChar"/>
    <w:uiPriority w:val="99"/>
    <w:rsid w:val="00810FAC"/>
    <w:pPr>
      <w:numPr>
        <w:numId w:val="17"/>
      </w:numPr>
      <w:spacing w:after="240"/>
      <w:contextualSpacing w:val="0"/>
    </w:pPr>
    <w:rPr>
      <w:rFonts w:ascii="Times New Roman" w:hAnsi="Times New Roman" w:cs="Times New Roman"/>
    </w:rPr>
  </w:style>
  <w:style w:type="character" w:customStyle="1" w:styleId="Bulletlist-lastChar">
    <w:name w:val="Bullet list - last Char"/>
    <w:basedOn w:val="DefaultParagraphFont"/>
    <w:link w:val="Bulletlist-last"/>
    <w:uiPriority w:val="99"/>
    <w:locked/>
    <w:rsid w:val="00810FAC"/>
    <w:rPr>
      <w:rFonts w:ascii="Times New Roman" w:hAnsi="Times New Roman" w:cs="Times New Roman"/>
    </w:rPr>
  </w:style>
  <w:style w:type="paragraph" w:customStyle="1" w:styleId="Reference">
    <w:name w:val="Reference"/>
    <w:basedOn w:val="Normal"/>
    <w:link w:val="ReferenceChar"/>
    <w:qFormat/>
    <w:rsid w:val="00810FAC"/>
    <w:pPr>
      <w:autoSpaceDE w:val="0"/>
      <w:autoSpaceDN w:val="0"/>
      <w:adjustRightInd w:val="0"/>
      <w:spacing w:after="240"/>
      <w:ind w:left="360" w:hanging="360"/>
    </w:pPr>
    <w:rPr>
      <w:rFonts w:ascii="Times New Roman" w:eastAsia="Calibri" w:hAnsi="Times New Roman" w:cs="Times New Roman"/>
      <w:bCs/>
      <w:sz w:val="24"/>
      <w:szCs w:val="24"/>
    </w:rPr>
  </w:style>
  <w:style w:type="character" w:customStyle="1" w:styleId="ReferenceChar">
    <w:name w:val="Reference Char"/>
    <w:basedOn w:val="DefaultParagraphFont"/>
    <w:link w:val="Reference"/>
    <w:locked/>
    <w:rsid w:val="00810FAC"/>
    <w:rPr>
      <w:rFonts w:ascii="Times New Roman" w:eastAsia="Calibri" w:hAnsi="Times New Roman" w:cs="Times New Roman"/>
      <w:bCs/>
      <w:sz w:val="24"/>
      <w:szCs w:val="24"/>
    </w:rPr>
  </w:style>
  <w:style w:type="numbering" w:customStyle="1" w:styleId="NoList1">
    <w:name w:val="No List1"/>
    <w:next w:val="NoList"/>
    <w:uiPriority w:val="99"/>
    <w:semiHidden/>
    <w:unhideWhenUsed/>
    <w:rsid w:val="00810FAC"/>
  </w:style>
  <w:style w:type="table" w:customStyle="1" w:styleId="TableGrid1">
    <w:name w:val="Table Grid1"/>
    <w:basedOn w:val="TableNormal"/>
    <w:next w:val="TableGrid"/>
    <w:uiPriority w:val="59"/>
    <w:rsid w:val="00810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ertFigure">
    <w:name w:val="insert Figure"/>
    <w:basedOn w:val="Normal"/>
    <w:qFormat/>
    <w:rsid w:val="00810FAC"/>
    <w:pPr>
      <w:spacing w:after="120"/>
      <w:jc w:val="center"/>
    </w:pPr>
    <w:rPr>
      <w:rFonts w:ascii="Times New Roman" w:hAnsi="Times New Roman" w:cs="Times New Roman"/>
      <w:noProof/>
    </w:rPr>
  </w:style>
  <w:style w:type="paragraph" w:customStyle="1" w:styleId="Figurecaption">
    <w:name w:val="Figure caption"/>
    <w:basedOn w:val="Normal"/>
    <w:qFormat/>
    <w:rsid w:val="00810FAC"/>
    <w:pPr>
      <w:spacing w:after="240"/>
      <w:jc w:val="center"/>
    </w:pPr>
    <w:rPr>
      <w:rFonts w:ascii="Times New Roman" w:hAnsi="Times New Roman" w:cs="Times New Roman"/>
      <w:b/>
    </w:rPr>
  </w:style>
  <w:style w:type="table" w:customStyle="1" w:styleId="TableGrid2">
    <w:name w:val="Table Grid2"/>
    <w:basedOn w:val="TableNormal"/>
    <w:next w:val="TableGrid"/>
    <w:uiPriority w:val="59"/>
    <w:rsid w:val="00810FAC"/>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810FAC"/>
    <w:rPr>
      <w:rFonts w:cs="FedraSerifA"/>
      <w:color w:val="221E1F"/>
      <w:sz w:val="20"/>
      <w:szCs w:val="20"/>
    </w:rPr>
  </w:style>
  <w:style w:type="paragraph" w:customStyle="1" w:styleId="CH5FigureTitle">
    <w:name w:val="CH5_Figure Title"/>
    <w:qFormat/>
    <w:rsid w:val="00810FAC"/>
    <w:pPr>
      <w:keepNext/>
      <w:spacing w:before="160" w:after="280" w:line="240" w:lineRule="auto"/>
      <w:jc w:val="center"/>
    </w:pPr>
    <w:rPr>
      <w:rFonts w:ascii="Times New Roman" w:eastAsia="Times New Roman" w:hAnsi="Times New Roman" w:cs="Arial"/>
      <w:b/>
      <w:sz w:val="24"/>
      <w:szCs w:val="20"/>
    </w:rPr>
  </w:style>
  <w:style w:type="character" w:customStyle="1" w:styleId="FootnoteCharacters">
    <w:name w:val="Footnote Characters"/>
    <w:rsid w:val="00810FAC"/>
  </w:style>
  <w:style w:type="character" w:customStyle="1" w:styleId="FootnoteTextChar1">
    <w:name w:val="Footnote Text Char1"/>
    <w:locked/>
    <w:rsid w:val="00810FAC"/>
    <w:rPr>
      <w:sz w:val="24"/>
    </w:rPr>
  </w:style>
  <w:style w:type="paragraph" w:customStyle="1" w:styleId="TextBox">
    <w:name w:val="Text Box"/>
    <w:basedOn w:val="Normal"/>
    <w:autoRedefine/>
    <w:qFormat/>
    <w:rsid w:val="00810FAC"/>
    <w:pPr>
      <w:spacing w:after="60"/>
    </w:pPr>
    <w:rPr>
      <w:rFonts w:ascii="Franklin Gothic Book" w:eastAsia="Times New Roman" w:hAnsi="Franklin Gothic Book" w:cs="Times New Roman"/>
      <w:sz w:val="24"/>
      <w:szCs w:val="24"/>
    </w:rPr>
  </w:style>
  <w:style w:type="table" w:customStyle="1" w:styleId="TableGrid3">
    <w:name w:val="Table Grid3"/>
    <w:basedOn w:val="TableNormal"/>
    <w:next w:val="TableGrid"/>
    <w:uiPriority w:val="39"/>
    <w:rsid w:val="00810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moInfoChar">
    <w:name w:val="Memo Info Char"/>
    <w:link w:val="MemoInfo"/>
    <w:locked/>
    <w:rsid w:val="00810FAC"/>
    <w:rPr>
      <w:rFonts w:ascii="Calibri" w:eastAsia="Calibri" w:hAnsi="Calibri" w:cs="Times New Roman"/>
      <w:smallCaps/>
      <w:sz w:val="24"/>
    </w:rPr>
  </w:style>
  <w:style w:type="paragraph" w:customStyle="1" w:styleId="MemoInfo">
    <w:name w:val="Memo Info"/>
    <w:link w:val="MemoInfoChar"/>
    <w:qFormat/>
    <w:rsid w:val="00810FAC"/>
    <w:pPr>
      <w:tabs>
        <w:tab w:val="left" w:pos="720"/>
      </w:tabs>
      <w:spacing w:after="120" w:line="240" w:lineRule="auto"/>
      <w:ind w:left="720" w:hanging="720"/>
    </w:pPr>
    <w:rPr>
      <w:rFonts w:ascii="Calibri" w:eastAsia="Calibri" w:hAnsi="Calibri" w:cs="Times New Roman"/>
      <w:smallCaps/>
      <w:sz w:val="24"/>
    </w:rPr>
  </w:style>
  <w:style w:type="table" w:customStyle="1" w:styleId="LightShading-Accent11">
    <w:name w:val="Light Shading - Accent 11"/>
    <w:basedOn w:val="TableNormal"/>
    <w:uiPriority w:val="60"/>
    <w:rsid w:val="00810FAC"/>
    <w:pPr>
      <w:spacing w:after="0" w:line="240" w:lineRule="auto"/>
    </w:pPr>
    <w:rPr>
      <w:color w:val="3B70B6" w:themeColor="accent1" w:themeShade="BF"/>
    </w:rPr>
    <w:tblPr>
      <w:tblStyleRowBandSize w:val="1"/>
      <w:tblStyleColBandSize w:val="1"/>
      <w:tblBorders>
        <w:top w:val="single" w:sz="8" w:space="0" w:color="719BD1" w:themeColor="accent1"/>
        <w:bottom w:val="single" w:sz="8" w:space="0" w:color="719BD1" w:themeColor="accent1"/>
      </w:tblBorders>
    </w:tblPr>
    <w:tblStylePr w:type="firstRow">
      <w:pPr>
        <w:spacing w:before="0" w:after="0" w:line="240" w:lineRule="auto"/>
      </w:pPr>
      <w:rPr>
        <w:b/>
        <w:bCs/>
      </w:rPr>
      <w:tblPr/>
      <w:tcPr>
        <w:tcBorders>
          <w:top w:val="single" w:sz="8" w:space="0" w:color="719BD1" w:themeColor="accent1"/>
          <w:left w:val="nil"/>
          <w:bottom w:val="single" w:sz="8" w:space="0" w:color="719BD1" w:themeColor="accent1"/>
          <w:right w:val="nil"/>
          <w:insideH w:val="nil"/>
          <w:insideV w:val="nil"/>
        </w:tcBorders>
      </w:tcPr>
    </w:tblStylePr>
    <w:tblStylePr w:type="lastRow">
      <w:pPr>
        <w:spacing w:before="0" w:after="0" w:line="240" w:lineRule="auto"/>
      </w:pPr>
      <w:rPr>
        <w:b/>
        <w:bCs/>
      </w:rPr>
      <w:tblPr/>
      <w:tcPr>
        <w:tcBorders>
          <w:top w:val="single" w:sz="8" w:space="0" w:color="719BD1" w:themeColor="accent1"/>
          <w:left w:val="nil"/>
          <w:bottom w:val="single" w:sz="8" w:space="0" w:color="719BD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6F3" w:themeFill="accent1" w:themeFillTint="3F"/>
      </w:tcPr>
    </w:tblStylePr>
    <w:tblStylePr w:type="band1Horz">
      <w:tblPr/>
      <w:tcPr>
        <w:tcBorders>
          <w:left w:val="nil"/>
          <w:right w:val="nil"/>
          <w:insideH w:val="nil"/>
          <w:insideV w:val="nil"/>
        </w:tcBorders>
        <w:shd w:val="clear" w:color="auto" w:fill="DBE6F3" w:themeFill="accent1" w:themeFillTint="3F"/>
      </w:tcPr>
    </w:tblStylePr>
  </w:style>
  <w:style w:type="character" w:customStyle="1" w:styleId="NoSpacingChar">
    <w:name w:val="No Spacing Char"/>
    <w:basedOn w:val="DefaultParagraphFont"/>
    <w:link w:val="NoSpacing"/>
    <w:locked/>
    <w:rsid w:val="00810FAC"/>
  </w:style>
  <w:style w:type="character" w:customStyle="1" w:styleId="TOCHeadingChar">
    <w:name w:val="TOC Heading Char"/>
    <w:basedOn w:val="Heading1Char"/>
    <w:link w:val="TOCHeading"/>
    <w:uiPriority w:val="2"/>
    <w:locked/>
    <w:rsid w:val="00810FAC"/>
    <w:rPr>
      <w:rFonts w:ascii="Times New Roman" w:eastAsiaTheme="majorEastAsia" w:hAnsi="Times New Roman" w:cstheme="majorBidi"/>
      <w:b/>
      <w:bCs/>
      <w:sz w:val="28"/>
      <w:szCs w:val="28"/>
    </w:rPr>
  </w:style>
  <w:style w:type="character" w:customStyle="1" w:styleId="BulletList2Char">
    <w:name w:val="Bullet List 2 Char"/>
    <w:basedOn w:val="ListParagraphChar"/>
    <w:link w:val="BulletList2"/>
    <w:locked/>
    <w:rsid w:val="00810FAC"/>
    <w:rPr>
      <w:rFonts w:ascii="Calibri" w:hAnsi="Calibri" w:cs="Calibri"/>
    </w:rPr>
  </w:style>
  <w:style w:type="paragraph" w:customStyle="1" w:styleId="BulletList2">
    <w:name w:val="Bullet List 2"/>
    <w:basedOn w:val="ListParagraph"/>
    <w:link w:val="BulletList2Char"/>
    <w:qFormat/>
    <w:rsid w:val="00810FAC"/>
    <w:pPr>
      <w:numPr>
        <w:numId w:val="18"/>
      </w:numPr>
      <w:ind w:left="1440" w:right="720"/>
      <w:contextualSpacing w:val="0"/>
    </w:pPr>
    <w:rPr>
      <w:rFonts w:ascii="Calibri" w:hAnsi="Calibri" w:cs="Calibri"/>
    </w:rPr>
  </w:style>
  <w:style w:type="character" w:customStyle="1" w:styleId="BulletList3Char">
    <w:name w:val="Bullet List 3 Char"/>
    <w:basedOn w:val="BulletList2Char"/>
    <w:link w:val="BulletList3"/>
    <w:locked/>
    <w:rsid w:val="00810FAC"/>
    <w:rPr>
      <w:rFonts w:ascii="Calibri" w:hAnsi="Calibri" w:cs="Calibri"/>
    </w:rPr>
  </w:style>
  <w:style w:type="paragraph" w:customStyle="1" w:styleId="BulletList3">
    <w:name w:val="Bullet List 3"/>
    <w:basedOn w:val="BulletList2"/>
    <w:link w:val="BulletList3Char"/>
    <w:qFormat/>
    <w:rsid w:val="00810FAC"/>
    <w:pPr>
      <w:numPr>
        <w:numId w:val="19"/>
      </w:numPr>
    </w:pPr>
  </w:style>
  <w:style w:type="character" w:customStyle="1" w:styleId="FootnoteChar">
    <w:name w:val="Footnote Char"/>
    <w:basedOn w:val="DefaultParagraphFont"/>
    <w:link w:val="Footnote"/>
    <w:locked/>
    <w:rsid w:val="00810FAC"/>
    <w:rPr>
      <w:rFonts w:ascii="Calibri" w:hAnsi="Calibri" w:cs="Arial"/>
      <w:color w:val="000000" w:themeColor="text1"/>
      <w:sz w:val="18"/>
      <w:szCs w:val="16"/>
    </w:rPr>
  </w:style>
  <w:style w:type="paragraph" w:customStyle="1" w:styleId="Footnote">
    <w:name w:val="Footnote"/>
    <w:basedOn w:val="Normal"/>
    <w:link w:val="FootnoteChar"/>
    <w:qFormat/>
    <w:rsid w:val="00810FAC"/>
    <w:pPr>
      <w:spacing w:after="40"/>
      <w:ind w:left="130" w:hanging="130"/>
    </w:pPr>
    <w:rPr>
      <w:rFonts w:ascii="Calibri" w:hAnsi="Calibri" w:cs="Arial"/>
      <w:color w:val="000000" w:themeColor="text1"/>
      <w:sz w:val="18"/>
      <w:szCs w:val="16"/>
    </w:rPr>
  </w:style>
  <w:style w:type="character" w:customStyle="1" w:styleId="CH5TableTextChar">
    <w:name w:val="CH5_Table Text Char"/>
    <w:basedOn w:val="DefaultParagraphFont"/>
    <w:link w:val="CH5TableText"/>
    <w:locked/>
    <w:rsid w:val="00810FAC"/>
    <w:rPr>
      <w:rFonts w:ascii="Times New Roman" w:hAnsi="Times New Roman" w:cs="Arial"/>
      <w:sz w:val="20"/>
    </w:rPr>
  </w:style>
  <w:style w:type="paragraph" w:customStyle="1" w:styleId="CH5TableText">
    <w:name w:val="CH5_Table Text"/>
    <w:link w:val="CH5TableTextChar"/>
    <w:qFormat/>
    <w:rsid w:val="00810FAC"/>
    <w:pPr>
      <w:spacing w:before="40" w:after="40" w:line="240" w:lineRule="auto"/>
      <w:jc w:val="center"/>
    </w:pPr>
    <w:rPr>
      <w:rFonts w:ascii="Times New Roman" w:hAnsi="Times New Roman" w:cs="Arial"/>
      <w:sz w:val="20"/>
    </w:rPr>
  </w:style>
  <w:style w:type="character" w:customStyle="1" w:styleId="Figure-CaptionChar">
    <w:name w:val="Figure - Caption Char"/>
    <w:basedOn w:val="DefaultParagraphFont"/>
    <w:link w:val="Figure-Caption"/>
    <w:locked/>
    <w:rsid w:val="00810FAC"/>
    <w:rPr>
      <w:rFonts w:ascii="Calibri" w:eastAsia="Times New Roman" w:hAnsi="Calibri" w:cs="Arial"/>
      <w:b/>
      <w:color w:val="2D3991"/>
      <w:sz w:val="20"/>
      <w:szCs w:val="20"/>
    </w:rPr>
  </w:style>
  <w:style w:type="paragraph" w:customStyle="1" w:styleId="Figure-Caption">
    <w:name w:val="Figure - Caption"/>
    <w:basedOn w:val="Caption"/>
    <w:link w:val="Figure-CaptionChar"/>
    <w:qFormat/>
    <w:rsid w:val="00810FAC"/>
    <w:pPr>
      <w:keepLines w:val="0"/>
      <w:spacing w:before="360" w:after="60"/>
    </w:pPr>
    <w:rPr>
      <w:rFonts w:ascii="Calibri" w:eastAsia="Times New Roman" w:hAnsi="Calibri" w:cs="Arial"/>
      <w:color w:val="2D3991"/>
      <w:sz w:val="20"/>
      <w:szCs w:val="20"/>
    </w:rPr>
  </w:style>
  <w:style w:type="character" w:customStyle="1" w:styleId="CalloutBoxChar">
    <w:name w:val="Call out Box Char"/>
    <w:basedOn w:val="DefaultParagraphFont"/>
    <w:link w:val="CalloutBox"/>
    <w:locked/>
    <w:rsid w:val="00810FAC"/>
    <w:rPr>
      <w:rFonts w:ascii="Calibri" w:hAnsi="Calibri" w:cs="Calibri"/>
      <w:i/>
      <w:iCs/>
      <w:color w:val="3A3A3A"/>
      <w:sz w:val="20"/>
    </w:rPr>
  </w:style>
  <w:style w:type="paragraph" w:customStyle="1" w:styleId="CalloutBox">
    <w:name w:val="Call out Box"/>
    <w:basedOn w:val="Normal"/>
    <w:link w:val="CalloutBoxChar"/>
    <w:qFormat/>
    <w:rsid w:val="00810FAC"/>
    <w:rPr>
      <w:rFonts w:ascii="Calibri" w:hAnsi="Calibri" w:cs="Calibri"/>
      <w:i/>
      <w:iCs/>
      <w:color w:val="3A3A3A"/>
      <w:sz w:val="20"/>
    </w:rPr>
  </w:style>
  <w:style w:type="character" w:customStyle="1" w:styleId="CH5TableTitleChar">
    <w:name w:val="CH5_Table Title Char"/>
    <w:basedOn w:val="Figure-CaptionChar"/>
    <w:link w:val="CH5TableTitle"/>
    <w:locked/>
    <w:rsid w:val="003F5688"/>
    <w:rPr>
      <w:rFonts w:ascii="Times New Roman" w:eastAsia="Times New Roman" w:hAnsi="Times New Roman" w:cs="Arial"/>
      <w:b/>
      <w:color w:val="2D3991"/>
      <w:sz w:val="24"/>
      <w:szCs w:val="20"/>
    </w:rPr>
  </w:style>
  <w:style w:type="paragraph" w:customStyle="1" w:styleId="CH5TableTitle">
    <w:name w:val="CH5_Table Title"/>
    <w:link w:val="CH5TableTitleChar"/>
    <w:qFormat/>
    <w:rsid w:val="003F5688"/>
    <w:pPr>
      <w:keepNext/>
      <w:spacing w:before="280" w:after="120" w:line="240" w:lineRule="auto"/>
      <w:jc w:val="center"/>
    </w:pPr>
    <w:rPr>
      <w:rFonts w:ascii="Times New Roman" w:eastAsia="Times New Roman" w:hAnsi="Times New Roman" w:cs="Arial"/>
      <w:b/>
      <w:sz w:val="24"/>
      <w:szCs w:val="20"/>
    </w:rPr>
  </w:style>
  <w:style w:type="character" w:customStyle="1" w:styleId="Figure-SourceChar">
    <w:name w:val="Figure - Source Char"/>
    <w:basedOn w:val="CH5TableTitleChar"/>
    <w:link w:val="Figure-Source"/>
    <w:locked/>
    <w:rsid w:val="00810FAC"/>
    <w:rPr>
      <w:rFonts w:ascii="Calibri" w:eastAsia="Times New Roman" w:hAnsi="Calibri" w:cs="Arial"/>
      <w:b w:val="0"/>
      <w:i/>
      <w:color w:val="2D3991"/>
      <w:sz w:val="18"/>
      <w:szCs w:val="20"/>
    </w:rPr>
  </w:style>
  <w:style w:type="paragraph" w:customStyle="1" w:styleId="Figure-Source">
    <w:name w:val="Figure - Source"/>
    <w:basedOn w:val="CH5TableTitle"/>
    <w:link w:val="Figure-SourceChar"/>
    <w:qFormat/>
    <w:rsid w:val="00810FAC"/>
    <w:pPr>
      <w:keepNext w:val="0"/>
      <w:spacing w:before="60" w:after="480"/>
    </w:pPr>
    <w:rPr>
      <w:rFonts w:ascii="Calibri" w:hAnsi="Calibri"/>
      <w:b w:val="0"/>
      <w:i/>
      <w:sz w:val="18"/>
    </w:rPr>
  </w:style>
  <w:style w:type="character" w:customStyle="1" w:styleId="CH5TableSourceChar">
    <w:name w:val="CH5_Table_Source Char"/>
    <w:basedOn w:val="Figure-SourceChar"/>
    <w:link w:val="CH5TableSource"/>
    <w:locked/>
    <w:rsid w:val="00E06161"/>
    <w:rPr>
      <w:rFonts w:ascii="Times New Roman" w:eastAsia="Times New Roman" w:hAnsi="Times New Roman" w:cs="Arial"/>
      <w:b w:val="0"/>
      <w:i/>
      <w:color w:val="2D3991"/>
      <w:sz w:val="18"/>
      <w:szCs w:val="20"/>
    </w:rPr>
  </w:style>
  <w:style w:type="paragraph" w:customStyle="1" w:styleId="CH5TableSource">
    <w:name w:val="CH5_Table_Source"/>
    <w:link w:val="CH5TableSourceChar"/>
    <w:qFormat/>
    <w:rsid w:val="00E06161"/>
    <w:pPr>
      <w:spacing w:before="80" w:after="480" w:line="240" w:lineRule="auto"/>
    </w:pPr>
    <w:rPr>
      <w:rFonts w:ascii="Times New Roman" w:eastAsia="Times New Roman" w:hAnsi="Times New Roman" w:cs="Arial"/>
      <w:i/>
      <w:sz w:val="18"/>
      <w:szCs w:val="20"/>
    </w:rPr>
  </w:style>
  <w:style w:type="character" w:customStyle="1" w:styleId="FigureChar">
    <w:name w:val="Figure Char"/>
    <w:basedOn w:val="DefaultParagraphFont"/>
    <w:link w:val="Figure"/>
    <w:locked/>
    <w:rsid w:val="00810FAC"/>
    <w:rPr>
      <w:rFonts w:ascii="Calibri" w:hAnsi="Calibri" w:cs="Calibri"/>
    </w:rPr>
  </w:style>
  <w:style w:type="paragraph" w:customStyle="1" w:styleId="Figure">
    <w:name w:val="Figure"/>
    <w:basedOn w:val="Normal"/>
    <w:link w:val="FigureChar"/>
    <w:qFormat/>
    <w:rsid w:val="00810FAC"/>
    <w:rPr>
      <w:rFonts w:ascii="Calibri" w:hAnsi="Calibri" w:cs="Calibri"/>
    </w:rPr>
  </w:style>
  <w:style w:type="character" w:customStyle="1" w:styleId="BlockQuoteChar">
    <w:name w:val="Block Quote Char"/>
    <w:basedOn w:val="DefaultParagraphFont"/>
    <w:link w:val="BlockQuote"/>
    <w:locked/>
    <w:rsid w:val="00810FAC"/>
    <w:rPr>
      <w:rFonts w:ascii="Calibri" w:hAnsi="Calibri" w:cs="Calibri"/>
      <w:sz w:val="20"/>
    </w:rPr>
  </w:style>
  <w:style w:type="paragraph" w:customStyle="1" w:styleId="BlockQuote">
    <w:name w:val="Block Quote"/>
    <w:basedOn w:val="Normal"/>
    <w:link w:val="BlockQuoteChar"/>
    <w:qFormat/>
    <w:rsid w:val="00810FAC"/>
    <w:pPr>
      <w:spacing w:line="276" w:lineRule="auto"/>
      <w:ind w:left="1080" w:right="1080"/>
    </w:pPr>
    <w:rPr>
      <w:rFonts w:ascii="Calibri" w:hAnsi="Calibri" w:cs="Calibri"/>
      <w:sz w:val="20"/>
    </w:rPr>
  </w:style>
  <w:style w:type="character" w:customStyle="1" w:styleId="URLChar">
    <w:name w:val="URL Char"/>
    <w:basedOn w:val="CH5TableSourceChar"/>
    <w:link w:val="URL"/>
    <w:uiPriority w:val="1"/>
    <w:locked/>
    <w:rsid w:val="00810FAC"/>
    <w:rPr>
      <w:rFonts w:ascii="Times New Roman" w:eastAsia="Times New Roman" w:hAnsi="Times New Roman" w:cs="Times New Roman"/>
      <w:b w:val="0"/>
      <w:i w:val="0"/>
      <w:color w:val="2D3991"/>
      <w:sz w:val="20"/>
      <w:szCs w:val="20"/>
    </w:rPr>
  </w:style>
  <w:style w:type="paragraph" w:customStyle="1" w:styleId="URL">
    <w:name w:val="URL"/>
    <w:basedOn w:val="CH5TableSource"/>
    <w:link w:val="URLChar"/>
    <w:uiPriority w:val="1"/>
    <w:rsid w:val="00810FAC"/>
    <w:pPr>
      <w:spacing w:before="0" w:after="120"/>
    </w:pPr>
    <w:rPr>
      <w:rFonts w:cs="Times New Roman"/>
      <w:i w:val="0"/>
      <w:sz w:val="20"/>
    </w:rPr>
  </w:style>
  <w:style w:type="character" w:customStyle="1" w:styleId="DefaultChar">
    <w:name w:val="Default Char"/>
    <w:basedOn w:val="DefaultParagraphFont"/>
    <w:link w:val="Default"/>
    <w:locked/>
    <w:rsid w:val="00810FAC"/>
    <w:rPr>
      <w:rFonts w:ascii="Times New Roman" w:eastAsia="Calibri" w:hAnsi="Times New Roman" w:cs="Times New Roman"/>
      <w:color w:val="000000"/>
      <w:sz w:val="24"/>
      <w:szCs w:val="24"/>
    </w:rPr>
  </w:style>
  <w:style w:type="character" w:customStyle="1" w:styleId="Pa1Char">
    <w:name w:val="Pa1 Char"/>
    <w:basedOn w:val="DefaultChar"/>
    <w:link w:val="Pa1"/>
    <w:uiPriority w:val="99"/>
    <w:locked/>
    <w:rsid w:val="00810FAC"/>
    <w:rPr>
      <w:rFonts w:ascii="Times New Roman" w:eastAsia="Calibri" w:hAnsi="Times New Roman" w:cs="Times New Roman"/>
      <w:color w:val="000000"/>
      <w:sz w:val="24"/>
      <w:szCs w:val="24"/>
    </w:rPr>
  </w:style>
  <w:style w:type="paragraph" w:customStyle="1" w:styleId="Pa1">
    <w:name w:val="Pa1"/>
    <w:basedOn w:val="Default"/>
    <w:next w:val="Default"/>
    <w:link w:val="Pa1Char"/>
    <w:uiPriority w:val="99"/>
    <w:rsid w:val="00810FAC"/>
    <w:pPr>
      <w:spacing w:line="241" w:lineRule="atLeast"/>
    </w:pPr>
  </w:style>
  <w:style w:type="character" w:customStyle="1" w:styleId="Footnote10Char">
    <w:name w:val="Footnote +10 Char"/>
    <w:basedOn w:val="FootnoteChar"/>
    <w:link w:val="Footnote10"/>
    <w:locked/>
    <w:rsid w:val="00810FAC"/>
    <w:rPr>
      <w:rFonts w:ascii="Calibri" w:hAnsi="Calibri" w:cs="Arial"/>
      <w:color w:val="000000" w:themeColor="text1"/>
      <w:sz w:val="18"/>
      <w:szCs w:val="16"/>
    </w:rPr>
  </w:style>
  <w:style w:type="paragraph" w:customStyle="1" w:styleId="Footnote10">
    <w:name w:val="Footnote +10"/>
    <w:basedOn w:val="Footnote"/>
    <w:link w:val="Footnote10Char"/>
    <w:qFormat/>
    <w:rsid w:val="00810FAC"/>
    <w:pPr>
      <w:ind w:left="216" w:hanging="216"/>
    </w:pPr>
  </w:style>
  <w:style w:type="character" w:customStyle="1" w:styleId="CoverTitleChar">
    <w:name w:val="Cover Title Char"/>
    <w:basedOn w:val="DefaultParagraphFont"/>
    <w:link w:val="CoverTitle"/>
    <w:locked/>
    <w:rsid w:val="00810FAC"/>
    <w:rPr>
      <w:rFonts w:ascii="Calibri" w:hAnsi="Calibri" w:cs="Calibri"/>
      <w:b/>
      <w:color w:val="2D3991"/>
      <w:sz w:val="50"/>
      <w:szCs w:val="50"/>
    </w:rPr>
  </w:style>
  <w:style w:type="paragraph" w:customStyle="1" w:styleId="CoverTitle">
    <w:name w:val="Cover Title"/>
    <w:link w:val="CoverTitleChar"/>
    <w:qFormat/>
    <w:rsid w:val="00810FAC"/>
    <w:pPr>
      <w:spacing w:before="1080" w:after="280" w:line="680" w:lineRule="exact"/>
      <w:ind w:left="1627" w:right="1080"/>
    </w:pPr>
    <w:rPr>
      <w:rFonts w:ascii="Calibri" w:hAnsi="Calibri" w:cs="Calibri"/>
      <w:b/>
      <w:color w:val="2D3991"/>
      <w:sz w:val="50"/>
      <w:szCs w:val="50"/>
    </w:rPr>
  </w:style>
  <w:style w:type="character" w:customStyle="1" w:styleId="CoverSubTitleChar">
    <w:name w:val="Cover SubTitle Char"/>
    <w:basedOn w:val="DefaultParagraphFont"/>
    <w:link w:val="CoverSubTitle"/>
    <w:locked/>
    <w:rsid w:val="00810FAC"/>
    <w:rPr>
      <w:rFonts w:ascii="Calibri" w:hAnsi="Calibri" w:cs="Calibri"/>
      <w:color w:val="555555"/>
      <w:sz w:val="34"/>
    </w:rPr>
  </w:style>
  <w:style w:type="paragraph" w:customStyle="1" w:styleId="CoverSubTitle">
    <w:name w:val="Cover SubTitle"/>
    <w:link w:val="CoverSubTitleChar"/>
    <w:qFormat/>
    <w:rsid w:val="00810FAC"/>
    <w:pPr>
      <w:spacing w:after="240" w:line="480" w:lineRule="exact"/>
      <w:ind w:left="1627" w:right="1267"/>
    </w:pPr>
    <w:rPr>
      <w:rFonts w:ascii="Calibri" w:hAnsi="Calibri" w:cs="Calibri"/>
      <w:color w:val="555555"/>
      <w:sz w:val="34"/>
    </w:rPr>
  </w:style>
  <w:style w:type="character" w:customStyle="1" w:styleId="CoverDateChar">
    <w:name w:val="Cover Date Char"/>
    <w:basedOn w:val="DefaultParagraphFont"/>
    <w:link w:val="CoverDate"/>
    <w:locked/>
    <w:rsid w:val="00810FAC"/>
    <w:rPr>
      <w:rFonts w:ascii="Calibri" w:hAnsi="Calibri" w:cs="Calibri"/>
      <w:b/>
      <w:bCs/>
      <w:color w:val="555555"/>
      <w:sz w:val="26"/>
    </w:rPr>
  </w:style>
  <w:style w:type="paragraph" w:customStyle="1" w:styleId="CoverDate">
    <w:name w:val="Cover Date"/>
    <w:link w:val="CoverDateChar"/>
    <w:qFormat/>
    <w:rsid w:val="00810FAC"/>
    <w:pPr>
      <w:spacing w:after="120" w:line="240" w:lineRule="auto"/>
      <w:ind w:left="1627" w:right="1267"/>
    </w:pPr>
    <w:rPr>
      <w:rFonts w:ascii="Calibri" w:hAnsi="Calibri" w:cs="Calibri"/>
      <w:b/>
      <w:bCs/>
      <w:color w:val="555555"/>
      <w:sz w:val="26"/>
    </w:rPr>
  </w:style>
  <w:style w:type="character" w:customStyle="1" w:styleId="CoverAuthorsChar">
    <w:name w:val="Cover Authors Char"/>
    <w:basedOn w:val="Pa1Char"/>
    <w:link w:val="CoverAuthors"/>
    <w:locked/>
    <w:rsid w:val="00810FAC"/>
    <w:rPr>
      <w:rFonts w:ascii="Times New Roman" w:eastAsia="Calibri" w:hAnsi="Times New Roman" w:cs="Times New Roman"/>
      <w:color w:val="555555"/>
      <w:sz w:val="24"/>
      <w:szCs w:val="24"/>
    </w:rPr>
  </w:style>
  <w:style w:type="paragraph" w:customStyle="1" w:styleId="CoverAuthors">
    <w:name w:val="Cover Authors"/>
    <w:link w:val="CoverAuthorsChar"/>
    <w:qFormat/>
    <w:rsid w:val="00810FAC"/>
    <w:pPr>
      <w:spacing w:after="0" w:line="320" w:lineRule="atLeast"/>
      <w:ind w:left="1627"/>
    </w:pPr>
    <w:rPr>
      <w:rFonts w:ascii="Times New Roman" w:eastAsia="Calibri" w:hAnsi="Times New Roman" w:cs="Times New Roman"/>
      <w:color w:val="555555"/>
      <w:sz w:val="24"/>
      <w:szCs w:val="24"/>
    </w:rPr>
  </w:style>
  <w:style w:type="paragraph" w:customStyle="1" w:styleId="CH5NumberedList1">
    <w:name w:val="CH5_Numbered List 1"/>
    <w:qFormat/>
    <w:rsid w:val="00810FAC"/>
    <w:pPr>
      <w:numPr>
        <w:numId w:val="20"/>
      </w:numPr>
      <w:spacing w:after="60" w:line="360" w:lineRule="auto"/>
    </w:pPr>
    <w:rPr>
      <w:rFonts w:ascii="Times New Roman" w:eastAsiaTheme="majorEastAsia" w:hAnsi="Times New Roman" w:cstheme="majorBidi"/>
      <w:sz w:val="24"/>
      <w:szCs w:val="20"/>
    </w:rPr>
  </w:style>
  <w:style w:type="paragraph" w:customStyle="1" w:styleId="NumberedList2">
    <w:name w:val="Numbered List 2"/>
    <w:basedOn w:val="CH5NumberedList1"/>
    <w:qFormat/>
    <w:rsid w:val="00810FAC"/>
    <w:pPr>
      <w:numPr>
        <w:numId w:val="21"/>
      </w:numPr>
    </w:pPr>
  </w:style>
  <w:style w:type="paragraph" w:customStyle="1" w:styleId="NumberedList3">
    <w:name w:val="Numbered List 3"/>
    <w:basedOn w:val="NumberedList2"/>
    <w:qFormat/>
    <w:rsid w:val="00810FAC"/>
    <w:pPr>
      <w:numPr>
        <w:numId w:val="22"/>
      </w:numPr>
      <w:ind w:left="2016"/>
    </w:pPr>
  </w:style>
  <w:style w:type="character" w:customStyle="1" w:styleId="A3">
    <w:name w:val="A3"/>
    <w:uiPriority w:val="99"/>
    <w:rsid w:val="00810FAC"/>
    <w:rPr>
      <w:rFonts w:ascii="Calibri" w:hAnsi="Calibri" w:cs="Calibri" w:hint="default"/>
      <w:color w:val="000000"/>
      <w:sz w:val="22"/>
      <w:szCs w:val="22"/>
    </w:rPr>
  </w:style>
  <w:style w:type="paragraph" w:customStyle="1" w:styleId="Footnote100">
    <w:name w:val="Footnote +100"/>
    <w:basedOn w:val="Footnote10"/>
    <w:qFormat/>
    <w:rsid w:val="00810FAC"/>
    <w:pPr>
      <w:ind w:left="302" w:hanging="302"/>
    </w:pPr>
  </w:style>
  <w:style w:type="numbering" w:customStyle="1" w:styleId="Headings">
    <w:name w:val="Headings"/>
    <w:uiPriority w:val="99"/>
    <w:rsid w:val="00810FAC"/>
    <w:pPr>
      <w:numPr>
        <w:numId w:val="23"/>
      </w:numPr>
    </w:pPr>
  </w:style>
  <w:style w:type="character" w:customStyle="1" w:styleId="s1">
    <w:name w:val="s1"/>
    <w:basedOn w:val="DefaultParagraphFont"/>
    <w:rsid w:val="00810FAC"/>
  </w:style>
  <w:style w:type="character" w:customStyle="1" w:styleId="FootnoteTextChar3">
    <w:name w:val="Footnote Text Char3"/>
    <w:aliases w:val="Footnote Text Char Char Char2,Footnote Text Char1 Char Char Char2,Footnote Text Char Char Char Char Char2,Footnote Text Char Char1 Char2,ALTS FOOTNOTE Char2,fn Char2,Char Char2,Char4 Char2,Footnote Text - Preamble Char2,Char2 Char2"/>
    <w:basedOn w:val="DefaultParagraphFont"/>
    <w:uiPriority w:val="99"/>
    <w:rsid w:val="00810FAC"/>
  </w:style>
  <w:style w:type="paragraph" w:customStyle="1" w:styleId="CH5Heading2">
    <w:name w:val="CH5_Heading 2"/>
    <w:qFormat/>
    <w:rsid w:val="00810FAC"/>
    <w:pPr>
      <w:keepNext/>
      <w:numPr>
        <w:ilvl w:val="1"/>
        <w:numId w:val="37"/>
      </w:numPr>
      <w:spacing w:before="240" w:after="120" w:line="240" w:lineRule="auto"/>
    </w:pPr>
    <w:rPr>
      <w:rFonts w:ascii="Times New Roman" w:hAnsi="Times New Roman" w:cs="Times New Roman"/>
      <w:b/>
      <w:sz w:val="24"/>
    </w:rPr>
  </w:style>
  <w:style w:type="paragraph" w:customStyle="1" w:styleId="CH5Heading3">
    <w:name w:val="CH5_Heading 3"/>
    <w:qFormat/>
    <w:rsid w:val="00810FAC"/>
    <w:pPr>
      <w:keepNext/>
      <w:spacing w:before="240" w:after="120" w:line="240" w:lineRule="auto"/>
      <w:ind w:left="720" w:hanging="720"/>
    </w:pPr>
    <w:rPr>
      <w:rFonts w:ascii="Times New Roman Bold" w:hAnsi="Times New Roman Bold" w:cs="Times New Roman"/>
      <w:b/>
      <w:sz w:val="24"/>
      <w:szCs w:val="24"/>
      <w:u w:val="single"/>
    </w:rPr>
  </w:style>
  <w:style w:type="paragraph" w:customStyle="1" w:styleId="CH5BodyText">
    <w:name w:val="CH5_Body Text"/>
    <w:qFormat/>
    <w:rsid w:val="003F5688"/>
    <w:pPr>
      <w:spacing w:after="120" w:line="360" w:lineRule="auto"/>
      <w:ind w:firstLine="720"/>
    </w:pPr>
    <w:rPr>
      <w:rFonts w:ascii="Times New Roman" w:hAnsi="Times New Roman" w:cs="Times New Roman"/>
      <w:sz w:val="24"/>
      <w:szCs w:val="24"/>
    </w:rPr>
  </w:style>
  <w:style w:type="paragraph" w:customStyle="1" w:styleId="CH5BulletListlast">
    <w:name w:val="CH5_Bullet List_last"/>
    <w:basedOn w:val="CH5BulletList"/>
    <w:qFormat/>
    <w:rsid w:val="003F5688"/>
    <w:pPr>
      <w:spacing w:after="240"/>
    </w:pPr>
  </w:style>
  <w:style w:type="paragraph" w:customStyle="1" w:styleId="CH5BulletList2">
    <w:name w:val="CH5_Bullet List_2"/>
    <w:basedOn w:val="ListParagraph"/>
    <w:qFormat/>
    <w:rsid w:val="00810FAC"/>
    <w:pPr>
      <w:numPr>
        <w:numId w:val="26"/>
      </w:numPr>
      <w:spacing w:line="360" w:lineRule="auto"/>
      <w:ind w:left="1440"/>
      <w:contextualSpacing w:val="0"/>
    </w:pPr>
    <w:rPr>
      <w:rFonts w:ascii="Times New Roman" w:hAnsi="Times New Roman" w:cs="Times New Roman"/>
      <w:sz w:val="24"/>
      <w:szCs w:val="24"/>
    </w:rPr>
  </w:style>
  <w:style w:type="paragraph" w:customStyle="1" w:styleId="CH5Heading4">
    <w:name w:val="CH5_Heading 4"/>
    <w:qFormat/>
    <w:rsid w:val="00810FAC"/>
    <w:pPr>
      <w:keepNext/>
      <w:spacing w:before="240" w:after="120" w:line="240" w:lineRule="auto"/>
      <w:ind w:left="864" w:hanging="864"/>
    </w:pPr>
    <w:rPr>
      <w:rFonts w:ascii="Times New Roman" w:eastAsiaTheme="majorEastAsia" w:hAnsi="Times New Roman" w:cstheme="majorBidi"/>
      <w:b/>
      <w:bCs/>
      <w:i/>
      <w:iCs/>
      <w:sz w:val="24"/>
    </w:rPr>
  </w:style>
  <w:style w:type="paragraph" w:customStyle="1" w:styleId="CH5References">
    <w:name w:val="CH5_References"/>
    <w:qFormat/>
    <w:rsid w:val="003F5688"/>
    <w:pPr>
      <w:spacing w:after="280" w:line="360" w:lineRule="auto"/>
    </w:pPr>
    <w:rPr>
      <w:rFonts w:ascii="Times New Roman" w:hAnsi="Times New Roman" w:cs="Times New Roman"/>
      <w:color w:val="000000"/>
      <w:sz w:val="24"/>
      <w:szCs w:val="24"/>
    </w:rPr>
  </w:style>
  <w:style w:type="paragraph" w:customStyle="1" w:styleId="CH5Heading1">
    <w:name w:val="CH5_Heading 1"/>
    <w:qFormat/>
    <w:rsid w:val="00810FAC"/>
    <w:pPr>
      <w:numPr>
        <w:numId w:val="37"/>
      </w:numPr>
      <w:spacing w:after="360" w:line="240" w:lineRule="auto"/>
    </w:pPr>
    <w:rPr>
      <w:rFonts w:ascii="Times New Roman" w:hAnsi="Times New Roman" w:cs="Times New Roman"/>
      <w:b/>
      <w:bCs/>
      <w:sz w:val="28"/>
    </w:rPr>
  </w:style>
  <w:style w:type="paragraph" w:styleId="BodyTextIndent">
    <w:name w:val="Body Text Indent"/>
    <w:basedOn w:val="Normal"/>
    <w:link w:val="BodyTextIndentChar"/>
    <w:rsid w:val="00810FAC"/>
    <w:pPr>
      <w:widowControl w:val="0"/>
      <w:autoSpaceDE w:val="0"/>
      <w:autoSpaceDN w:val="0"/>
      <w:adjustRightInd w:val="0"/>
      <w:spacing w:after="120"/>
      <w:ind w:left="360"/>
    </w:pPr>
    <w:rPr>
      <w:rFonts w:eastAsia="Times New Roman" w:cs="Times New Roman"/>
      <w:szCs w:val="20"/>
    </w:rPr>
  </w:style>
  <w:style w:type="character" w:customStyle="1" w:styleId="BodyTextIndentChar">
    <w:name w:val="Body Text Indent Char"/>
    <w:basedOn w:val="DefaultParagraphFont"/>
    <w:link w:val="BodyTextIndent"/>
    <w:rsid w:val="00810FAC"/>
    <w:rPr>
      <w:rFonts w:eastAsia="Times New Roman" w:cs="Times New Roman"/>
      <w:szCs w:val="20"/>
    </w:rPr>
  </w:style>
  <w:style w:type="paragraph" w:customStyle="1" w:styleId="Bullet">
    <w:name w:val="Bullet"/>
    <w:basedOn w:val="Normal"/>
    <w:rsid w:val="00810FAC"/>
    <w:pPr>
      <w:numPr>
        <w:numId w:val="30"/>
      </w:numPr>
      <w:tabs>
        <w:tab w:val="right" w:pos="9187"/>
      </w:tabs>
    </w:pPr>
    <w:rPr>
      <w:rFonts w:eastAsia="Times New Roman" w:cs="Times New Roman"/>
      <w:sz w:val="24"/>
      <w:szCs w:val="20"/>
    </w:rPr>
  </w:style>
  <w:style w:type="paragraph" w:customStyle="1" w:styleId="StyleHeading1Before05lineAfter05line">
    <w:name w:val="Style Heading 1 + Before:  0.5 line After:  0.5 line"/>
    <w:basedOn w:val="Heading1"/>
    <w:rsid w:val="00810FAC"/>
    <w:pPr>
      <w:keepLines w:val="0"/>
      <w:numPr>
        <w:numId w:val="31"/>
      </w:numPr>
      <w:spacing w:beforeLines="50" w:afterLines="50" w:after="280"/>
    </w:pPr>
    <w:rPr>
      <w:rFonts w:ascii="Arial Bold" w:eastAsia="Times New Roman" w:hAnsi="Arial Bold" w:cs="Times New Roman"/>
      <w:caps/>
      <w:sz w:val="24"/>
      <w:szCs w:val="20"/>
    </w:rPr>
  </w:style>
  <w:style w:type="paragraph" w:customStyle="1" w:styleId="TableTitle0">
    <w:name w:val="Table Title"/>
    <w:basedOn w:val="Heading2"/>
    <w:rsid w:val="00810FAC"/>
    <w:pPr>
      <w:keepLines w:val="0"/>
      <w:numPr>
        <w:ilvl w:val="0"/>
        <w:numId w:val="0"/>
      </w:numPr>
      <w:spacing w:before="60" w:after="60"/>
      <w:ind w:left="720" w:hanging="720"/>
      <w:jc w:val="center"/>
    </w:pPr>
    <w:rPr>
      <w:rFonts w:ascii="Arial" w:eastAsia="Times New Roman" w:hAnsi="Arial" w:cs="Times New Roman"/>
      <w:bCs w:val="0"/>
      <w:szCs w:val="20"/>
    </w:rPr>
  </w:style>
  <w:style w:type="paragraph" w:customStyle="1" w:styleId="BodyText1">
    <w:name w:val="Body Text1"/>
    <w:basedOn w:val="Normal"/>
    <w:rsid w:val="00810FAC"/>
    <w:pPr>
      <w:spacing w:after="240" w:line="312" w:lineRule="auto"/>
      <w:ind w:firstLine="720"/>
    </w:pPr>
    <w:rPr>
      <w:rFonts w:eastAsia="Times New Roman" w:cs="Times New Roman"/>
      <w:sz w:val="24"/>
      <w:szCs w:val="20"/>
    </w:rPr>
  </w:style>
  <w:style w:type="character" w:customStyle="1" w:styleId="Hypertext">
    <w:name w:val="Hypertext"/>
    <w:uiPriority w:val="99"/>
    <w:rsid w:val="00810FAC"/>
    <w:rPr>
      <w:color w:val="0000FF"/>
      <w:u w:val="single"/>
    </w:rPr>
  </w:style>
  <w:style w:type="character" w:customStyle="1" w:styleId="SYSHYPERTEXT">
    <w:name w:val="SYS_HYPERTEXT"/>
    <w:rsid w:val="00810FAC"/>
    <w:rPr>
      <w:color w:val="0000FF"/>
      <w:u w:val="single"/>
    </w:rPr>
  </w:style>
  <w:style w:type="table" w:styleId="LightList-Accent1">
    <w:name w:val="Light List Accent 1"/>
    <w:basedOn w:val="TableNormal"/>
    <w:uiPriority w:val="61"/>
    <w:semiHidden/>
    <w:unhideWhenUsed/>
    <w:rsid w:val="00810FAC"/>
    <w:pPr>
      <w:spacing w:after="0" w:line="240" w:lineRule="auto"/>
    </w:pPr>
    <w:rPr>
      <w:rFonts w:ascii="Georgia" w:hAnsi="Georgia"/>
    </w:rPr>
    <w:tblPr>
      <w:tblStyleRowBandSize w:val="1"/>
      <w:tblStyleColBandSize w:val="1"/>
      <w:tblBorders>
        <w:top w:val="single" w:sz="8" w:space="0" w:color="719BD1" w:themeColor="accent1"/>
        <w:left w:val="single" w:sz="8" w:space="0" w:color="719BD1" w:themeColor="accent1"/>
        <w:bottom w:val="single" w:sz="8" w:space="0" w:color="719BD1" w:themeColor="accent1"/>
        <w:right w:val="single" w:sz="8" w:space="0" w:color="719BD1" w:themeColor="accent1"/>
      </w:tblBorders>
    </w:tblPr>
    <w:tblStylePr w:type="firstRow">
      <w:pPr>
        <w:spacing w:beforeLines="0" w:beforeAutospacing="0" w:afterLines="0" w:afterAutospacing="0" w:line="240" w:lineRule="auto"/>
      </w:pPr>
      <w:rPr>
        <w:b/>
        <w:bCs/>
        <w:color w:val="FFFFFF" w:themeColor="background1"/>
      </w:rPr>
      <w:tblPr/>
      <w:tcPr>
        <w:shd w:val="clear" w:color="auto" w:fill="719BD1" w:themeFill="accent1"/>
      </w:tcPr>
    </w:tblStylePr>
    <w:tblStylePr w:type="lastRow">
      <w:pPr>
        <w:spacing w:beforeLines="0" w:beforeAutospacing="0" w:afterLines="0" w:afterAutospacing="0" w:line="240" w:lineRule="auto"/>
      </w:pPr>
      <w:rPr>
        <w:b/>
        <w:bCs/>
      </w:rPr>
      <w:tblPr/>
      <w:tcPr>
        <w:tcBorders>
          <w:top w:val="double" w:sz="6" w:space="0" w:color="719BD1" w:themeColor="accent1"/>
          <w:left w:val="single" w:sz="8" w:space="0" w:color="719BD1" w:themeColor="accent1"/>
          <w:bottom w:val="single" w:sz="8" w:space="0" w:color="719BD1" w:themeColor="accent1"/>
          <w:right w:val="single" w:sz="8" w:space="0" w:color="719BD1" w:themeColor="accent1"/>
        </w:tcBorders>
      </w:tcPr>
    </w:tblStylePr>
    <w:tblStylePr w:type="firstCol">
      <w:rPr>
        <w:b/>
        <w:bCs/>
      </w:rPr>
    </w:tblStylePr>
    <w:tblStylePr w:type="lastCol">
      <w:rPr>
        <w:b/>
        <w:bCs/>
      </w:rPr>
    </w:tblStylePr>
    <w:tblStylePr w:type="band1Vert">
      <w:tblPr/>
      <w:tcPr>
        <w:tcBorders>
          <w:top w:val="single" w:sz="8" w:space="0" w:color="719BD1" w:themeColor="accent1"/>
          <w:left w:val="single" w:sz="8" w:space="0" w:color="719BD1" w:themeColor="accent1"/>
          <w:bottom w:val="single" w:sz="8" w:space="0" w:color="719BD1" w:themeColor="accent1"/>
          <w:right w:val="single" w:sz="8" w:space="0" w:color="719BD1" w:themeColor="accent1"/>
        </w:tcBorders>
      </w:tcPr>
    </w:tblStylePr>
    <w:tblStylePr w:type="band1Horz">
      <w:tblPr/>
      <w:tcPr>
        <w:tcBorders>
          <w:top w:val="single" w:sz="8" w:space="0" w:color="719BD1" w:themeColor="accent1"/>
          <w:left w:val="single" w:sz="8" w:space="0" w:color="719BD1" w:themeColor="accent1"/>
          <w:bottom w:val="single" w:sz="8" w:space="0" w:color="719BD1" w:themeColor="accent1"/>
          <w:right w:val="single" w:sz="8" w:space="0" w:color="719BD1" w:themeColor="accent1"/>
        </w:tcBorders>
      </w:tcPr>
    </w:tblStylePr>
  </w:style>
  <w:style w:type="character" w:customStyle="1" w:styleId="TableTextChar">
    <w:name w:val="Table Text Char"/>
    <w:basedOn w:val="DefaultParagraphFont"/>
    <w:link w:val="TableText"/>
    <w:locked/>
    <w:rsid w:val="00BF5472"/>
    <w:rPr>
      <w:rFonts w:ascii="Times New Roman" w:hAnsi="Times New Roman"/>
      <w:sz w:val="20"/>
      <w:szCs w:val="20"/>
    </w:rPr>
  </w:style>
  <w:style w:type="character" w:customStyle="1" w:styleId="A6">
    <w:name w:val="A6"/>
    <w:uiPriority w:val="99"/>
    <w:rsid w:val="00810FAC"/>
    <w:rPr>
      <w:b/>
      <w:bCs/>
      <w:color w:val="000000"/>
      <w:sz w:val="22"/>
      <w:szCs w:val="22"/>
    </w:rPr>
  </w:style>
  <w:style w:type="paragraph" w:customStyle="1" w:styleId="Pa0">
    <w:name w:val="Pa0"/>
    <w:basedOn w:val="Normal"/>
    <w:next w:val="Normal"/>
    <w:uiPriority w:val="99"/>
    <w:rsid w:val="00810FAC"/>
    <w:pPr>
      <w:autoSpaceDE w:val="0"/>
      <w:autoSpaceDN w:val="0"/>
      <w:adjustRightInd w:val="0"/>
      <w:spacing w:line="241" w:lineRule="atLeast"/>
    </w:pPr>
    <w:rPr>
      <w:rFonts w:ascii="Times" w:eastAsia="Times New Roman" w:hAnsi="Times" w:cs="Times"/>
      <w:sz w:val="24"/>
      <w:szCs w:val="24"/>
    </w:rPr>
  </w:style>
  <w:style w:type="paragraph" w:customStyle="1" w:styleId="TableTextBoxText">
    <w:name w:val="Table/Text Box Text"/>
    <w:qFormat/>
    <w:rsid w:val="00810FAC"/>
    <w:pPr>
      <w:spacing w:before="40" w:after="40" w:line="220" w:lineRule="exact"/>
    </w:pPr>
    <w:rPr>
      <w:rFonts w:ascii="Arial" w:eastAsia="Arial" w:hAnsi="Arial" w:cs="Arial"/>
      <w:sz w:val="18"/>
      <w:szCs w:val="17"/>
    </w:rPr>
  </w:style>
  <w:style w:type="character" w:styleId="HTMLCite">
    <w:name w:val="HTML Cite"/>
    <w:basedOn w:val="DefaultParagraphFont"/>
    <w:uiPriority w:val="99"/>
    <w:semiHidden/>
    <w:unhideWhenUsed/>
    <w:rsid w:val="00810FAC"/>
    <w:rPr>
      <w:i/>
      <w:iCs/>
    </w:rPr>
  </w:style>
  <w:style w:type="paragraph" w:styleId="TOC4">
    <w:name w:val="toc 4"/>
    <w:basedOn w:val="Normal"/>
    <w:next w:val="Normal"/>
    <w:autoRedefine/>
    <w:uiPriority w:val="39"/>
    <w:unhideWhenUsed/>
    <w:rsid w:val="00003324"/>
    <w:pPr>
      <w:tabs>
        <w:tab w:val="left" w:pos="1540"/>
        <w:tab w:val="right" w:leader="dot" w:pos="9350"/>
      </w:tabs>
      <w:spacing w:after="100"/>
      <w:ind w:left="3096" w:hanging="936"/>
    </w:pPr>
    <w:rPr>
      <w:rFonts w:ascii="Times New Roman" w:hAnsi="Times New Roman"/>
    </w:rPr>
  </w:style>
  <w:style w:type="paragraph" w:styleId="TOC5">
    <w:name w:val="toc 5"/>
    <w:basedOn w:val="Normal"/>
    <w:next w:val="Normal"/>
    <w:autoRedefine/>
    <w:uiPriority w:val="39"/>
    <w:unhideWhenUsed/>
    <w:rsid w:val="0091274B"/>
    <w:pPr>
      <w:spacing w:after="100" w:line="259" w:lineRule="auto"/>
      <w:ind w:left="880"/>
    </w:pPr>
    <w:rPr>
      <w:rFonts w:eastAsiaTheme="minorEastAsia"/>
    </w:rPr>
  </w:style>
  <w:style w:type="paragraph" w:styleId="TOC6">
    <w:name w:val="toc 6"/>
    <w:basedOn w:val="Normal"/>
    <w:next w:val="Normal"/>
    <w:autoRedefine/>
    <w:uiPriority w:val="39"/>
    <w:unhideWhenUsed/>
    <w:rsid w:val="0091274B"/>
    <w:pPr>
      <w:spacing w:after="100" w:line="259" w:lineRule="auto"/>
      <w:ind w:left="1100"/>
    </w:pPr>
    <w:rPr>
      <w:rFonts w:eastAsiaTheme="minorEastAsia"/>
    </w:rPr>
  </w:style>
  <w:style w:type="paragraph" w:styleId="TOC7">
    <w:name w:val="toc 7"/>
    <w:basedOn w:val="Normal"/>
    <w:next w:val="Normal"/>
    <w:autoRedefine/>
    <w:uiPriority w:val="39"/>
    <w:unhideWhenUsed/>
    <w:rsid w:val="0091274B"/>
    <w:pPr>
      <w:spacing w:after="100" w:line="259" w:lineRule="auto"/>
      <w:ind w:left="1320"/>
    </w:pPr>
    <w:rPr>
      <w:rFonts w:eastAsiaTheme="minorEastAsia"/>
    </w:rPr>
  </w:style>
  <w:style w:type="paragraph" w:styleId="TOC8">
    <w:name w:val="toc 8"/>
    <w:basedOn w:val="Normal"/>
    <w:next w:val="Normal"/>
    <w:autoRedefine/>
    <w:uiPriority w:val="39"/>
    <w:unhideWhenUsed/>
    <w:rsid w:val="0091274B"/>
    <w:pPr>
      <w:spacing w:after="100" w:line="259" w:lineRule="auto"/>
      <w:ind w:left="1540"/>
    </w:pPr>
    <w:rPr>
      <w:rFonts w:eastAsiaTheme="minorEastAsia"/>
    </w:rPr>
  </w:style>
  <w:style w:type="paragraph" w:styleId="TOC9">
    <w:name w:val="toc 9"/>
    <w:basedOn w:val="Normal"/>
    <w:next w:val="Normal"/>
    <w:autoRedefine/>
    <w:uiPriority w:val="39"/>
    <w:unhideWhenUsed/>
    <w:rsid w:val="0091274B"/>
    <w:pPr>
      <w:spacing w:after="100" w:line="259" w:lineRule="auto"/>
      <w:ind w:left="1760"/>
    </w:pPr>
    <w:rPr>
      <w:rFonts w:eastAsiaTheme="minorEastAsia"/>
    </w:rPr>
  </w:style>
  <w:style w:type="paragraph" w:customStyle="1" w:styleId="CH5TableTitleappendix">
    <w:name w:val="CH5_Table Title_appendix"/>
    <w:basedOn w:val="CH5TableTitle"/>
    <w:uiPriority w:val="4"/>
    <w:qFormat/>
    <w:rsid w:val="007838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02850">
      <w:bodyDiv w:val="1"/>
      <w:marLeft w:val="0"/>
      <w:marRight w:val="0"/>
      <w:marTop w:val="0"/>
      <w:marBottom w:val="0"/>
      <w:divBdr>
        <w:top w:val="none" w:sz="0" w:space="0" w:color="auto"/>
        <w:left w:val="none" w:sz="0" w:space="0" w:color="auto"/>
        <w:bottom w:val="none" w:sz="0" w:space="0" w:color="auto"/>
        <w:right w:val="none" w:sz="0" w:space="0" w:color="auto"/>
      </w:divBdr>
      <w:divsChild>
        <w:div w:id="709375800">
          <w:marLeft w:val="0"/>
          <w:marRight w:val="0"/>
          <w:marTop w:val="0"/>
          <w:marBottom w:val="0"/>
          <w:divBdr>
            <w:top w:val="none" w:sz="0" w:space="0" w:color="auto"/>
            <w:left w:val="none" w:sz="0" w:space="0" w:color="auto"/>
            <w:bottom w:val="none" w:sz="0" w:space="0" w:color="auto"/>
            <w:right w:val="none" w:sz="0" w:space="0" w:color="auto"/>
          </w:divBdr>
          <w:divsChild>
            <w:div w:id="195188710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88647915">
      <w:bodyDiv w:val="1"/>
      <w:marLeft w:val="0"/>
      <w:marRight w:val="0"/>
      <w:marTop w:val="0"/>
      <w:marBottom w:val="0"/>
      <w:divBdr>
        <w:top w:val="none" w:sz="0" w:space="0" w:color="auto"/>
        <w:left w:val="none" w:sz="0" w:space="0" w:color="auto"/>
        <w:bottom w:val="none" w:sz="0" w:space="0" w:color="auto"/>
        <w:right w:val="none" w:sz="0" w:space="0" w:color="auto"/>
      </w:divBdr>
      <w:divsChild>
        <w:div w:id="49119141">
          <w:marLeft w:val="0"/>
          <w:marRight w:val="0"/>
          <w:marTop w:val="0"/>
          <w:marBottom w:val="0"/>
          <w:divBdr>
            <w:top w:val="none" w:sz="0" w:space="0" w:color="auto"/>
            <w:left w:val="none" w:sz="0" w:space="0" w:color="auto"/>
            <w:bottom w:val="none" w:sz="0" w:space="0" w:color="auto"/>
            <w:right w:val="none" w:sz="0" w:space="0" w:color="auto"/>
          </w:divBdr>
          <w:divsChild>
            <w:div w:id="173955147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713311719">
      <w:bodyDiv w:val="1"/>
      <w:marLeft w:val="0"/>
      <w:marRight w:val="0"/>
      <w:marTop w:val="0"/>
      <w:marBottom w:val="0"/>
      <w:divBdr>
        <w:top w:val="none" w:sz="0" w:space="0" w:color="auto"/>
        <w:left w:val="none" w:sz="0" w:space="0" w:color="auto"/>
        <w:bottom w:val="none" w:sz="0" w:space="0" w:color="auto"/>
        <w:right w:val="none" w:sz="0" w:space="0" w:color="auto"/>
      </w:divBdr>
      <w:divsChild>
        <w:div w:id="1880239135">
          <w:marLeft w:val="0"/>
          <w:marRight w:val="0"/>
          <w:marTop w:val="0"/>
          <w:marBottom w:val="0"/>
          <w:divBdr>
            <w:top w:val="none" w:sz="0" w:space="0" w:color="auto"/>
            <w:left w:val="none" w:sz="0" w:space="0" w:color="auto"/>
            <w:bottom w:val="none" w:sz="0" w:space="0" w:color="auto"/>
            <w:right w:val="none" w:sz="0" w:space="0" w:color="auto"/>
          </w:divBdr>
          <w:divsChild>
            <w:div w:id="32933629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910310376">
      <w:bodyDiv w:val="1"/>
      <w:marLeft w:val="0"/>
      <w:marRight w:val="0"/>
      <w:marTop w:val="0"/>
      <w:marBottom w:val="0"/>
      <w:divBdr>
        <w:top w:val="none" w:sz="0" w:space="0" w:color="auto"/>
        <w:left w:val="none" w:sz="0" w:space="0" w:color="auto"/>
        <w:bottom w:val="none" w:sz="0" w:space="0" w:color="auto"/>
        <w:right w:val="none" w:sz="0" w:space="0" w:color="auto"/>
      </w:divBdr>
      <w:divsChild>
        <w:div w:id="177282982">
          <w:marLeft w:val="0"/>
          <w:marRight w:val="0"/>
          <w:marTop w:val="0"/>
          <w:marBottom w:val="0"/>
          <w:divBdr>
            <w:top w:val="none" w:sz="0" w:space="0" w:color="auto"/>
            <w:left w:val="none" w:sz="0" w:space="0" w:color="auto"/>
            <w:bottom w:val="none" w:sz="0" w:space="0" w:color="auto"/>
            <w:right w:val="none" w:sz="0" w:space="0" w:color="auto"/>
          </w:divBdr>
          <w:divsChild>
            <w:div w:id="75867261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88423466">
      <w:bodyDiv w:val="1"/>
      <w:marLeft w:val="0"/>
      <w:marRight w:val="0"/>
      <w:marTop w:val="0"/>
      <w:marBottom w:val="0"/>
      <w:divBdr>
        <w:top w:val="none" w:sz="0" w:space="0" w:color="auto"/>
        <w:left w:val="none" w:sz="0" w:space="0" w:color="auto"/>
        <w:bottom w:val="none" w:sz="0" w:space="0" w:color="auto"/>
        <w:right w:val="none" w:sz="0" w:space="0" w:color="auto"/>
      </w:divBdr>
    </w:div>
    <w:div w:id="1798797786">
      <w:bodyDiv w:val="1"/>
      <w:marLeft w:val="0"/>
      <w:marRight w:val="0"/>
      <w:marTop w:val="0"/>
      <w:marBottom w:val="0"/>
      <w:divBdr>
        <w:top w:val="none" w:sz="0" w:space="0" w:color="auto"/>
        <w:left w:val="none" w:sz="0" w:space="0" w:color="auto"/>
        <w:bottom w:val="none" w:sz="0" w:space="0" w:color="auto"/>
        <w:right w:val="none" w:sz="0" w:space="0" w:color="auto"/>
      </w:divBdr>
      <w:divsChild>
        <w:div w:id="982392817">
          <w:marLeft w:val="0"/>
          <w:marRight w:val="0"/>
          <w:marTop w:val="0"/>
          <w:marBottom w:val="0"/>
          <w:divBdr>
            <w:top w:val="none" w:sz="0" w:space="0" w:color="auto"/>
            <w:left w:val="none" w:sz="0" w:space="0" w:color="auto"/>
            <w:bottom w:val="none" w:sz="0" w:space="0" w:color="auto"/>
            <w:right w:val="none" w:sz="0" w:space="0" w:color="auto"/>
          </w:divBdr>
          <w:divsChild>
            <w:div w:id="70432954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806697557">
      <w:bodyDiv w:val="1"/>
      <w:marLeft w:val="0"/>
      <w:marRight w:val="0"/>
      <w:marTop w:val="0"/>
      <w:marBottom w:val="0"/>
      <w:divBdr>
        <w:top w:val="none" w:sz="0" w:space="0" w:color="auto"/>
        <w:left w:val="none" w:sz="0" w:space="0" w:color="auto"/>
        <w:bottom w:val="none" w:sz="0" w:space="0" w:color="auto"/>
        <w:right w:val="none" w:sz="0" w:space="0" w:color="auto"/>
      </w:divBdr>
      <w:divsChild>
        <w:div w:id="975258475">
          <w:marLeft w:val="0"/>
          <w:marRight w:val="0"/>
          <w:marTop w:val="0"/>
          <w:marBottom w:val="0"/>
          <w:divBdr>
            <w:top w:val="none" w:sz="0" w:space="0" w:color="auto"/>
            <w:left w:val="none" w:sz="0" w:space="0" w:color="auto"/>
            <w:bottom w:val="none" w:sz="0" w:space="0" w:color="auto"/>
            <w:right w:val="none" w:sz="0" w:space="0" w:color="auto"/>
          </w:divBdr>
          <w:divsChild>
            <w:div w:id="145340084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07015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eb.ornl.gov/info/esco/legislation/newesco.shtml" TargetMode="External"/><Relationship Id="rId21" Type="http://schemas.openxmlformats.org/officeDocument/2006/relationships/image" Target="media/image2.png"/><Relationship Id="rId42" Type="http://schemas.openxmlformats.org/officeDocument/2006/relationships/hyperlink" Target="http://aceee.org/sites/default/files/publications/researchreports/u1408.pdf" TargetMode="External"/><Relationship Id="rId63" Type="http://schemas.openxmlformats.org/officeDocument/2006/relationships/hyperlink" Target="http://www.gpo.gov/fdsys/pkg/PLAW-110publ140/html/PLAW-110publ140.htm" TargetMode="External"/><Relationship Id="rId84" Type="http://schemas.openxmlformats.org/officeDocument/2006/relationships/hyperlink" Target="http://www.epa.gov/cleanenergy/documents/suca/cost-effectiveness.pdf" TargetMode="External"/><Relationship Id="rId138" Type="http://schemas.openxmlformats.org/officeDocument/2006/relationships/theme" Target="theme/theme1.xml"/><Relationship Id="rId107" Type="http://schemas.openxmlformats.org/officeDocument/2006/relationships/hyperlink" Target="http://energy.gov/sites/prod/files/2013/11/f4/session_1_financing_track_gilligan_en_1.pdf" TargetMode="External"/><Relationship Id="rId11" Type="http://schemas.openxmlformats.org/officeDocument/2006/relationships/header" Target="header1.xml"/><Relationship Id="rId32" Type="http://schemas.openxmlformats.org/officeDocument/2006/relationships/hyperlink" Target="http://aceee.org/sites/default/files/publications/researchreports/U007.pdf" TargetMode="External"/><Relationship Id="rId37" Type="http://schemas.openxmlformats.org/officeDocument/2006/relationships/hyperlink" Target="http://aceee.org/sites/default/files/publications/researchreports/u122.pdf" TargetMode="External"/><Relationship Id="rId53" Type="http://schemas.openxmlformats.org/officeDocument/2006/relationships/hyperlink" Target="http://www.energy.ca.gov/2013publications/CEC-100-2013-001/CEC-100-2013-001-CMF.pdf" TargetMode="External"/><Relationship Id="rId58" Type="http://schemas.openxmlformats.org/officeDocument/2006/relationships/hyperlink" Target="http://www.gpo.gov/fdsys/pkg/STATUTE-92/pdf/STATUTE-92-Pg3206.pdf" TargetMode="External"/><Relationship Id="rId74" Type="http://schemas.openxmlformats.org/officeDocument/2006/relationships/hyperlink" Target="http://www.eia.gov/electricity/data/eia861/" TargetMode="External"/><Relationship Id="rId79" Type="http://schemas.openxmlformats.org/officeDocument/2006/relationships/hyperlink" Target="http://www2.epa.gov/sites/production/files/2014-06/documents/20140602tsd-state-plan-considerations.pdf" TargetMode="External"/><Relationship Id="rId102" Type="http://schemas.openxmlformats.org/officeDocument/2006/relationships/hyperlink" Target="http://www.mass.gov/eea/docs/eea/energy/2020-clean-energy-plan.pdf" TargetMode="External"/><Relationship Id="rId123" Type="http://schemas.openxmlformats.org/officeDocument/2006/relationships/hyperlink" Target="http://www.rff.org/RFF/Documents/RFF-DP-11-11.pdf" TargetMode="External"/><Relationship Id="rId128" Type="http://schemas.openxmlformats.org/officeDocument/2006/relationships/hyperlink" Target="http://www.ukerc.ac.uk/publications/the-rebound-effect-an-assessment-of-the-evidence-for-economy-wide-energy-savings-from-improved-energy-efficiency.html" TargetMode="External"/><Relationship Id="rId5" Type="http://schemas.openxmlformats.org/officeDocument/2006/relationships/settings" Target="settings.xml"/><Relationship Id="rId90" Type="http://schemas.openxmlformats.org/officeDocument/2006/relationships/hyperlink" Target="http://www.iea.org/publications/freepublications/publication/WEO2012_free.pdf" TargetMode="External"/><Relationship Id="rId95" Type="http://schemas.openxmlformats.org/officeDocument/2006/relationships/hyperlink" Target="http://www.hks.harvard.edu/fs/rstavins/Papers/Technological_Change_and_the_Environment_Handbook_Chapter.pdf" TargetMode="External"/><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hyperlink" Target="http://aceee.org/sites/default/files/publications/researchreports/u1402.pdf" TargetMode="External"/><Relationship Id="rId48" Type="http://schemas.openxmlformats.org/officeDocument/2006/relationships/hyperlink" Target="http://www.appliance-standards.org/sites/default/files/State_status_grid_Feb_21_2014.pdf" TargetMode="External"/><Relationship Id="rId64" Type="http://schemas.openxmlformats.org/officeDocument/2006/relationships/hyperlink" Target="http://www.resource-solutions.org/pub_pdfs/Draft_Report_ESC_V12_cleanFINAL_5-24-07.pdf" TargetMode="External"/><Relationship Id="rId69" Type="http://schemas.openxmlformats.org/officeDocument/2006/relationships/hyperlink" Target="https://www.energycodes.gov/resource-center/ACE/adoption/step1" TargetMode="External"/><Relationship Id="rId113" Type="http://schemas.openxmlformats.org/officeDocument/2006/relationships/hyperlink" Target="http://docs.nrdc.org/energy/files/ene_14021101a.pdf" TargetMode="External"/><Relationship Id="rId118" Type="http://schemas.openxmlformats.org/officeDocument/2006/relationships/hyperlink" Target="http://citeseerx.ist.psu.edu/viewdoc/download?doi=10.1.1.434.1487&amp;rep=rep1&amp;type=pdf" TargetMode="External"/><Relationship Id="rId134" Type="http://schemas.openxmlformats.org/officeDocument/2006/relationships/hyperlink" Target="http://www.presidency.ucsb.edu/ws/?pid=7373" TargetMode="External"/><Relationship Id="rId139" Type="http://schemas.openxmlformats.org/officeDocument/2006/relationships/customXml" Target="../customXml/item3.xml"/><Relationship Id="rId80" Type="http://schemas.openxmlformats.org/officeDocument/2006/relationships/hyperlink" Target="http://epa.gov/statelocalclimate/documents/pdf/guide_action_full.pdf" TargetMode="External"/><Relationship Id="rId85" Type="http://schemas.openxmlformats.org/officeDocument/2006/relationships/hyperlink" Target="http://www.epa.gov/cleanenergy/documents/suca/ee_and_carbon.pdf" TargetMode="External"/><Relationship Id="rId12" Type="http://schemas.openxmlformats.org/officeDocument/2006/relationships/footer" Target="footer3.xml"/><Relationship Id="rId17" Type="http://schemas.openxmlformats.org/officeDocument/2006/relationships/footer" Target="footer5.xml"/><Relationship Id="rId33" Type="http://schemas.openxmlformats.org/officeDocument/2006/relationships/hyperlink" Target="http://aceee.org/research-report/u042" TargetMode="External"/><Relationship Id="rId38" Type="http://schemas.openxmlformats.org/officeDocument/2006/relationships/hyperlink" Target="http://aceee.org/sites/default/files/publications/researchreports/u123.pdf" TargetMode="External"/><Relationship Id="rId59" Type="http://schemas.openxmlformats.org/officeDocument/2006/relationships/hyperlink" Target="http://www.usbr.gov/power/legislation/purpa.pdf" TargetMode="External"/><Relationship Id="rId103" Type="http://schemas.openxmlformats.org/officeDocument/2006/relationships/hyperlink" Target="http://www.mass.gov/eea/docs/eea/gwsa/ma-gwsa-5yr-progress-report-1-6-14.pdf" TargetMode="External"/><Relationship Id="rId108" Type="http://schemas.openxmlformats.org/officeDocument/2006/relationships/hyperlink" Target="http://www.narecs.com/2010/03/09/apxs-north-american-renewables-registry-infrastructure-extended/" TargetMode="External"/><Relationship Id="rId124" Type="http://schemas.openxmlformats.org/officeDocument/2006/relationships/hyperlink" Target="https://www.sterlingplanet.com/ResourceCenter/NewsRoom/tabid/59/post/sterling-planet-completes-nation-s-first-white-tags-transaction/Default.aspx" TargetMode="External"/><Relationship Id="rId129" Type="http://schemas.openxmlformats.org/officeDocument/2006/relationships/hyperlink" Target="http://digitalscholarship.unlv.edu/cgi/viewcontent.cgi?article=3076&amp;context=thesesdissertations" TargetMode="External"/><Relationship Id="rId54" Type="http://schemas.openxmlformats.org/officeDocument/2006/relationships/hyperlink" Target="http://www.energy.ca.gov/appliances/2013rulemaking/documents/pre-reulemaking_schedule.pdf" TargetMode="External"/><Relationship Id="rId70" Type="http://schemas.openxmlformats.org/officeDocument/2006/relationships/hyperlink" Target="http://energy.gov/sites/prod/files/2015/07/f24/Appliance%20and%20Equipment%20Standards%20Fact%20Sheet%207-21-15.pdf" TargetMode="External"/><Relationship Id="rId75" Type="http://schemas.openxmlformats.org/officeDocument/2006/relationships/hyperlink" Target="http://www.eia.gov/forecasts/aeo/pdf/0383%282015%29.pdf" TargetMode="External"/><Relationship Id="rId91" Type="http://schemas.openxmlformats.org/officeDocument/2006/relationships/hyperlink" Target="http://sites.ieee.org/isgt2014/files/2014/03/Day1_Panel1C_KWarner.pdf" TargetMode="External"/><Relationship Id="rId96" Type="http://schemas.openxmlformats.org/officeDocument/2006/relationships/hyperlink" Target="http://emp.lbl.gov/sites/all/files/39931.pdf" TargetMode="External"/><Relationship Id="rId14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4.png"/><Relationship Id="rId28" Type="http://schemas.openxmlformats.org/officeDocument/2006/relationships/header" Target="header6.xml"/><Relationship Id="rId49" Type="http://schemas.openxmlformats.org/officeDocument/2006/relationships/hyperlink" Target="http://energycodesocean.org/sites/default/files/resources/The%20History%20of%20Energy%20Codes%20in%20the%20United%20States.pdf" TargetMode="External"/><Relationship Id="rId114" Type="http://schemas.openxmlformats.org/officeDocument/2006/relationships/hyperlink" Target="https://www.smartgrid.gov/sites/default/files/doc/files/NRECA_TPR2_Costs_Benefits_of_CVR_0.pdf" TargetMode="External"/><Relationship Id="rId119" Type="http://schemas.openxmlformats.org/officeDocument/2006/relationships/hyperlink" Target="http://www.pnnl.gov/main/publications/external/technical_reports/PNNL-20792.pdf" TargetMode="External"/><Relationship Id="rId44" Type="http://schemas.openxmlformats.org/officeDocument/2006/relationships/hyperlink" Target="http://aceee.org/sites/default/files/building-codes-111d-1-22-15.pdf" TargetMode="External"/><Relationship Id="rId60" Type="http://schemas.openxmlformats.org/officeDocument/2006/relationships/hyperlink" Target="https://www.congress.gov/bill/100th-congress/house-bill/87" TargetMode="External"/><Relationship Id="rId65" Type="http://schemas.openxmlformats.org/officeDocument/2006/relationships/hyperlink" Target="https://www.smartgrid.gov/sites/default/files/Distribution%20System%20Energy%20Efficiency%2017Nov11.pdf" TargetMode="External"/><Relationship Id="rId81" Type="http://schemas.openxmlformats.org/officeDocument/2006/relationships/hyperlink" Target="http://www.epa.gov/cleanenergy/documents/suca/napee_report.pdf" TargetMode="External"/><Relationship Id="rId86" Type="http://schemas.openxmlformats.org/officeDocument/2006/relationships/hyperlink" Target="http://aceee.org/files/proceedings/2012/data/papers/0193-000170.pdf" TargetMode="External"/><Relationship Id="rId130" Type="http://schemas.openxmlformats.org/officeDocument/2006/relationships/hyperlink" Target="https://s3.amazonaws.com/dive_assets/rlpsys/utilitydive_seu_2015.pdf" TargetMode="External"/><Relationship Id="rId135" Type="http://schemas.openxmlformats.org/officeDocument/2006/relationships/header" Target="header8.xml"/><Relationship Id="rId13" Type="http://schemas.openxmlformats.org/officeDocument/2006/relationships/header" Target="header2.xml"/><Relationship Id="rId18" Type="http://schemas.openxmlformats.org/officeDocument/2006/relationships/footer" Target="footer6.xml"/><Relationship Id="rId39" Type="http://schemas.openxmlformats.org/officeDocument/2006/relationships/hyperlink" Target="http://aceee.org/sites/default/files/publications/researchreports/u132.pdf" TargetMode="External"/><Relationship Id="rId109" Type="http://schemas.openxmlformats.org/officeDocument/2006/relationships/hyperlink" Target="http://www.naruc.org/Resolutions/Resolution%20Supporting%20the%20Rapid%20Deployment%20of%20Voltage%20Optimization%20Technologies.pdf" TargetMode="External"/><Relationship Id="rId34" Type="http://schemas.openxmlformats.org/officeDocument/2006/relationships/hyperlink" Target="http://aceee.org/files/proceedings/2008/data/papers/8_468.pdf" TargetMode="External"/><Relationship Id="rId50" Type="http://schemas.openxmlformats.org/officeDocument/2006/relationships/hyperlink" Target="http://aceee.org/files/proceedings/2012/data/papers/0193-000167.pdf" TargetMode="External"/><Relationship Id="rId55" Type="http://schemas.openxmlformats.org/officeDocument/2006/relationships/hyperlink" Target="http://library.cee1.org/sites/default/files/library/12193/CEE_2014_Annual_Industry_Report.pdf" TargetMode="External"/><Relationship Id="rId76" Type="http://schemas.openxmlformats.org/officeDocument/2006/relationships/hyperlink" Target="http://www.energystar.gov/ia/products/downloads/ES_Anniv_Book_030712_508compliant_v2.pdf" TargetMode="External"/><Relationship Id="rId97" Type="http://schemas.openxmlformats.org/officeDocument/2006/relationships/hyperlink" Target="http://emp.lbl.gov/sites/all/files/lbnl-6300e_0.pdf" TargetMode="External"/><Relationship Id="rId104" Type="http://schemas.openxmlformats.org/officeDocument/2006/relationships/hyperlink" Target="http://www.mckinsey.com/~/media/mckinsey/dotcom/client_service/sustainability/pdfs/reducing%20us%20greenhouse%20gas%20emissions/us_ghg_final_report.ashx" TargetMode="External"/><Relationship Id="rId120" Type="http://schemas.openxmlformats.org/officeDocument/2006/relationships/hyperlink" Target="http://www.raponline.org/docs/RAP_Lazar_ElectricityRegulationInTheUS_Guide_2011_03.pdf" TargetMode="External"/><Relationship Id="rId125" Type="http://schemas.openxmlformats.org/officeDocument/2006/relationships/hyperlink" Target="http://www.aceee.org/files/proceedings/2008/data/papers/8_434.pdf" TargetMode="External"/><Relationship Id="rId141" Type="http://schemas.openxmlformats.org/officeDocument/2006/relationships/customXml" Target="../customXml/item5.xml"/><Relationship Id="rId7" Type="http://schemas.openxmlformats.org/officeDocument/2006/relationships/footnotes" Target="footnotes.xml"/><Relationship Id="rId71" Type="http://schemas.openxmlformats.org/officeDocument/2006/relationships/hyperlink" Target="http://energy.gov/eere/buildings/rulemakings-and-notices" TargetMode="External"/><Relationship Id="rId92" Type="http://schemas.openxmlformats.org/officeDocument/2006/relationships/hyperlink" Target="http://www.edisonfoundation.net/iei/Documents/IEI_stateEEpolicyupdate_1214.pdf" TargetMode="Externa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image" Target="media/image5.png"/><Relationship Id="rId40" Type="http://schemas.openxmlformats.org/officeDocument/2006/relationships/hyperlink" Target="http://aceee.org/sites/default/files/publications/researchreports/e1401.pdf" TargetMode="External"/><Relationship Id="rId45" Type="http://schemas.openxmlformats.org/officeDocument/2006/relationships/hyperlink" Target="http://aceee.org/sites/default/files/eers-04072015.pdf" TargetMode="External"/><Relationship Id="rId66" Type="http://schemas.openxmlformats.org/officeDocument/2006/relationships/hyperlink" Target="https://www.smartgrid.gov/sites/default/files/doc/files/VVO%20Report%20-%20Final.pdf" TargetMode="External"/><Relationship Id="rId87" Type="http://schemas.openxmlformats.org/officeDocument/2006/relationships/hyperlink" Target="http://portal.hud.gov/hudportal/HUD?src=/program_offices/public_indian_housing/programs/ph/phecc/eperformance" TargetMode="External"/><Relationship Id="rId110" Type="http://schemas.openxmlformats.org/officeDocument/2006/relationships/hyperlink" Target="http://aceee.org/files/proceedings/2008/data/papers/8_419.pdf" TargetMode="External"/><Relationship Id="rId115" Type="http://schemas.openxmlformats.org/officeDocument/2006/relationships/hyperlink" Target="http://www.nrel.gov/docs/fy09osti/44072.pdf" TargetMode="External"/><Relationship Id="rId131" Type="http://schemas.openxmlformats.org/officeDocument/2006/relationships/hyperlink" Target="http://www.gpo.gov/fdsys/pkg/FR-2007-01-26/pdf/07-374.pdf" TargetMode="External"/><Relationship Id="rId136" Type="http://schemas.openxmlformats.org/officeDocument/2006/relationships/footer" Target="footer10.xml"/><Relationship Id="rId61" Type="http://schemas.openxmlformats.org/officeDocument/2006/relationships/hyperlink" Target="http://www.usbr.gov/power/legislation/epa92.pdf" TargetMode="External"/><Relationship Id="rId82" Type="http://schemas.openxmlformats.org/officeDocument/2006/relationships/hyperlink" Target="http://www.epa.gov/cleanenergy/documents/suca/potential_guide.pdf" TargetMode="External"/><Relationship Id="rId19" Type="http://schemas.openxmlformats.org/officeDocument/2006/relationships/header" Target="header5.xml"/><Relationship Id="rId14" Type="http://schemas.openxmlformats.org/officeDocument/2006/relationships/footer" Target="footer4.xml"/><Relationship Id="rId30" Type="http://schemas.openxmlformats.org/officeDocument/2006/relationships/header" Target="header7.xml"/><Relationship Id="rId35" Type="http://schemas.openxmlformats.org/officeDocument/2006/relationships/hyperlink" Target="http://aceee.org/sites/default/files/publications/researchreports/U092.pdf" TargetMode="External"/><Relationship Id="rId56" Type="http://schemas.openxmlformats.org/officeDocument/2006/relationships/hyperlink" Target="https://web.stanford.edu/group/emf-research/docs/emf24/EMF_24.pdf" TargetMode="External"/><Relationship Id="rId77" Type="http://schemas.openxmlformats.org/officeDocument/2006/relationships/hyperlink" Target="http://www.energystar.gov/ia/about/20_years/ES_20th_Anniv_brochure_spreads.pdf?ab0b-60a9" TargetMode="External"/><Relationship Id="rId100" Type="http://schemas.openxmlformats.org/officeDocument/2006/relationships/hyperlink" Target="http://emp.lbl.gov/sites/all/files/lbnl-6595e.pdf" TargetMode="External"/><Relationship Id="rId105" Type="http://schemas.openxmlformats.org/officeDocument/2006/relationships/hyperlink" Target="http://www.mckinsey.com/~/media/McKinsey/dotcom/client_service/EPNG/PDFs/McK%20on%20smart%20grids/MoSG_130billionQuestion_VF.ashx" TargetMode="External"/><Relationship Id="rId126" Type="http://schemas.openxmlformats.org/officeDocument/2006/relationships/hyperlink" Target="http://www.cleanskies.org/wp-content/uploads/2011/05/ACSF_IRP-Survey_Final_2011-04-28.pdf" TargetMode="External"/><Relationship Id="rId8" Type="http://schemas.openxmlformats.org/officeDocument/2006/relationships/endnotes" Target="endnotes.xml"/><Relationship Id="rId51" Type="http://schemas.openxmlformats.org/officeDocument/2006/relationships/hyperlink" Target="http://www.bpa.gov/Projects/Initiatives/SmartGrid/DocumentsSmartGrid/BPA-Smart-Grid-Regional-Business-Case-Summary-White-Paper.pdf" TargetMode="External"/><Relationship Id="rId72" Type="http://schemas.openxmlformats.org/officeDocument/2006/relationships/hyperlink" Target="http://www.eia.gov/electricity/data/eia861/" TargetMode="External"/><Relationship Id="rId93" Type="http://schemas.openxmlformats.org/officeDocument/2006/relationships/hyperlink" Target="https://technology.ihs.com/480591/optimize-prime-the-market-for-voltvar-optimization-set-to-transform" TargetMode="External"/><Relationship Id="rId98" Type="http://schemas.openxmlformats.org/officeDocument/2006/relationships/hyperlink" Target="http://emp.lbl.gov/sites/all/files/lbnl-6370e.pdf" TargetMode="External"/><Relationship Id="rId121" Type="http://schemas.openxmlformats.org/officeDocument/2006/relationships/hyperlink" Target="http://www.raponline.org/document/download/id/6149" TargetMode="External"/><Relationship Id="rId142" Type="http://schemas.openxmlformats.org/officeDocument/2006/relationships/customXml" Target="../customXml/item6.xml"/><Relationship Id="rId3" Type="http://schemas.openxmlformats.org/officeDocument/2006/relationships/numbering" Target="numbering.xml"/><Relationship Id="rId25" Type="http://schemas.openxmlformats.org/officeDocument/2006/relationships/image" Target="media/image6.png"/><Relationship Id="rId46" Type="http://schemas.openxmlformats.org/officeDocument/2006/relationships/hyperlink" Target="http://www.apscservices.info/pdf/13/13-002-u_72_1.pdf" TargetMode="External"/><Relationship Id="rId67" Type="http://schemas.openxmlformats.org/officeDocument/2006/relationships/hyperlink" Target="http://www.energycodes.gov/sites/default/files/documents/ArizonaResidentialCostEffectiveness.pdf" TargetMode="External"/><Relationship Id="rId116" Type="http://schemas.openxmlformats.org/officeDocument/2006/relationships/hyperlink" Target="http://www.ess.nsw.gov.au/Home" TargetMode="External"/><Relationship Id="rId137" Type="http://schemas.openxmlformats.org/officeDocument/2006/relationships/fontTable" Target="fontTable.xml"/><Relationship Id="rId20" Type="http://schemas.openxmlformats.org/officeDocument/2006/relationships/footer" Target="footer7.xml"/><Relationship Id="rId41" Type="http://schemas.openxmlformats.org/officeDocument/2006/relationships/hyperlink" Target="http://aceee.org/sites/default/files/publications/researchreports/u1407.pdf" TargetMode="External"/><Relationship Id="rId62" Type="http://schemas.openxmlformats.org/officeDocument/2006/relationships/hyperlink" Target="http://energy.gov/sites/prod/files/2013/10/f3/epact_2005.pdf" TargetMode="External"/><Relationship Id="rId83" Type="http://schemas.openxmlformats.org/officeDocument/2006/relationships/hyperlink" Target="http://www.epa.gov/cleanenergy/documents/suca/resource_planning.pdf" TargetMode="External"/><Relationship Id="rId88" Type="http://schemas.openxmlformats.org/officeDocument/2006/relationships/hyperlink" Target="http://www.energystar.gov/ia/partners/spp_res/Introduction_to_Performance_Contracting.pdf" TargetMode="External"/><Relationship Id="rId111" Type="http://schemas.openxmlformats.org/officeDocument/2006/relationships/hyperlink" Target="http://www.nwcouncil.org/media/6284/SixthPowerPlan.pdf" TargetMode="External"/><Relationship Id="rId132" Type="http://schemas.openxmlformats.org/officeDocument/2006/relationships/hyperlink" Target="http://www.archives.gov/federal-register/executive-orders/disposition.html" TargetMode="External"/><Relationship Id="rId15" Type="http://schemas.openxmlformats.org/officeDocument/2006/relationships/header" Target="header3.xml"/><Relationship Id="rId36" Type="http://schemas.openxmlformats.org/officeDocument/2006/relationships/hyperlink" Target="http://aceee.org/sites/default/files/publications/researchreports/u112.pdf" TargetMode="External"/><Relationship Id="rId57" Type="http://schemas.openxmlformats.org/officeDocument/2006/relationships/hyperlink" Target="http://www.gpo.gov/fdsys/pkg/STATUTE-89/pdf/STATUTE-89-Pg871.pdf" TargetMode="External"/><Relationship Id="rId106" Type="http://schemas.openxmlformats.org/officeDocument/2006/relationships/hyperlink" Target="http://www.ceres.org/resources/reports/benchmarking-electric-utilities-2011" TargetMode="External"/><Relationship Id="rId127" Type="http://schemas.openxmlformats.org/officeDocument/2006/relationships/hyperlink" Target="http://www.theclimateregistry.org/cool-planet-project/" TargetMode="External"/><Relationship Id="rId10" Type="http://schemas.openxmlformats.org/officeDocument/2006/relationships/footer" Target="footer2.xml"/><Relationship Id="rId31" Type="http://schemas.openxmlformats.org/officeDocument/2006/relationships/footer" Target="footer9.xml"/><Relationship Id="rId52" Type="http://schemas.openxmlformats.org/officeDocument/2006/relationships/hyperlink" Target="http://www.calmac.org/events/SPM_9_20_02.pdf" TargetMode="External"/><Relationship Id="rId73" Type="http://schemas.openxmlformats.org/officeDocument/2006/relationships/hyperlink" Target="http://www.eia.gov/electricity/state/pdf/sep2010.pdf" TargetMode="External"/><Relationship Id="rId78" Type="http://schemas.openxmlformats.org/officeDocument/2006/relationships/hyperlink" Target="http://www2.epa.gov/sites/production/files/2014-06/documents/20140602tsd-ghg-abatement-measures.pdf" TargetMode="External"/><Relationship Id="rId94" Type="http://schemas.openxmlformats.org/officeDocument/2006/relationships/hyperlink" Target="http://unfccc.int/files/national_reports/annex_i_natcom/submitted_natcom/application/pdf/ita_nc6_resubmission.pdf" TargetMode="External"/><Relationship Id="rId99" Type="http://schemas.openxmlformats.org/officeDocument/2006/relationships/hyperlink" Target="http://emp.lbl.gov/sites/all/files/lbnl-6877e.pdf" TargetMode="External"/><Relationship Id="rId101" Type="http://schemas.openxmlformats.org/officeDocument/2006/relationships/hyperlink" Target="http://emp.lbl.gov/sites/all/files/total-cost-of-saved-energy.pdf" TargetMode="External"/><Relationship Id="rId122" Type="http://schemas.openxmlformats.org/officeDocument/2006/relationships/hyperlink" Target="http://www.rff.org/RFF/Documents/RFF-DP-10-60.pdf" TargetMode="External"/><Relationship Id="rId4" Type="http://schemas.openxmlformats.org/officeDocument/2006/relationships/styles" Target="styles.xml"/><Relationship Id="rId9" Type="http://schemas.openxmlformats.org/officeDocument/2006/relationships/footer" Target="footer1.xml"/><Relationship Id="rId26" Type="http://schemas.openxmlformats.org/officeDocument/2006/relationships/image" Target="media/image7.png"/><Relationship Id="rId47" Type="http://schemas.openxmlformats.org/officeDocument/2006/relationships/hyperlink" Target="http://www.appliance-standards.org/sites/default/files/The%20Efficiency%20Boom.pdf" TargetMode="External"/><Relationship Id="rId68" Type="http://schemas.openxmlformats.org/officeDocument/2006/relationships/hyperlink" Target="http://www.energy.gov/sites/prod/files/RecoveryActSuccess_Jan2012final.pdf" TargetMode="External"/><Relationship Id="rId89" Type="http://schemas.openxmlformats.org/officeDocument/2006/relationships/hyperlink" Target="http://www.raponline.org/document/download/id/7235" TargetMode="External"/><Relationship Id="rId112" Type="http://schemas.openxmlformats.org/officeDocument/2006/relationships/hyperlink" Target="http://www.nrdc.org/energy/decoupling/files/decoupling-utility-energy.pdf" TargetMode="External"/><Relationship Id="rId133" Type="http://schemas.openxmlformats.org/officeDocument/2006/relationships/hyperlink" Target="http://www.archives.gov/federal-register/executive-orders/disposition.html" TargetMode="External"/><Relationship Id="rId16"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www3.dps.ny.gov/W/PSCWeb.nsf/All/26BE8A93967E604785257CC40066B91A?OpenDocument" TargetMode="External"/><Relationship Id="rId2" Type="http://schemas.openxmlformats.org/officeDocument/2006/relationships/hyperlink" Target="http://www.eia.gov/electricity/data/eia861/" TargetMode="External"/><Relationship Id="rId1" Type="http://schemas.openxmlformats.org/officeDocument/2006/relationships/hyperlink" Target="http://www.eia.gov/electricity/data/eia861/" TargetMode="External"/><Relationship Id="rId5" Type="http://schemas.openxmlformats.org/officeDocument/2006/relationships/hyperlink" Target="http://www.eia.gov/electricity/data/eia861/" TargetMode="External"/><Relationship Id="rId4" Type="http://schemas.openxmlformats.org/officeDocument/2006/relationships/hyperlink" Target="http://puc.hawaii.gov/wp-content/uploads/2014/04/Commissions-Inclinations.pdf"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Module">
  <a:themeElements>
    <a:clrScheme name="ERG">
      <a:dk1>
        <a:sysClr val="windowText" lastClr="000000"/>
      </a:dk1>
      <a:lt1>
        <a:sysClr val="window" lastClr="FFFFFF"/>
      </a:lt1>
      <a:dk2>
        <a:srgbClr val="808285"/>
      </a:dk2>
      <a:lt2>
        <a:srgbClr val="E6E6E6"/>
      </a:lt2>
      <a:accent1>
        <a:srgbClr val="719BD1"/>
      </a:accent1>
      <a:accent2>
        <a:srgbClr val="A7D0E9"/>
      </a:accent2>
      <a:accent3>
        <a:srgbClr val="B4D562"/>
      </a:accent3>
      <a:accent4>
        <a:srgbClr val="FF923F"/>
      </a:accent4>
      <a:accent5>
        <a:srgbClr val="D07E76"/>
      </a:accent5>
      <a:accent6>
        <a:srgbClr val="9E63B9"/>
      </a:accent6>
      <a:hlink>
        <a:srgbClr val="05AED9"/>
      </a:hlink>
      <a:folHlink>
        <a:srgbClr val="2051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0F8BBD51855A4A99A6A45DD1F00FCD" ma:contentTypeVersion="11" ma:contentTypeDescription="Create a new document." ma:contentTypeScope="" ma:versionID="2af04eb9371e8af5ae284ac8ad2d29e3">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fdfc7f89-361c-4da3-9eb1-c903ad39280a" xmlns:ns6="4ac6f653-1ec0-4368-b61c-4ecc36cd00bb" targetNamespace="http://schemas.microsoft.com/office/2006/metadata/properties" ma:root="true" ma:fieldsID="7364ebd1c60adb729c1df89b86ccf2c5" ns1:_="" ns2:_="" ns3:_="" ns4:_="" ns5:_="" ns6:_="">
    <xsd:import namespace="http://schemas.microsoft.com/sharepoint/v3"/>
    <xsd:import namespace="4ffa91fb-a0ff-4ac5-b2db-65c790d184a4"/>
    <xsd:import namespace="http://schemas.microsoft.com/sharepoint.v3"/>
    <xsd:import namespace="http://schemas.microsoft.com/sharepoint/v3/fields"/>
    <xsd:import namespace="fdfc7f89-361c-4da3-9eb1-c903ad39280a"/>
    <xsd:import namespace="4ac6f653-1ec0-4368-b61c-4ecc36cd00bb"/>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SharedWithUsers" minOccurs="0"/>
                <xsd:element ref="ns6:Status" minOccurs="0"/>
                <xsd:element ref="ns6:Uploaded"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aec54597-794d-48fd-aaaa-4eaa50f4ff1d}" ma:internalName="TaxCatchAllLabel" ma:readOnly="true" ma:showField="CatchAllDataLabel" ma:web="7d8dd676-26ca-4e08-b90f-b4e0026a58ac">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aec54597-794d-48fd-aaaa-4eaa50f4ff1d}" ma:internalName="TaxCatchAll" ma:showField="CatchAllData" ma:web="7d8dd676-26ca-4e08-b90f-b4e0026a58ac">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c7f89-361c-4da3-9eb1-c903ad39280a"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c6f653-1ec0-4368-b61c-4ecc36cd00bb" elementFormDefault="qualified">
    <xsd:import namespace="http://schemas.microsoft.com/office/2006/documentManagement/types"/>
    <xsd:import namespace="http://schemas.microsoft.com/office/infopath/2007/PartnerControls"/>
    <xsd:element name="Status" ma:index="30" nillable="true" ma:displayName="Status" ma:default="Final" ma:format="Dropdown" ma:internalName="Status">
      <xsd:simpleType>
        <xsd:restriction base="dms:Choice">
          <xsd:enumeration value="Final"/>
          <xsd:enumeration value="Draft"/>
        </xsd:restriction>
      </xsd:simpleType>
    </xsd:element>
    <xsd:element name="Uploaded" ma:index="31" nillable="true" ma:displayName="Uploaded" ma:default="0"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overPageProperties xmlns="http://schemas.microsoft.com/office/2006/coverPageProps">
  <PublishDate/>
  <Abstract/>
  <CompanyAddress/>
  <CompanyPhone/>
  <CompanyFax/>
  <CompanyEmail/>
</CoverPage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haredContentType xmlns="Microsoft.SharePoint.Taxonomy.ContentTypeSync" SourceId="29f62856-1543-49d4-a736-4569d363f533"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Status xmlns="4ac6f653-1ec0-4368-b61c-4ecc36cd00bb">Final</Status>
    <j747ac98061d40f0aa7bd47e1db5675d xmlns="4ffa91fb-a0ff-4ac5-b2db-65c790d184a4">
      <Terms xmlns="http://schemas.microsoft.com/office/infopath/2007/PartnerControls"/>
    </j747ac98061d40f0aa7bd47e1db5675d>
    <e3f09c3df709400db2417a7161762d62 xmlns="4ffa91fb-a0ff-4ac5-b2db-65c790d184a4">
      <Terms xmlns="http://schemas.microsoft.com/office/infopath/2007/PartnerControls"/>
    </e3f09c3df709400db2417a7161762d62>
    <External_x0020_Contributor xmlns="4ffa91fb-a0ff-4ac5-b2db-65c790d184a4" xsi:nil="true"/>
    <TaxKeywordTaxHTField xmlns="4ffa91fb-a0ff-4ac5-b2db-65c790d184a4">
      <Terms xmlns="http://schemas.microsoft.com/office/infopath/2007/PartnerControls"/>
    </TaxKeywordTaxHTField>
    <Uploaded xmlns="4ac6f653-1ec0-4368-b61c-4ecc36cd00bb">false</Uploaded>
    <Record xmlns="4ffa91fb-a0ff-4ac5-b2db-65c790d184a4">Shared</Record>
    <Rights xmlns="4ffa91fb-a0ff-4ac5-b2db-65c790d184a4" xsi:nil="true"/>
    <Document_x0020_Creation_x0020_Date xmlns="4ffa91fb-a0ff-4ac5-b2db-65c790d184a4">2015-08-03T04:00:00+00:00</Document_x0020_Creation_x0020_Date>
    <EPA_x0020_Office xmlns="4ffa91fb-a0ff-4ac5-b2db-65c790d184a4">OAR-OAP</EPA_x0020_Office>
    <CategoryDescription xmlns="http://schemas.microsoft.com/sharepoint.v3" xsi:nil="true"/>
    <Identifier xmlns="4ffa91fb-a0ff-4ac5-b2db-65c790d184a4" xsi:nil="true"/>
    <_Coverage xmlns="http://schemas.microsoft.com/sharepoint/v3/fields" xsi:nil="true"/>
    <Creator xmlns="4ffa91fb-a0ff-4ac5-b2db-65c790d184a4">
      <UserInfo>
        <DisplayName>Friedman, Kristina</DisplayName>
        <AccountId>1903</AccountId>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documentManagement>
</p:properties>
</file>

<file path=customXml/itemProps1.xml><?xml version="1.0" encoding="utf-8"?>
<ds:datastoreItem xmlns:ds="http://schemas.openxmlformats.org/officeDocument/2006/customXml" ds:itemID="{5467C55E-EA02-4393-B5B3-4C89DDA91C83}"/>
</file>

<file path=customXml/itemProps2.xml><?xml version="1.0" encoding="utf-8"?>
<ds:datastoreItem xmlns:ds="http://schemas.openxmlformats.org/officeDocument/2006/customXml" ds:itemID="{E52652F8-6AB3-4718-99A1-7E2354ABC4C6}"/>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0327E0B4-FF4F-414A-9A32-C432174EF13B}"/>
</file>

<file path=customXml/itemProps5.xml><?xml version="1.0" encoding="utf-8"?>
<ds:datastoreItem xmlns:ds="http://schemas.openxmlformats.org/officeDocument/2006/customXml" ds:itemID="{841A8890-66DB-49DE-A2A7-02714696D326}"/>
</file>

<file path=customXml/itemProps6.xml><?xml version="1.0" encoding="utf-8"?>
<ds:datastoreItem xmlns:ds="http://schemas.openxmlformats.org/officeDocument/2006/customXml" ds:itemID="{834420C8-77C4-4683-8BF1-1664C3EAF1EF}"/>
</file>

<file path=docProps/app.xml><?xml version="1.0" encoding="utf-8"?>
<Properties xmlns="http://schemas.openxmlformats.org/officeDocument/2006/extended-properties" xmlns:vt="http://schemas.openxmlformats.org/officeDocument/2006/docPropsVTypes">
  <Template>Normal.dotm</Template>
  <TotalTime>6</TotalTime>
  <Pages>105</Pages>
  <Words>31228</Words>
  <Characters>178003</Characters>
  <Application>Microsoft Office Word</Application>
  <DocSecurity>0</DocSecurity>
  <Lines>1483</Lines>
  <Paragraphs>417</Paragraphs>
  <ScaleCrop>false</ScaleCrop>
  <HeadingPairs>
    <vt:vector size="2" baseType="variant">
      <vt:variant>
        <vt:lpstr>Title</vt:lpstr>
      </vt:variant>
      <vt:variant>
        <vt:i4>1</vt:i4>
      </vt:variant>
    </vt:vector>
  </HeadingPairs>
  <TitlesOfParts>
    <vt:vector size="1" baseType="lpstr">
      <vt:lpstr/>
    </vt:vector>
  </TitlesOfParts>
  <Company>Eastern Research Group, Inc.</Company>
  <LinksUpToDate>false</LinksUpToDate>
  <CharactersWithSpaces>208814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Demand-Side Energy Efficiency TSD final</dc:title>
  <dc:creator>Courtney Myers</dc:creator>
  <cp:keywords/>
  <cp:lastModifiedBy>Friedman, Kristina</cp:lastModifiedBy>
  <cp:revision>3</cp:revision>
  <cp:lastPrinted>2015-07-28T20:55:00Z</cp:lastPrinted>
  <dcterms:created xsi:type="dcterms:W3CDTF">2015-07-31T14:47:00Z</dcterms:created>
  <dcterms:modified xsi:type="dcterms:W3CDTF">2015-08-03T23:51:00Z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0x010100510F8BBD51855A4A99A6A45DD1F00FCD</vt:lpwstr>
  </property>
  <property fmtid="{D5CDD505-2E9C-101B-9397-08002B2CF9AE}" pid="3" name="TaxKeyword">
    <vt:lpwstr/>
  </property>
  <property fmtid="{D5CDD505-2E9C-101B-9397-08002B2CF9AE}" pid="4" name="Document Type">
    <vt:lpwstr/>
  </property>
  <property fmtid="{D5CDD505-2E9C-101B-9397-08002B2CF9AE}" pid="5" name="EPA Subject">
    <vt:lpwstr/>
  </property>
</Properties>
</file>