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4413320A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F16C87">
        <w:rPr>
          <w:rFonts w:cstheme="minorHAnsi"/>
          <w:sz w:val="24"/>
          <w:szCs w:val="24"/>
        </w:rPr>
        <w:t>August 12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F16C87">
        <w:rPr>
          <w:rFonts w:cstheme="minorHAnsi"/>
          <w:sz w:val="24"/>
          <w:szCs w:val="24"/>
        </w:rPr>
        <w:t>ODEQ</w:t>
      </w:r>
      <w:r w:rsidR="00847268">
        <w:rPr>
          <w:rFonts w:cstheme="minorHAnsi"/>
          <w:sz w:val="24"/>
          <w:szCs w:val="24"/>
        </w:rPr>
        <w:t xml:space="preserve"> 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9D0343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6D00932E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67A11">
        <w:rPr>
          <w:rFonts w:cstheme="minorHAnsi"/>
          <w:sz w:val="24"/>
          <w:szCs w:val="24"/>
        </w:rPr>
        <w:t xml:space="preserve">conference 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F16C87">
        <w:rPr>
          <w:rFonts w:cstheme="minorHAnsi"/>
          <w:sz w:val="24"/>
          <w:szCs w:val="24"/>
        </w:rPr>
        <w:t>ODEQ</w:t>
      </w:r>
      <w:r w:rsidR="001B0E59">
        <w:rPr>
          <w:rFonts w:cstheme="minorHAnsi"/>
          <w:sz w:val="24"/>
          <w:szCs w:val="24"/>
        </w:rPr>
        <w:t xml:space="preserve"> </w:t>
      </w:r>
      <w:r w:rsidR="001D0DC7" w:rsidRPr="001D0DC7">
        <w:rPr>
          <w:rFonts w:cstheme="minorHAnsi"/>
          <w:sz w:val="24"/>
          <w:szCs w:val="24"/>
        </w:rPr>
        <w:t>and the a</w:t>
      </w:r>
      <w:r w:rsidR="00F16C87">
        <w:rPr>
          <w:rFonts w:cstheme="minorHAnsi"/>
          <w:sz w:val="24"/>
          <w:szCs w:val="24"/>
        </w:rPr>
        <w:t>ttendee</w:t>
      </w:r>
      <w:r w:rsidR="009D0343">
        <w:rPr>
          <w:rFonts w:cstheme="minorHAnsi"/>
          <w:sz w:val="24"/>
          <w:szCs w:val="24"/>
        </w:rPr>
        <w:t xml:space="preserve"> listed below on August</w:t>
      </w:r>
      <w:bookmarkStart w:id="0" w:name="_GoBack"/>
      <w:bookmarkEnd w:id="0"/>
      <w:r w:rsidR="00847268">
        <w:rPr>
          <w:rFonts w:cstheme="minorHAnsi"/>
          <w:sz w:val="24"/>
          <w:szCs w:val="24"/>
        </w:rPr>
        <w:t xml:space="preserve"> </w:t>
      </w:r>
      <w:r w:rsidR="00B80F3B">
        <w:rPr>
          <w:rFonts w:cstheme="minorHAnsi"/>
          <w:sz w:val="24"/>
          <w:szCs w:val="24"/>
        </w:rPr>
        <w:t>1</w:t>
      </w:r>
      <w:r w:rsidR="009D0343">
        <w:rPr>
          <w:rFonts w:cstheme="minorHAnsi"/>
          <w:sz w:val="24"/>
          <w:szCs w:val="24"/>
        </w:rPr>
        <w:t>2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754DDD5F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F16C87">
        <w:rPr>
          <w:rFonts w:ascii="Calibri" w:eastAsia="Times New Roman" w:hAnsi="Calibri" w:cs="Calibri"/>
          <w:color w:val="000000"/>
          <w:sz w:val="24"/>
          <w:szCs w:val="24"/>
        </w:rPr>
        <w:t>Eddie Terrill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15867801" w14:textId="49BBD11A" w:rsidR="00F16C87" w:rsidRPr="00F16C87" w:rsidRDefault="00C67A66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E3149E" w:rsidRPr="001B0E59">
        <w:rPr>
          <w:rFonts w:cstheme="minorHAnsi"/>
          <w:sz w:val="24"/>
          <w:szCs w:val="24"/>
        </w:rPr>
        <w:t>s:</w:t>
      </w:r>
      <w:r w:rsidR="00E3149E" w:rsidRPr="001B0E59">
        <w:rPr>
          <w:rFonts w:cstheme="minorHAnsi"/>
          <w:sz w:val="24"/>
          <w:szCs w:val="24"/>
        </w:rPr>
        <w:tab/>
      </w:r>
      <w:r w:rsidR="00F16C87" w:rsidRPr="00F16C87">
        <w:rPr>
          <w:rFonts w:ascii="Calibri" w:eastAsia="Times New Roman" w:hAnsi="Calibri" w:cs="Calibri"/>
          <w:color w:val="000000"/>
          <w:sz w:val="24"/>
          <w:szCs w:val="24"/>
        </w:rPr>
        <w:t>Terry Johnson, Clovis Steib, and Rob Lawrence (Region 6) and Kevin Callaghan (OAR)</w:t>
      </w: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B0E59"/>
    <w:rsid w:val="001D0DC7"/>
    <w:rsid w:val="00246201"/>
    <w:rsid w:val="00322EA8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9D0343"/>
    <w:rsid w:val="00B13F68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c902b00-8ed9-4c44-998d-ce2b186100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2014-11-21T18:11:00Z</dcterms:created>
  <dcterms:modified xsi:type="dcterms:W3CDTF">2014-11-21T18:18:00Z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