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2129" w14:textId="77777777" w:rsidR="00566DD2" w:rsidRPr="00566DD2" w:rsidRDefault="00566DD2" w:rsidP="00566DD2">
      <w:pPr>
        <w:rPr>
          <w:rFonts w:asciiTheme="minorHAnsi" w:hAnsiTheme="minorHAnsi" w:cstheme="minorHAnsi"/>
          <w:color w:val="1F497D"/>
          <w:sz w:val="22"/>
          <w:szCs w:val="22"/>
        </w:rPr>
      </w:pPr>
    </w:p>
    <w:p w14:paraId="4601EFE5" w14:textId="77777777" w:rsidR="00566DD2" w:rsidRPr="001237D3"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MEMORANDUM</w:t>
      </w:r>
    </w:p>
    <w:p w14:paraId="535D0167" w14:textId="77777777" w:rsidR="00566DD2" w:rsidRPr="001237D3" w:rsidRDefault="00566DD2" w:rsidP="00566DD2">
      <w:pPr>
        <w:rPr>
          <w:rFonts w:asciiTheme="minorHAnsi" w:hAnsiTheme="minorHAnsi" w:cstheme="minorHAnsi"/>
          <w:sz w:val="22"/>
          <w:szCs w:val="22"/>
        </w:rPr>
      </w:pPr>
    </w:p>
    <w:p w14:paraId="03BC863D" w14:textId="109E2370"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Date:</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2F2343">
        <w:rPr>
          <w:rFonts w:asciiTheme="minorHAnsi" w:hAnsiTheme="minorHAnsi" w:cstheme="minorHAnsi"/>
          <w:b/>
          <w:bCs/>
          <w:caps/>
          <w:sz w:val="22"/>
          <w:szCs w:val="22"/>
        </w:rPr>
        <w:tab/>
      </w:r>
      <w:r w:rsidR="0076274F">
        <w:rPr>
          <w:rFonts w:asciiTheme="minorHAnsi" w:hAnsiTheme="minorHAnsi" w:cstheme="minorHAnsi"/>
          <w:sz w:val="22"/>
          <w:szCs w:val="22"/>
        </w:rPr>
        <w:t>08/28</w:t>
      </w:r>
      <w:r w:rsidR="001237D3" w:rsidRPr="001237D3">
        <w:rPr>
          <w:rFonts w:asciiTheme="minorHAnsi" w:hAnsiTheme="minorHAnsi" w:cstheme="minorHAnsi"/>
          <w:sz w:val="22"/>
          <w:szCs w:val="22"/>
        </w:rPr>
        <w:t>/2014</w:t>
      </w:r>
    </w:p>
    <w:p w14:paraId="48BAC6D5" w14:textId="63B5FCFE" w:rsidR="00566DD2" w:rsidRPr="001237D3" w:rsidRDefault="00566DD2" w:rsidP="009212C5">
      <w:pPr>
        <w:outlineLvl w:val="0"/>
        <w:rPr>
          <w:rFonts w:asciiTheme="minorHAnsi" w:hAnsiTheme="minorHAnsi" w:cstheme="minorHAnsi"/>
          <w:sz w:val="22"/>
          <w:szCs w:val="22"/>
        </w:rPr>
      </w:pPr>
      <w:r w:rsidRPr="001237D3">
        <w:rPr>
          <w:rFonts w:asciiTheme="minorHAnsi" w:hAnsiTheme="minorHAnsi" w:cstheme="minorHAnsi"/>
          <w:b/>
          <w:bCs/>
          <w:caps/>
          <w:sz w:val="22"/>
          <w:szCs w:val="22"/>
        </w:rPr>
        <w:t>From:</w:t>
      </w:r>
      <w:r w:rsidR="009212C5" w:rsidRPr="001237D3">
        <w:rPr>
          <w:rFonts w:asciiTheme="minorHAnsi" w:hAnsiTheme="minorHAnsi" w:cstheme="minorHAnsi"/>
          <w:sz w:val="22"/>
          <w:szCs w:val="22"/>
        </w:rPr>
        <w:t> </w:t>
      </w:r>
      <w:r w:rsidR="009212C5" w:rsidRPr="001237D3">
        <w:rPr>
          <w:rFonts w:asciiTheme="minorHAnsi" w:hAnsiTheme="minorHAnsi" w:cstheme="minorHAnsi"/>
          <w:sz w:val="22"/>
          <w:szCs w:val="22"/>
        </w:rPr>
        <w:tab/>
      </w:r>
      <w:r w:rsidR="009212C5" w:rsidRPr="001237D3">
        <w:rPr>
          <w:rFonts w:asciiTheme="minorHAnsi" w:hAnsiTheme="minorHAnsi" w:cstheme="minorHAnsi"/>
          <w:sz w:val="22"/>
          <w:szCs w:val="22"/>
        </w:rPr>
        <w:tab/>
      </w:r>
      <w:r w:rsidR="00831F2E">
        <w:rPr>
          <w:rFonts w:asciiTheme="minorHAnsi" w:hAnsiTheme="minorHAnsi" w:cstheme="minorHAnsi"/>
          <w:sz w:val="22"/>
          <w:szCs w:val="22"/>
        </w:rPr>
        <w:t>Laura Farris</w:t>
      </w:r>
      <w:r w:rsidR="001237D3" w:rsidRPr="001237D3">
        <w:rPr>
          <w:rFonts w:asciiTheme="minorHAnsi" w:hAnsiTheme="minorHAnsi" w:cstheme="minorHAnsi"/>
          <w:sz w:val="22"/>
          <w:szCs w:val="22"/>
        </w:rPr>
        <w:t>/EPA Region 8</w:t>
      </w:r>
    </w:p>
    <w:p w14:paraId="5B1C1DFA" w14:textId="402B8D2B"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To:</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2F2343">
        <w:rPr>
          <w:rFonts w:asciiTheme="minorHAnsi" w:hAnsiTheme="minorHAnsi" w:cstheme="minorHAnsi"/>
          <w:b/>
          <w:bCs/>
          <w:caps/>
          <w:sz w:val="22"/>
          <w:szCs w:val="22"/>
        </w:rPr>
        <w:tab/>
      </w:r>
      <w:r w:rsidR="009212C5" w:rsidRPr="001237D3">
        <w:rPr>
          <w:rFonts w:asciiTheme="minorHAnsi" w:hAnsiTheme="minorHAnsi" w:cstheme="minorHAnsi"/>
          <w:sz w:val="22"/>
          <w:szCs w:val="22"/>
        </w:rPr>
        <w:t>Clean</w:t>
      </w:r>
      <w:r w:rsidRPr="001237D3">
        <w:rPr>
          <w:rFonts w:asciiTheme="minorHAnsi" w:hAnsiTheme="minorHAnsi" w:cstheme="minorHAnsi"/>
          <w:sz w:val="22"/>
          <w:szCs w:val="22"/>
        </w:rPr>
        <w:t xml:space="preserve"> Power Plan for Existing Power Plants; Docket Id: OAR–2013-0602</w:t>
      </w:r>
    </w:p>
    <w:p w14:paraId="60B6E19A" w14:textId="35947B7B"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Subject:</w:t>
      </w:r>
      <w:r w:rsidR="00831F2E" w:rsidRPr="00831F2E">
        <w:rPr>
          <w:rFonts w:asciiTheme="minorHAnsi" w:hAnsiTheme="minorHAnsi" w:cstheme="minorHAnsi"/>
          <w:bCs/>
          <w:sz w:val="22"/>
          <w:szCs w:val="22"/>
        </w:rPr>
        <w:tab/>
      </w:r>
      <w:r w:rsidR="002F2343">
        <w:rPr>
          <w:rFonts w:asciiTheme="minorHAnsi" w:hAnsiTheme="minorHAnsi" w:cstheme="minorHAnsi"/>
          <w:bCs/>
          <w:sz w:val="22"/>
          <w:szCs w:val="22"/>
        </w:rPr>
        <w:tab/>
      </w:r>
      <w:r w:rsidR="00483B8C">
        <w:rPr>
          <w:rFonts w:asciiTheme="minorHAnsi" w:hAnsiTheme="minorHAnsi" w:cstheme="minorHAnsi"/>
          <w:bCs/>
          <w:sz w:val="22"/>
          <w:szCs w:val="22"/>
        </w:rPr>
        <w:t xml:space="preserve">Clean Power Plan Discussion </w:t>
      </w:r>
      <w:r w:rsidR="002B0AD5">
        <w:rPr>
          <w:rFonts w:asciiTheme="minorHAnsi" w:hAnsiTheme="minorHAnsi" w:cstheme="minorHAnsi"/>
          <w:bCs/>
          <w:sz w:val="22"/>
          <w:szCs w:val="22"/>
        </w:rPr>
        <w:t xml:space="preserve">with the State of </w:t>
      </w:r>
      <w:r w:rsidR="0076274F">
        <w:rPr>
          <w:rFonts w:asciiTheme="minorHAnsi" w:hAnsiTheme="minorHAnsi" w:cstheme="minorHAnsi"/>
          <w:bCs/>
          <w:sz w:val="22"/>
          <w:szCs w:val="22"/>
        </w:rPr>
        <w:t>Utah</w:t>
      </w:r>
      <w:r w:rsidR="000608C4">
        <w:rPr>
          <w:rFonts w:asciiTheme="minorHAnsi" w:hAnsiTheme="minorHAnsi" w:cstheme="minorHAnsi"/>
          <w:bCs/>
          <w:sz w:val="22"/>
          <w:szCs w:val="22"/>
        </w:rPr>
        <w:t xml:space="preserve"> </w:t>
      </w:r>
      <w:r w:rsidR="002C1818">
        <w:rPr>
          <w:rFonts w:asciiTheme="minorHAnsi" w:hAnsiTheme="minorHAnsi" w:cstheme="minorHAnsi"/>
          <w:sz w:val="22"/>
          <w:szCs w:val="22"/>
        </w:rPr>
        <w:t>held on 08</w:t>
      </w:r>
      <w:r w:rsidR="00F47563">
        <w:rPr>
          <w:rFonts w:asciiTheme="minorHAnsi" w:hAnsiTheme="minorHAnsi" w:cstheme="minorHAnsi"/>
          <w:sz w:val="22"/>
          <w:szCs w:val="22"/>
        </w:rPr>
        <w:t>/</w:t>
      </w:r>
      <w:r w:rsidR="0076274F">
        <w:rPr>
          <w:rFonts w:asciiTheme="minorHAnsi" w:hAnsiTheme="minorHAnsi" w:cstheme="minorHAnsi"/>
          <w:sz w:val="22"/>
          <w:szCs w:val="22"/>
        </w:rPr>
        <w:t>2</w:t>
      </w:r>
      <w:r w:rsidR="002C1818">
        <w:rPr>
          <w:rFonts w:asciiTheme="minorHAnsi" w:hAnsiTheme="minorHAnsi" w:cstheme="minorHAnsi"/>
          <w:sz w:val="22"/>
          <w:szCs w:val="22"/>
        </w:rPr>
        <w:t>8</w:t>
      </w:r>
      <w:r w:rsidR="001237D3" w:rsidRPr="001237D3">
        <w:rPr>
          <w:rFonts w:asciiTheme="minorHAnsi" w:hAnsiTheme="minorHAnsi" w:cstheme="minorHAnsi"/>
          <w:sz w:val="22"/>
          <w:szCs w:val="22"/>
        </w:rPr>
        <w:t>/2014</w:t>
      </w:r>
    </w:p>
    <w:p w14:paraId="62F9AC5B" w14:textId="77777777" w:rsidR="00566DD2" w:rsidRPr="001237D3" w:rsidRDefault="00566DD2" w:rsidP="00566DD2">
      <w:pPr>
        <w:rPr>
          <w:rFonts w:asciiTheme="minorHAnsi" w:hAnsiTheme="minorHAnsi" w:cstheme="minorHAnsi"/>
          <w:sz w:val="22"/>
          <w:szCs w:val="22"/>
        </w:rPr>
      </w:pPr>
    </w:p>
    <w:p w14:paraId="1F560FFA" w14:textId="40B603BB"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u w:val="single"/>
        </w:rPr>
        <w:t>Summary</w:t>
      </w:r>
      <w:r w:rsidRPr="001237D3">
        <w:rPr>
          <w:rFonts w:asciiTheme="minorHAnsi" w:hAnsiTheme="minorHAnsi" w:cstheme="minorHAnsi"/>
          <w:b/>
          <w:bCs/>
          <w:caps/>
          <w:sz w:val="22"/>
          <w:szCs w:val="22"/>
        </w:rPr>
        <w:t xml:space="preserve">  </w:t>
      </w:r>
    </w:p>
    <w:p w14:paraId="47682DC9" w14:textId="68F635AF" w:rsidR="00566DD2" w:rsidRPr="001237D3" w:rsidRDefault="002B0AD5" w:rsidP="00566DD2">
      <w:pPr>
        <w:rPr>
          <w:rFonts w:asciiTheme="minorHAnsi" w:hAnsiTheme="minorHAnsi" w:cstheme="minorHAnsi"/>
          <w:sz w:val="22"/>
          <w:szCs w:val="22"/>
        </w:rPr>
      </w:pPr>
      <w:r>
        <w:rPr>
          <w:rFonts w:asciiTheme="minorHAnsi" w:hAnsiTheme="minorHAnsi" w:cstheme="minorHAnsi"/>
          <w:sz w:val="22"/>
          <w:szCs w:val="22"/>
        </w:rPr>
        <w:t xml:space="preserve">EPA Headquarters and Region 8 staff discussed </w:t>
      </w:r>
      <w:r w:rsidR="00DC62D4">
        <w:rPr>
          <w:rFonts w:asciiTheme="minorHAnsi" w:hAnsiTheme="minorHAnsi" w:cstheme="minorHAnsi"/>
          <w:sz w:val="22"/>
          <w:szCs w:val="22"/>
        </w:rPr>
        <w:t xml:space="preserve">various questions regarding </w:t>
      </w:r>
      <w:r>
        <w:rPr>
          <w:rFonts w:asciiTheme="minorHAnsi" w:hAnsiTheme="minorHAnsi" w:cstheme="minorHAnsi"/>
          <w:sz w:val="22"/>
          <w:szCs w:val="22"/>
        </w:rPr>
        <w:t xml:space="preserve">the </w:t>
      </w:r>
      <w:r w:rsidR="009212C5" w:rsidRPr="001237D3">
        <w:rPr>
          <w:rFonts w:asciiTheme="minorHAnsi" w:hAnsiTheme="minorHAnsi" w:cstheme="minorHAnsi"/>
          <w:sz w:val="22"/>
          <w:szCs w:val="22"/>
        </w:rPr>
        <w:t>proposed Clean</w:t>
      </w:r>
      <w:r w:rsidR="00566DD2" w:rsidRPr="001237D3">
        <w:rPr>
          <w:rFonts w:asciiTheme="minorHAnsi" w:hAnsiTheme="minorHAnsi" w:cstheme="minorHAnsi"/>
          <w:sz w:val="22"/>
          <w:szCs w:val="22"/>
        </w:rPr>
        <w:t xml:space="preserve"> Power Plan for E</w:t>
      </w:r>
      <w:r w:rsidR="009212C5" w:rsidRPr="001237D3">
        <w:rPr>
          <w:rFonts w:asciiTheme="minorHAnsi" w:hAnsiTheme="minorHAnsi" w:cstheme="minorHAnsi"/>
          <w:sz w:val="22"/>
          <w:szCs w:val="22"/>
        </w:rPr>
        <w:t>xisting Power Plants</w:t>
      </w:r>
      <w:r w:rsidR="00C22E85">
        <w:rPr>
          <w:rFonts w:asciiTheme="minorHAnsi" w:hAnsiTheme="minorHAnsi" w:cstheme="minorHAnsi"/>
          <w:sz w:val="22"/>
          <w:szCs w:val="22"/>
        </w:rPr>
        <w:t xml:space="preserve"> </w:t>
      </w:r>
      <w:r w:rsidR="002C1818">
        <w:rPr>
          <w:rFonts w:asciiTheme="minorHAnsi" w:hAnsiTheme="minorHAnsi" w:cstheme="minorHAnsi"/>
          <w:sz w:val="22"/>
          <w:szCs w:val="22"/>
        </w:rPr>
        <w:t xml:space="preserve">with the State of </w:t>
      </w:r>
      <w:r w:rsidR="0029459C">
        <w:rPr>
          <w:rFonts w:asciiTheme="minorHAnsi" w:hAnsiTheme="minorHAnsi" w:cstheme="minorHAnsi"/>
          <w:sz w:val="22"/>
          <w:szCs w:val="22"/>
        </w:rPr>
        <w:t>Utah</w:t>
      </w:r>
      <w:bookmarkStart w:id="0" w:name="_GoBack"/>
      <w:bookmarkEnd w:id="0"/>
      <w:r w:rsidR="002C1818">
        <w:rPr>
          <w:rFonts w:asciiTheme="minorHAnsi" w:hAnsiTheme="minorHAnsi" w:cstheme="minorHAnsi"/>
          <w:sz w:val="22"/>
          <w:szCs w:val="22"/>
        </w:rPr>
        <w:t xml:space="preserve"> </w:t>
      </w:r>
      <w:r w:rsidR="007D4834">
        <w:rPr>
          <w:rFonts w:asciiTheme="minorHAnsi" w:hAnsiTheme="minorHAnsi" w:cstheme="minorHAnsi"/>
          <w:sz w:val="22"/>
          <w:szCs w:val="22"/>
        </w:rPr>
        <w:t xml:space="preserve">on </w:t>
      </w:r>
      <w:r w:rsidR="002C1818">
        <w:rPr>
          <w:rFonts w:asciiTheme="minorHAnsi" w:hAnsiTheme="minorHAnsi" w:cstheme="minorHAnsi"/>
          <w:sz w:val="22"/>
          <w:szCs w:val="22"/>
        </w:rPr>
        <w:t>08</w:t>
      </w:r>
      <w:r w:rsidR="00F47563">
        <w:rPr>
          <w:rFonts w:asciiTheme="minorHAnsi" w:hAnsiTheme="minorHAnsi" w:cstheme="minorHAnsi"/>
          <w:sz w:val="22"/>
          <w:szCs w:val="22"/>
        </w:rPr>
        <w:t>/</w:t>
      </w:r>
      <w:r w:rsidR="008B1329">
        <w:rPr>
          <w:rFonts w:asciiTheme="minorHAnsi" w:hAnsiTheme="minorHAnsi" w:cstheme="minorHAnsi"/>
          <w:sz w:val="22"/>
          <w:szCs w:val="22"/>
        </w:rPr>
        <w:t>2</w:t>
      </w:r>
      <w:r w:rsidR="002C1818">
        <w:rPr>
          <w:rFonts w:asciiTheme="minorHAnsi" w:hAnsiTheme="minorHAnsi" w:cstheme="minorHAnsi"/>
          <w:sz w:val="22"/>
          <w:szCs w:val="22"/>
        </w:rPr>
        <w:t>8</w:t>
      </w:r>
      <w:r w:rsidR="00C22E85" w:rsidRPr="001237D3">
        <w:rPr>
          <w:rFonts w:asciiTheme="minorHAnsi" w:hAnsiTheme="minorHAnsi" w:cstheme="minorHAnsi"/>
          <w:sz w:val="22"/>
          <w:szCs w:val="22"/>
        </w:rPr>
        <w:t>/2014</w:t>
      </w:r>
      <w:r w:rsidR="00C22E85">
        <w:rPr>
          <w:rFonts w:asciiTheme="minorHAnsi" w:hAnsiTheme="minorHAnsi" w:cstheme="minorHAnsi"/>
          <w:sz w:val="22"/>
          <w:szCs w:val="22"/>
        </w:rPr>
        <w:t xml:space="preserve">. </w:t>
      </w:r>
      <w:r w:rsidR="009212C5" w:rsidRPr="001237D3">
        <w:rPr>
          <w:rFonts w:asciiTheme="minorHAnsi" w:hAnsiTheme="minorHAnsi" w:cstheme="minorHAnsi"/>
          <w:sz w:val="22"/>
          <w:szCs w:val="22"/>
        </w:rPr>
        <w:t>The Clean</w:t>
      </w:r>
      <w:r w:rsidR="00566DD2" w:rsidRPr="001237D3">
        <w:rPr>
          <w:rFonts w:asciiTheme="minorHAnsi" w:hAnsiTheme="minorHAnsi" w:cstheme="minorHAnsi"/>
          <w:sz w:val="22"/>
          <w:szCs w:val="22"/>
        </w:rPr>
        <w:t xml:space="preserve"> Power Plan for Existing Power Plants was proposed on June 2, 2014.</w:t>
      </w:r>
    </w:p>
    <w:p w14:paraId="02B1468C" w14:textId="77777777" w:rsidR="00566DD2" w:rsidRPr="001237D3" w:rsidRDefault="00566DD2" w:rsidP="00566DD2">
      <w:pPr>
        <w:rPr>
          <w:rFonts w:asciiTheme="minorHAnsi" w:hAnsiTheme="minorHAnsi" w:cstheme="minorHAnsi"/>
          <w:sz w:val="22"/>
          <w:szCs w:val="22"/>
        </w:rPr>
      </w:pPr>
    </w:p>
    <w:p w14:paraId="65EC2A1F" w14:textId="790ACA61" w:rsidR="00566DD2" w:rsidRPr="00BE66F5" w:rsidRDefault="00BE66F5" w:rsidP="00566DD2">
      <w:pPr>
        <w:rPr>
          <w:rFonts w:asciiTheme="minorHAnsi" w:hAnsiTheme="minorHAnsi" w:cstheme="minorHAnsi"/>
          <w:b/>
          <w:bCs/>
          <w:caps/>
          <w:sz w:val="22"/>
          <w:szCs w:val="22"/>
          <w:u w:val="single"/>
        </w:rPr>
      </w:pPr>
      <w:r>
        <w:rPr>
          <w:rFonts w:asciiTheme="minorHAnsi" w:hAnsiTheme="minorHAnsi" w:cstheme="minorHAnsi"/>
          <w:b/>
          <w:bCs/>
          <w:caps/>
          <w:sz w:val="22"/>
          <w:szCs w:val="22"/>
          <w:u w:val="single"/>
        </w:rPr>
        <w:t>Attendees</w:t>
      </w:r>
    </w:p>
    <w:p w14:paraId="391CE721" w14:textId="582ECDCA" w:rsidR="00F846F6" w:rsidRDefault="00F846F6" w:rsidP="00566DD2">
      <w:pPr>
        <w:rPr>
          <w:rFonts w:asciiTheme="minorHAnsi" w:hAnsiTheme="minorHAnsi" w:cstheme="minorHAnsi"/>
          <w:sz w:val="22"/>
          <w:szCs w:val="22"/>
        </w:rPr>
      </w:pPr>
      <w:r>
        <w:rPr>
          <w:rFonts w:asciiTheme="minorHAnsi" w:hAnsiTheme="minorHAnsi" w:cstheme="minorHAnsi"/>
          <w:sz w:val="22"/>
          <w:szCs w:val="22"/>
        </w:rPr>
        <w:t xml:space="preserve">EPA </w:t>
      </w:r>
      <w:r w:rsidRPr="00F846F6">
        <w:rPr>
          <w:rFonts w:asciiTheme="minorHAnsi" w:hAnsiTheme="minorHAnsi" w:cstheme="minorHAnsi"/>
          <w:sz w:val="22"/>
          <w:szCs w:val="22"/>
        </w:rPr>
        <w:t>HQ:  Brian Fisher,</w:t>
      </w:r>
      <w:r w:rsidR="002C1818">
        <w:rPr>
          <w:rFonts w:asciiTheme="minorHAnsi" w:hAnsiTheme="minorHAnsi" w:cstheme="minorHAnsi"/>
          <w:sz w:val="22"/>
          <w:szCs w:val="22"/>
        </w:rPr>
        <w:t xml:space="preserve"> David Solomon, </w:t>
      </w:r>
      <w:r>
        <w:rPr>
          <w:rFonts w:asciiTheme="minorHAnsi" w:hAnsiTheme="minorHAnsi" w:cstheme="minorHAnsi"/>
          <w:sz w:val="22"/>
          <w:szCs w:val="22"/>
        </w:rPr>
        <w:t>J</w:t>
      </w:r>
      <w:r w:rsidR="002C1818">
        <w:rPr>
          <w:rFonts w:asciiTheme="minorHAnsi" w:hAnsiTheme="minorHAnsi" w:cstheme="minorHAnsi"/>
          <w:sz w:val="22"/>
          <w:szCs w:val="22"/>
        </w:rPr>
        <w:t xml:space="preserve">eremy Mark, James Critchfield, Nick Swanson, </w:t>
      </w:r>
      <w:proofErr w:type="spellStart"/>
      <w:r w:rsidR="002C1818">
        <w:rPr>
          <w:rFonts w:asciiTheme="minorHAnsi" w:hAnsiTheme="minorHAnsi" w:cstheme="minorHAnsi"/>
          <w:sz w:val="22"/>
          <w:szCs w:val="22"/>
        </w:rPr>
        <w:t>Misha</w:t>
      </w:r>
      <w:proofErr w:type="spellEnd"/>
      <w:r w:rsidR="00BE66F5">
        <w:rPr>
          <w:rFonts w:asciiTheme="minorHAnsi" w:hAnsiTheme="minorHAnsi" w:cstheme="minorHAnsi"/>
          <w:sz w:val="22"/>
          <w:szCs w:val="22"/>
        </w:rPr>
        <w:t xml:space="preserve"> </w:t>
      </w:r>
      <w:proofErr w:type="spellStart"/>
      <w:r w:rsidR="00BE66F5">
        <w:rPr>
          <w:rFonts w:asciiTheme="minorHAnsi" w:hAnsiTheme="minorHAnsi" w:cstheme="minorHAnsi"/>
          <w:sz w:val="22"/>
          <w:szCs w:val="22"/>
        </w:rPr>
        <w:t>Vakoc</w:t>
      </w:r>
      <w:proofErr w:type="spellEnd"/>
      <w:r w:rsidR="00BE66F5">
        <w:rPr>
          <w:rFonts w:asciiTheme="minorHAnsi" w:hAnsiTheme="minorHAnsi" w:cstheme="minorHAnsi"/>
          <w:sz w:val="22"/>
          <w:szCs w:val="22"/>
        </w:rPr>
        <w:t xml:space="preserve">, Jim </w:t>
      </w:r>
      <w:proofErr w:type="spellStart"/>
      <w:r w:rsidR="00BE66F5">
        <w:rPr>
          <w:rFonts w:asciiTheme="minorHAnsi" w:hAnsiTheme="minorHAnsi" w:cstheme="minorHAnsi"/>
          <w:sz w:val="22"/>
          <w:szCs w:val="22"/>
        </w:rPr>
        <w:t>Ketcha</w:t>
      </w:r>
      <w:r w:rsidR="002C1818">
        <w:rPr>
          <w:rFonts w:asciiTheme="minorHAnsi" w:hAnsiTheme="minorHAnsi" w:cstheme="minorHAnsi"/>
          <w:sz w:val="22"/>
          <w:szCs w:val="22"/>
        </w:rPr>
        <w:t>m-C</w:t>
      </w:r>
      <w:r w:rsidR="00BE66F5">
        <w:rPr>
          <w:rFonts w:asciiTheme="minorHAnsi" w:hAnsiTheme="minorHAnsi" w:cstheme="minorHAnsi"/>
          <w:sz w:val="22"/>
          <w:szCs w:val="22"/>
        </w:rPr>
        <w:t>olwi</w:t>
      </w:r>
      <w:r w:rsidR="002C1818">
        <w:rPr>
          <w:rFonts w:asciiTheme="minorHAnsi" w:hAnsiTheme="minorHAnsi" w:cstheme="minorHAnsi"/>
          <w:sz w:val="22"/>
          <w:szCs w:val="22"/>
        </w:rPr>
        <w:t>ll</w:t>
      </w:r>
      <w:proofErr w:type="spellEnd"/>
      <w:r w:rsidR="002C1818">
        <w:rPr>
          <w:rFonts w:asciiTheme="minorHAnsi" w:hAnsiTheme="minorHAnsi" w:cstheme="minorHAnsi"/>
          <w:sz w:val="22"/>
          <w:szCs w:val="22"/>
        </w:rPr>
        <w:t xml:space="preserve">, </w:t>
      </w:r>
      <w:r>
        <w:rPr>
          <w:rFonts w:asciiTheme="minorHAnsi" w:hAnsiTheme="minorHAnsi" w:cstheme="minorHAnsi"/>
          <w:sz w:val="22"/>
          <w:szCs w:val="22"/>
        </w:rPr>
        <w:t>Jan Cortelyou</w:t>
      </w:r>
      <w:r w:rsidR="002C1818">
        <w:rPr>
          <w:rFonts w:asciiTheme="minorHAnsi" w:hAnsiTheme="minorHAnsi" w:cstheme="minorHAnsi"/>
          <w:sz w:val="22"/>
          <w:szCs w:val="22"/>
        </w:rPr>
        <w:t>, Erica Wilson, Matt Clouse</w:t>
      </w:r>
      <w:r w:rsidR="0076274F">
        <w:rPr>
          <w:rFonts w:asciiTheme="minorHAnsi" w:hAnsiTheme="minorHAnsi" w:cstheme="minorHAnsi"/>
          <w:sz w:val="22"/>
          <w:szCs w:val="22"/>
        </w:rPr>
        <w:t>, Beth Conlin, Joe Bryson, Gabrielle Stevens</w:t>
      </w:r>
      <w:r w:rsidR="00142D65">
        <w:rPr>
          <w:rFonts w:asciiTheme="minorHAnsi" w:hAnsiTheme="minorHAnsi" w:cstheme="minorHAnsi"/>
          <w:sz w:val="22"/>
          <w:szCs w:val="22"/>
        </w:rPr>
        <w:t>.</w:t>
      </w:r>
    </w:p>
    <w:p w14:paraId="19165651" w14:textId="7F49BC9F" w:rsidR="00F846F6" w:rsidRDefault="00F846F6" w:rsidP="00566DD2">
      <w:pPr>
        <w:rPr>
          <w:rFonts w:asciiTheme="minorHAnsi" w:hAnsiTheme="minorHAnsi" w:cstheme="minorHAnsi"/>
          <w:sz w:val="22"/>
          <w:szCs w:val="22"/>
        </w:rPr>
      </w:pPr>
      <w:r>
        <w:rPr>
          <w:rFonts w:asciiTheme="minorHAnsi" w:hAnsiTheme="minorHAnsi" w:cstheme="minorHAnsi"/>
          <w:sz w:val="22"/>
          <w:szCs w:val="22"/>
        </w:rPr>
        <w:t xml:space="preserve">EPA Region 8: </w:t>
      </w:r>
      <w:r w:rsidR="00142D65">
        <w:rPr>
          <w:rFonts w:asciiTheme="minorHAnsi" w:hAnsiTheme="minorHAnsi" w:cstheme="minorHAnsi"/>
          <w:sz w:val="22"/>
          <w:szCs w:val="22"/>
        </w:rPr>
        <w:t xml:space="preserve">Carl Daly and </w:t>
      </w:r>
      <w:r>
        <w:rPr>
          <w:rFonts w:asciiTheme="minorHAnsi" w:hAnsiTheme="minorHAnsi" w:cstheme="minorHAnsi"/>
          <w:sz w:val="22"/>
          <w:szCs w:val="22"/>
        </w:rPr>
        <w:t>Laura Farris</w:t>
      </w:r>
    </w:p>
    <w:p w14:paraId="08FA11C2" w14:textId="77777777" w:rsidR="00F846F6" w:rsidRDefault="00F846F6" w:rsidP="00566DD2">
      <w:pPr>
        <w:rPr>
          <w:rFonts w:asciiTheme="minorHAnsi" w:hAnsiTheme="minorHAnsi" w:cstheme="minorHAnsi"/>
          <w:sz w:val="22"/>
          <w:szCs w:val="22"/>
        </w:rPr>
      </w:pPr>
    </w:p>
    <w:p w14:paraId="6743F3AB" w14:textId="1A4CBC2A" w:rsidR="00F846F6" w:rsidRDefault="0076274F" w:rsidP="00566DD2">
      <w:pPr>
        <w:rPr>
          <w:rFonts w:asciiTheme="minorHAnsi" w:hAnsiTheme="minorHAnsi" w:cstheme="minorHAnsi"/>
          <w:sz w:val="22"/>
          <w:szCs w:val="22"/>
        </w:rPr>
      </w:pPr>
      <w:r>
        <w:rPr>
          <w:rFonts w:asciiTheme="minorHAnsi" w:hAnsiTheme="minorHAnsi" w:cstheme="minorHAnsi"/>
          <w:sz w:val="22"/>
          <w:szCs w:val="22"/>
        </w:rPr>
        <w:t>Utah</w:t>
      </w:r>
      <w:r w:rsidR="008B1329">
        <w:rPr>
          <w:rFonts w:asciiTheme="minorHAnsi" w:hAnsiTheme="minorHAnsi" w:cstheme="minorHAnsi"/>
          <w:sz w:val="22"/>
          <w:szCs w:val="22"/>
        </w:rPr>
        <w:t xml:space="preserve"> Office of Energy Development</w:t>
      </w:r>
      <w:r w:rsidR="00F846F6">
        <w:rPr>
          <w:rFonts w:asciiTheme="minorHAnsi" w:hAnsiTheme="minorHAnsi" w:cstheme="minorHAnsi"/>
          <w:sz w:val="22"/>
          <w:szCs w:val="22"/>
        </w:rPr>
        <w:t>:</w:t>
      </w:r>
      <w:r w:rsidR="008B1329">
        <w:rPr>
          <w:rFonts w:asciiTheme="minorHAnsi" w:hAnsiTheme="minorHAnsi" w:cstheme="minorHAnsi"/>
          <w:sz w:val="22"/>
          <w:szCs w:val="22"/>
        </w:rPr>
        <w:t xml:space="preserve"> Peter Ashcroft, Rob Simmons</w:t>
      </w:r>
      <w:r w:rsidR="00F846F6">
        <w:rPr>
          <w:rFonts w:asciiTheme="minorHAnsi" w:hAnsiTheme="minorHAnsi" w:cstheme="minorHAnsi"/>
          <w:sz w:val="22"/>
          <w:szCs w:val="22"/>
        </w:rPr>
        <w:t xml:space="preserve"> </w:t>
      </w:r>
    </w:p>
    <w:p w14:paraId="20E48762" w14:textId="7485E687" w:rsidR="007D4834" w:rsidRDefault="0076274F" w:rsidP="00566DD2">
      <w:pPr>
        <w:rPr>
          <w:rFonts w:asciiTheme="minorHAnsi" w:hAnsiTheme="minorHAnsi" w:cstheme="minorHAnsi"/>
          <w:sz w:val="22"/>
          <w:szCs w:val="22"/>
        </w:rPr>
      </w:pPr>
      <w:r>
        <w:rPr>
          <w:rFonts w:asciiTheme="minorHAnsi" w:hAnsiTheme="minorHAnsi" w:cstheme="minorHAnsi"/>
          <w:sz w:val="22"/>
          <w:szCs w:val="22"/>
        </w:rPr>
        <w:t xml:space="preserve">Utah </w:t>
      </w:r>
      <w:r w:rsidR="00F846F6">
        <w:rPr>
          <w:rFonts w:asciiTheme="minorHAnsi" w:hAnsiTheme="minorHAnsi" w:cstheme="minorHAnsi"/>
          <w:sz w:val="22"/>
          <w:szCs w:val="22"/>
        </w:rPr>
        <w:t xml:space="preserve">DEQ: </w:t>
      </w:r>
      <w:r w:rsidR="008B1329">
        <w:rPr>
          <w:rFonts w:asciiTheme="minorHAnsi" w:hAnsiTheme="minorHAnsi" w:cstheme="minorHAnsi"/>
          <w:sz w:val="22"/>
          <w:szCs w:val="22"/>
        </w:rPr>
        <w:t xml:space="preserve">Glade Sowards, Bryce Bird, Dave McNeil, Jeff Whitchurch, </w:t>
      </w:r>
      <w:proofErr w:type="gramStart"/>
      <w:r w:rsidR="008B1329">
        <w:rPr>
          <w:rFonts w:asciiTheme="minorHAnsi" w:hAnsiTheme="minorHAnsi" w:cstheme="minorHAnsi"/>
          <w:sz w:val="22"/>
          <w:szCs w:val="22"/>
        </w:rPr>
        <w:t>Colleen</w:t>
      </w:r>
      <w:proofErr w:type="gramEnd"/>
      <w:r w:rsidR="008B1329">
        <w:rPr>
          <w:rFonts w:asciiTheme="minorHAnsi" w:hAnsiTheme="minorHAnsi" w:cstheme="minorHAnsi"/>
          <w:sz w:val="22"/>
          <w:szCs w:val="22"/>
        </w:rPr>
        <w:t xml:space="preserve"> Delaney</w:t>
      </w:r>
    </w:p>
    <w:p w14:paraId="5D701273" w14:textId="77777777" w:rsidR="00F846F6" w:rsidRDefault="00F846F6" w:rsidP="00566DD2">
      <w:pPr>
        <w:rPr>
          <w:rFonts w:asciiTheme="minorHAnsi" w:hAnsiTheme="minorHAnsi" w:cstheme="minorHAnsi"/>
          <w:sz w:val="22"/>
          <w:szCs w:val="22"/>
        </w:rPr>
      </w:pPr>
    </w:p>
    <w:p w14:paraId="21BA02FD" w14:textId="5DA29DDF" w:rsidR="00BE66F5" w:rsidRPr="004A6F28" w:rsidRDefault="004A6F28" w:rsidP="00566DD2">
      <w:pPr>
        <w:rPr>
          <w:rFonts w:asciiTheme="minorHAnsi" w:hAnsiTheme="minorHAnsi" w:cstheme="minorHAnsi"/>
          <w:b/>
          <w:sz w:val="22"/>
          <w:szCs w:val="22"/>
          <w:u w:val="single"/>
        </w:rPr>
      </w:pPr>
      <w:r>
        <w:rPr>
          <w:rFonts w:asciiTheme="minorHAnsi" w:hAnsiTheme="minorHAnsi" w:cstheme="minorHAnsi"/>
          <w:b/>
          <w:sz w:val="22"/>
          <w:szCs w:val="22"/>
          <w:u w:val="single"/>
        </w:rPr>
        <w:t>Discussion Q</w:t>
      </w:r>
      <w:r w:rsidR="00BE66F5" w:rsidRPr="004A6F28">
        <w:rPr>
          <w:rFonts w:asciiTheme="minorHAnsi" w:hAnsiTheme="minorHAnsi" w:cstheme="minorHAnsi"/>
          <w:b/>
          <w:sz w:val="22"/>
          <w:szCs w:val="22"/>
          <w:u w:val="single"/>
        </w:rPr>
        <w:t>uestions</w:t>
      </w:r>
    </w:p>
    <w:p w14:paraId="7BDA1CFC" w14:textId="0579EF39" w:rsidR="0076274F" w:rsidRPr="008B1329" w:rsidRDefault="0076274F" w:rsidP="002F2343">
      <w:pPr>
        <w:pStyle w:val="ListParagraph"/>
        <w:numPr>
          <w:ilvl w:val="0"/>
          <w:numId w:val="7"/>
        </w:numPr>
        <w:ind w:left="0" w:firstLine="0"/>
      </w:pPr>
      <w:r w:rsidRPr="0076274F">
        <w:rPr>
          <w:color w:val="222222"/>
          <w:highlight w:val="white"/>
        </w:rPr>
        <w:t>Can EPA walk through the conversion from a rate-based to a mass-based standard, or provide the numbers?</w:t>
      </w:r>
    </w:p>
    <w:p w14:paraId="2E10EF27" w14:textId="079C7CDA" w:rsidR="0076274F" w:rsidRPr="008B1329" w:rsidRDefault="0076274F" w:rsidP="002F2343">
      <w:pPr>
        <w:pStyle w:val="ListParagraph"/>
        <w:numPr>
          <w:ilvl w:val="0"/>
          <w:numId w:val="7"/>
        </w:numPr>
        <w:ind w:left="0" w:firstLine="0"/>
      </w:pPr>
      <w:r w:rsidRPr="0076274F">
        <w:rPr>
          <w:color w:val="222222"/>
          <w:highlight w:val="white"/>
        </w:rPr>
        <w:t>If a state fails to meet its goals, what are the consequences?</w:t>
      </w:r>
    </w:p>
    <w:p w14:paraId="343BECD0" w14:textId="40E9A8A9" w:rsidR="0076274F" w:rsidRPr="008B1329" w:rsidRDefault="0076274F" w:rsidP="002F2343">
      <w:pPr>
        <w:pStyle w:val="ListParagraph"/>
        <w:numPr>
          <w:ilvl w:val="0"/>
          <w:numId w:val="7"/>
        </w:numPr>
        <w:ind w:left="0" w:firstLine="0"/>
      </w:pPr>
      <w:r w:rsidRPr="0076274F">
        <w:rPr>
          <w:color w:val="222222"/>
          <w:highlight w:val="white"/>
        </w:rPr>
        <w:t>Can EPA describe how the accounting for EE works?</w:t>
      </w:r>
    </w:p>
    <w:p w14:paraId="5634A8B2" w14:textId="723319E8" w:rsidR="0076274F" w:rsidRPr="008B1329" w:rsidRDefault="0076274F" w:rsidP="002F2343">
      <w:pPr>
        <w:pStyle w:val="ListParagraph"/>
        <w:numPr>
          <w:ilvl w:val="0"/>
          <w:numId w:val="7"/>
        </w:numPr>
        <w:ind w:left="0" w:firstLine="0"/>
      </w:pPr>
      <w:r w:rsidRPr="0076274F">
        <w:rPr>
          <w:color w:val="222222"/>
          <w:highlight w:val="white"/>
        </w:rPr>
        <w:t>Does EPA have any plans to work with other Feds on new transmission, RE, and natural gas pipeline siting issues; streamlining the NEPA process; and addressing the Sage Grouse issue regarding energy development? These are major issues related to RE development and the increased use of NGCCs.</w:t>
      </w:r>
    </w:p>
    <w:p w14:paraId="3C94C9FC" w14:textId="67FCD085" w:rsidR="0076274F" w:rsidRPr="008B1329" w:rsidRDefault="0076274F" w:rsidP="002F2343">
      <w:pPr>
        <w:pStyle w:val="ListParagraph"/>
        <w:numPr>
          <w:ilvl w:val="0"/>
          <w:numId w:val="7"/>
        </w:numPr>
        <w:ind w:left="0" w:firstLine="0"/>
      </w:pPr>
      <w:r w:rsidRPr="0076274F">
        <w:rPr>
          <w:color w:val="222222"/>
          <w:highlight w:val="white"/>
        </w:rPr>
        <w:t>Can EPA discuss what might be acceptable regarding multi-state plans? Do states still submit individual state plans? Can they include more than one multi-state program or initiative? What if one state drops out of the Plan during the review or compliance period?</w:t>
      </w:r>
    </w:p>
    <w:p w14:paraId="60EF3708" w14:textId="7EFA8A65" w:rsidR="0076274F" w:rsidRPr="008B1329" w:rsidRDefault="0076274F" w:rsidP="002F2343">
      <w:pPr>
        <w:pStyle w:val="ListParagraph"/>
        <w:numPr>
          <w:ilvl w:val="0"/>
          <w:numId w:val="7"/>
        </w:numPr>
        <w:ind w:left="0" w:firstLine="0"/>
      </w:pPr>
      <w:r w:rsidRPr="0076274F">
        <w:rPr>
          <w:color w:val="222222"/>
          <w:highlight w:val="white"/>
        </w:rPr>
        <w:t>Does a plant have to go through NSR when it is trying to achieve (heat rate improvements) HRIs?</w:t>
      </w:r>
    </w:p>
    <w:p w14:paraId="46817029" w14:textId="62F1E3C8" w:rsidR="0076274F" w:rsidRPr="008B1329" w:rsidRDefault="0076274F" w:rsidP="002F2343">
      <w:pPr>
        <w:pStyle w:val="ListParagraph"/>
        <w:numPr>
          <w:ilvl w:val="0"/>
          <w:numId w:val="7"/>
        </w:numPr>
        <w:ind w:left="0" w:firstLine="0"/>
      </w:pPr>
      <w:r w:rsidRPr="0076274F">
        <w:rPr>
          <w:color w:val="222222"/>
          <w:highlight w:val="white"/>
        </w:rPr>
        <w:t>Can EPA discuss the RE accounting mechanisms, both in goal setting and in compliance? Can the HRI's work the same way?</w:t>
      </w:r>
    </w:p>
    <w:p w14:paraId="0ED60843" w14:textId="40D0EFB4" w:rsidR="0076274F" w:rsidRPr="008B1329" w:rsidRDefault="0076274F" w:rsidP="002F2343">
      <w:pPr>
        <w:pStyle w:val="ListParagraph"/>
        <w:numPr>
          <w:ilvl w:val="0"/>
          <w:numId w:val="7"/>
        </w:numPr>
        <w:ind w:left="0" w:firstLine="0"/>
      </w:pPr>
      <w:r w:rsidRPr="0076274F">
        <w:rPr>
          <w:color w:val="222222"/>
          <w:highlight w:val="white"/>
        </w:rPr>
        <w:t xml:space="preserve">How do states </w:t>
      </w:r>
      <w:proofErr w:type="spellStart"/>
      <w:r w:rsidRPr="0076274F">
        <w:rPr>
          <w:color w:val="222222"/>
          <w:highlight w:val="white"/>
        </w:rPr>
        <w:t>redispatch</w:t>
      </w:r>
      <w:proofErr w:type="spellEnd"/>
      <w:r w:rsidRPr="0076274F">
        <w:rPr>
          <w:color w:val="222222"/>
          <w:highlight w:val="white"/>
        </w:rPr>
        <w:t xml:space="preserve"> to NGCC units located in non-attainment areas?</w:t>
      </w:r>
    </w:p>
    <w:p w14:paraId="746E34B9" w14:textId="5C02A611" w:rsidR="0076274F" w:rsidRPr="008B1329" w:rsidRDefault="0076274F" w:rsidP="002F2343">
      <w:pPr>
        <w:pStyle w:val="ListParagraph"/>
        <w:numPr>
          <w:ilvl w:val="0"/>
          <w:numId w:val="7"/>
        </w:numPr>
        <w:ind w:left="0" w:firstLine="0"/>
      </w:pPr>
      <w:r w:rsidRPr="0076274F">
        <w:rPr>
          <w:color w:val="222222"/>
          <w:highlight w:val="white"/>
        </w:rPr>
        <w:t xml:space="preserve">Will EPA correct errors in calculating interim and final targets for the proposed rule prior to issuing final rules?  What is the mechanism for correcting errors identified by states?  For example, the Lake Side 2 NGCC plant in Utah was mischaracterized as operational, but it was actually under construction and had no generation for 2012.  The plant began operating in June 2014.  As a result, the 2012 NGCC capacity factor was estimated to be 32% while the actual number should have been 48%.  Consequently, Utah’s interim (1,378 </w:t>
      </w:r>
      <w:proofErr w:type="spellStart"/>
      <w:r w:rsidRPr="0076274F">
        <w:rPr>
          <w:color w:val="222222"/>
          <w:highlight w:val="white"/>
        </w:rPr>
        <w:t>lbs</w:t>
      </w:r>
      <w:proofErr w:type="spellEnd"/>
      <w:r w:rsidRPr="0076274F">
        <w:rPr>
          <w:color w:val="222222"/>
          <w:highlight w:val="white"/>
        </w:rPr>
        <w:t>/</w:t>
      </w:r>
      <w:proofErr w:type="spellStart"/>
      <w:r w:rsidRPr="0076274F">
        <w:rPr>
          <w:color w:val="222222"/>
          <w:highlight w:val="white"/>
        </w:rPr>
        <w:t>MWh</w:t>
      </w:r>
      <w:proofErr w:type="spellEnd"/>
      <w:r w:rsidRPr="0076274F">
        <w:rPr>
          <w:color w:val="222222"/>
          <w:highlight w:val="white"/>
        </w:rPr>
        <w:t xml:space="preserve">) and final (1,322 </w:t>
      </w:r>
      <w:proofErr w:type="spellStart"/>
      <w:r w:rsidRPr="0076274F">
        <w:rPr>
          <w:color w:val="222222"/>
          <w:highlight w:val="white"/>
        </w:rPr>
        <w:t>lbs</w:t>
      </w:r>
      <w:proofErr w:type="spellEnd"/>
      <w:r w:rsidRPr="0076274F">
        <w:rPr>
          <w:color w:val="222222"/>
          <w:highlight w:val="white"/>
        </w:rPr>
        <w:t>/</w:t>
      </w:r>
      <w:proofErr w:type="spellStart"/>
      <w:r w:rsidRPr="0076274F">
        <w:rPr>
          <w:color w:val="222222"/>
          <w:highlight w:val="white"/>
        </w:rPr>
        <w:t>MWh</w:t>
      </w:r>
      <w:proofErr w:type="spellEnd"/>
      <w:r w:rsidRPr="0076274F">
        <w:rPr>
          <w:color w:val="222222"/>
          <w:highlight w:val="white"/>
        </w:rPr>
        <w:t xml:space="preserve">) goal rates were set too high.  Because the actual capacity factor of existing plants is much higher than originally estimated (again, 48% vs. 32%), there is less remaining headroom for </w:t>
      </w:r>
      <w:proofErr w:type="spellStart"/>
      <w:r w:rsidRPr="0076274F">
        <w:rPr>
          <w:color w:val="222222"/>
          <w:highlight w:val="white"/>
        </w:rPr>
        <w:t>redispatching</w:t>
      </w:r>
      <w:proofErr w:type="spellEnd"/>
      <w:r w:rsidRPr="0076274F">
        <w:rPr>
          <w:color w:val="222222"/>
          <w:highlight w:val="white"/>
        </w:rPr>
        <w:t xml:space="preserve"> natural gas to the 70% capacity factor targeted by EPA.  This error should be corrected and the interim and final goals should be adjusted to 1,422 </w:t>
      </w:r>
      <w:proofErr w:type="spellStart"/>
      <w:r w:rsidRPr="0076274F">
        <w:rPr>
          <w:color w:val="222222"/>
          <w:highlight w:val="white"/>
        </w:rPr>
        <w:t>lbs</w:t>
      </w:r>
      <w:proofErr w:type="spellEnd"/>
      <w:r w:rsidRPr="0076274F">
        <w:rPr>
          <w:color w:val="222222"/>
          <w:highlight w:val="white"/>
        </w:rPr>
        <w:t>/</w:t>
      </w:r>
      <w:proofErr w:type="spellStart"/>
      <w:r w:rsidRPr="0076274F">
        <w:rPr>
          <w:color w:val="222222"/>
          <w:highlight w:val="white"/>
        </w:rPr>
        <w:t>MWh</w:t>
      </w:r>
      <w:proofErr w:type="spellEnd"/>
      <w:r w:rsidRPr="0076274F">
        <w:rPr>
          <w:color w:val="222222"/>
          <w:highlight w:val="white"/>
        </w:rPr>
        <w:t xml:space="preserve"> and 1,369 </w:t>
      </w:r>
      <w:proofErr w:type="spellStart"/>
      <w:r w:rsidRPr="0076274F">
        <w:rPr>
          <w:color w:val="222222"/>
          <w:highlight w:val="white"/>
        </w:rPr>
        <w:t>lbs</w:t>
      </w:r>
      <w:proofErr w:type="spellEnd"/>
      <w:r w:rsidRPr="0076274F">
        <w:rPr>
          <w:color w:val="222222"/>
          <w:highlight w:val="white"/>
        </w:rPr>
        <w:t>/</w:t>
      </w:r>
      <w:proofErr w:type="spellStart"/>
      <w:r w:rsidRPr="0076274F">
        <w:rPr>
          <w:color w:val="222222"/>
          <w:highlight w:val="white"/>
        </w:rPr>
        <w:t>MWh</w:t>
      </w:r>
      <w:proofErr w:type="spellEnd"/>
      <w:r w:rsidRPr="0076274F">
        <w:rPr>
          <w:color w:val="222222"/>
          <w:highlight w:val="white"/>
        </w:rPr>
        <w:t>, respectively.</w:t>
      </w:r>
    </w:p>
    <w:p w14:paraId="17D5707B" w14:textId="18A234F7" w:rsidR="0076274F" w:rsidRPr="008B1329" w:rsidRDefault="0076274F" w:rsidP="002F2343">
      <w:pPr>
        <w:pStyle w:val="ListParagraph"/>
        <w:numPr>
          <w:ilvl w:val="0"/>
          <w:numId w:val="7"/>
        </w:numPr>
        <w:ind w:left="0" w:firstLine="0"/>
      </w:pPr>
      <w:r w:rsidRPr="0076274F">
        <w:rPr>
          <w:color w:val="222222"/>
          <w:highlight w:val="white"/>
        </w:rPr>
        <w:t xml:space="preserve">How will existing and future RE and other resources located inside Utah be treated if they were constructed to meet policy directives (e.g., RPS, EPS, cap and trade, etc.) in other states (e.g., existing </w:t>
      </w:r>
      <w:r w:rsidRPr="0076274F">
        <w:rPr>
          <w:color w:val="222222"/>
          <w:highlight w:val="white"/>
        </w:rPr>
        <w:lastRenderedPageBreak/>
        <w:t xml:space="preserve">Milford </w:t>
      </w:r>
      <w:proofErr w:type="spellStart"/>
      <w:r w:rsidRPr="0076274F">
        <w:rPr>
          <w:color w:val="222222"/>
          <w:highlight w:val="white"/>
        </w:rPr>
        <w:t>FirstWind</w:t>
      </w:r>
      <w:proofErr w:type="spellEnd"/>
      <w:r w:rsidRPr="0076274F">
        <w:rPr>
          <w:color w:val="222222"/>
          <w:highlight w:val="white"/>
        </w:rPr>
        <w:t xml:space="preserve"> Phases 1 and 2, future IPP conversion from coal to NGCC)?  If RE is included in Utah’s target, it should be available for compliance as well.</w:t>
      </w:r>
    </w:p>
    <w:p w14:paraId="72DDB095" w14:textId="610BDFBC" w:rsidR="0076274F" w:rsidRPr="008B1329" w:rsidRDefault="0076274F" w:rsidP="002F2343">
      <w:pPr>
        <w:pStyle w:val="ListParagraph"/>
        <w:numPr>
          <w:ilvl w:val="0"/>
          <w:numId w:val="7"/>
        </w:numPr>
        <w:ind w:left="0" w:firstLine="0"/>
      </w:pPr>
      <w:r w:rsidRPr="0076274F">
        <w:rPr>
          <w:color w:val="222222"/>
          <w:highlight w:val="white"/>
        </w:rPr>
        <w:t xml:space="preserve">How will new NGCC plants (and other fuels) be treated in the final calculations to determine whether states meet goals?  There have been mixed answers to this question in EPA-sponsored calls to-date.  It is considerably more difficult for a state like Utah with a 2030 goal in </w:t>
      </w:r>
      <w:proofErr w:type="spellStart"/>
      <w:r w:rsidRPr="0076274F">
        <w:rPr>
          <w:color w:val="222222"/>
          <w:highlight w:val="white"/>
        </w:rPr>
        <w:t>lbs</w:t>
      </w:r>
      <w:proofErr w:type="spellEnd"/>
      <w:r w:rsidRPr="0076274F">
        <w:rPr>
          <w:color w:val="222222"/>
          <w:highlight w:val="white"/>
        </w:rPr>
        <w:t>/</w:t>
      </w:r>
      <w:proofErr w:type="spellStart"/>
      <w:r w:rsidRPr="0076274F">
        <w:rPr>
          <w:color w:val="222222"/>
          <w:highlight w:val="white"/>
        </w:rPr>
        <w:t>MWh</w:t>
      </w:r>
      <w:proofErr w:type="spellEnd"/>
      <w:r w:rsidRPr="0076274F">
        <w:rPr>
          <w:color w:val="222222"/>
          <w:highlight w:val="white"/>
        </w:rPr>
        <w:t xml:space="preserve"> in excess of the emissions rate for a typical, new NGCC plant to achieve that goal via the four blocks alone.  Allowing new NGCC plants to count towards compliance provides more flexibility in meeting the proposed target.</w:t>
      </w:r>
    </w:p>
    <w:p w14:paraId="43C05158" w14:textId="33EEBAEB" w:rsidR="0076274F" w:rsidRPr="008B1329" w:rsidRDefault="0076274F" w:rsidP="002F2343">
      <w:pPr>
        <w:pStyle w:val="ListParagraph"/>
        <w:numPr>
          <w:ilvl w:val="0"/>
          <w:numId w:val="7"/>
        </w:numPr>
        <w:ind w:left="0" w:firstLine="0"/>
      </w:pPr>
      <w:r w:rsidRPr="0076274F">
        <w:rPr>
          <w:color w:val="222222"/>
          <w:highlight w:val="white"/>
        </w:rPr>
        <w:t xml:space="preserve">How do the proposed targets address load growth in fast-growing states like Utah?  For example, there may be limited opportunities to </w:t>
      </w:r>
      <w:proofErr w:type="spellStart"/>
      <w:r w:rsidRPr="0076274F">
        <w:rPr>
          <w:color w:val="222222"/>
          <w:highlight w:val="white"/>
        </w:rPr>
        <w:t>redispatch</w:t>
      </w:r>
      <w:proofErr w:type="spellEnd"/>
      <w:r w:rsidRPr="0076274F">
        <w:rPr>
          <w:color w:val="222222"/>
          <w:highlight w:val="white"/>
        </w:rPr>
        <w:t xml:space="preserve"> to NGCC when these plants were built to meet future load growth.  Similarly, in high-growth states, EE investments may not result in lower fossil generation, but may simply be helping to meet load growth.  Related:  Can high-load growth states realistically use a mass-based approach and, if so, how?</w:t>
      </w:r>
    </w:p>
    <w:p w14:paraId="43FD7F33" w14:textId="57CF7526" w:rsidR="0076274F" w:rsidRPr="0076274F" w:rsidRDefault="0076274F" w:rsidP="002F2343">
      <w:pPr>
        <w:pStyle w:val="ListParagraph"/>
        <w:numPr>
          <w:ilvl w:val="0"/>
          <w:numId w:val="7"/>
        </w:numPr>
        <w:ind w:left="0" w:firstLine="0"/>
      </w:pPr>
      <w:r w:rsidRPr="0076274F">
        <w:rPr>
          <w:color w:val="222222"/>
          <w:highlight w:val="white"/>
        </w:rPr>
        <w:t xml:space="preserve">The population and economy of Utah have consistently demonstrated strong growth, driving regional economic development and innovation. An emissions reduction plan must account for Utah’s growth, either through a rate-based approach, or through a mass-based approach that allows for economic growth. </w:t>
      </w:r>
    </w:p>
    <w:p w14:paraId="6F05A662" w14:textId="4CCE2059" w:rsidR="0076274F" w:rsidRPr="0076274F" w:rsidRDefault="0076274F" w:rsidP="002F2343">
      <w:pPr>
        <w:pStyle w:val="ListParagraph"/>
        <w:numPr>
          <w:ilvl w:val="0"/>
          <w:numId w:val="7"/>
        </w:numPr>
        <w:ind w:left="0" w:firstLine="0"/>
      </w:pPr>
      <w:r w:rsidRPr="0076274F">
        <w:rPr>
          <w:color w:val="222222"/>
          <w:highlight w:val="white"/>
        </w:rPr>
        <w:t xml:space="preserve">Utah’s coal-fired power plants are among the cleanest in the country. EPA’s rate-based final target for carbon dioxide emissions in Utah should be set so as to ensure the full life of Utah’s coal-fired power plants, rather than burdening ratepayers and the economy with premature decommissioning. Costs of existing coal plants should be recovered before retirement. Moreover, it doesn’t make sense (from an equity or emissions perspective) to sideline relatively clean Utah coal plants while allowing dirtier plants in other states to continue operation. </w:t>
      </w:r>
    </w:p>
    <w:p w14:paraId="46CCFC28" w14:textId="1ABBE59A" w:rsidR="0076274F" w:rsidRPr="0076274F" w:rsidRDefault="0076274F" w:rsidP="002F2343">
      <w:pPr>
        <w:pStyle w:val="ListParagraph"/>
        <w:numPr>
          <w:ilvl w:val="0"/>
          <w:numId w:val="7"/>
        </w:numPr>
        <w:ind w:left="0" w:firstLine="0"/>
      </w:pPr>
      <w:r w:rsidRPr="0076274F">
        <w:rPr>
          <w:color w:val="222222"/>
          <w:highlight w:val="white"/>
        </w:rPr>
        <w:t>EPA shouldn’t subject Utah power plants to conflicting regulatory requirements.  Regulatory requirements for other pollutants such as PM2.5 or ozone may constrain power plant operations. For example, EPA assumes that natural gas units will be operated at an average of 70 percent capacity, which may be incompatible with other Clean Air Act requirements and/or State Implementation Plans to reduce pollutants along the Wasatch Front.</w:t>
      </w:r>
    </w:p>
    <w:p w14:paraId="40F25C6E" w14:textId="356414AC" w:rsidR="0076274F" w:rsidRPr="0076274F" w:rsidRDefault="0076274F" w:rsidP="002F2343">
      <w:pPr>
        <w:pStyle w:val="ListParagraph"/>
        <w:numPr>
          <w:ilvl w:val="0"/>
          <w:numId w:val="7"/>
        </w:numPr>
        <w:ind w:left="0" w:firstLine="0"/>
      </w:pPr>
      <w:r w:rsidRPr="0076274F">
        <w:rPr>
          <w:color w:val="222222"/>
          <w:highlight w:val="white"/>
        </w:rPr>
        <w:t xml:space="preserve">The EPA timetable does not allow sufficient time for utility regulatory proceedings and legislative actions that may be necessary to develop and implement a state emissions reduction plan. </w:t>
      </w:r>
    </w:p>
    <w:p w14:paraId="2CD0AFE5" w14:textId="279B9227" w:rsidR="0076274F" w:rsidRPr="0076274F" w:rsidRDefault="0076274F" w:rsidP="002F2343">
      <w:pPr>
        <w:pStyle w:val="ListParagraph"/>
        <w:numPr>
          <w:ilvl w:val="0"/>
          <w:numId w:val="7"/>
        </w:numPr>
        <w:ind w:left="0" w:firstLine="0"/>
      </w:pPr>
      <w:r w:rsidRPr="0076274F">
        <w:rPr>
          <w:color w:val="222222"/>
          <w:highlight w:val="white"/>
        </w:rPr>
        <w:t>Requirements for energy efficiency or renewable energy may exceed the legal authority of state air quality regulators.</w:t>
      </w:r>
    </w:p>
    <w:p w14:paraId="5CF8A60D" w14:textId="77777777" w:rsidR="0076274F" w:rsidRPr="0076274F" w:rsidRDefault="0076274F" w:rsidP="002F2343">
      <w:pPr>
        <w:rPr>
          <w:sz w:val="22"/>
          <w:szCs w:val="22"/>
        </w:rPr>
      </w:pPr>
    </w:p>
    <w:p w14:paraId="4A0733F6" w14:textId="77777777" w:rsidR="0076274F" w:rsidRPr="0076274F" w:rsidRDefault="0076274F" w:rsidP="002F2343">
      <w:pPr>
        <w:rPr>
          <w:sz w:val="22"/>
          <w:szCs w:val="22"/>
        </w:rPr>
      </w:pPr>
    </w:p>
    <w:sectPr w:rsidR="0076274F" w:rsidRPr="0076274F"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40A9"/>
    <w:multiLevelType w:val="hybridMultilevel"/>
    <w:tmpl w:val="EA7E9988"/>
    <w:lvl w:ilvl="0" w:tplc="D36EC116">
      <w:start w:val="2012"/>
      <w:numFmt w:val="decimal"/>
      <w:lvlText w:val="%1"/>
      <w:lvlJc w:val="left"/>
      <w:pPr>
        <w:ind w:left="1212" w:hanging="432"/>
      </w:pPr>
      <w:rPr>
        <w:rFonts w:cs="Times New Roman"/>
        <w:color w:val="1F497D"/>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
    <w:nsid w:val="2F093661"/>
    <w:multiLevelType w:val="hybridMultilevel"/>
    <w:tmpl w:val="BD80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3A4C4C"/>
    <w:multiLevelType w:val="hybridMultilevel"/>
    <w:tmpl w:val="CE5E84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8160ACD"/>
    <w:multiLevelType w:val="hybridMultilevel"/>
    <w:tmpl w:val="2D3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E531D"/>
    <w:multiLevelType w:val="hybridMultilevel"/>
    <w:tmpl w:val="A694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0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36"/>
    <w:rsid w:val="00016D47"/>
    <w:rsid w:val="000608C4"/>
    <w:rsid w:val="00105AD4"/>
    <w:rsid w:val="0011341C"/>
    <w:rsid w:val="001237D3"/>
    <w:rsid w:val="00142D65"/>
    <w:rsid w:val="001871DC"/>
    <w:rsid w:val="001969DE"/>
    <w:rsid w:val="00196E75"/>
    <w:rsid w:val="00225A04"/>
    <w:rsid w:val="00272126"/>
    <w:rsid w:val="0029459C"/>
    <w:rsid w:val="002B0AD5"/>
    <w:rsid w:val="002C1818"/>
    <w:rsid w:val="002C2A34"/>
    <w:rsid w:val="002F2343"/>
    <w:rsid w:val="00326181"/>
    <w:rsid w:val="00363AC8"/>
    <w:rsid w:val="003B0207"/>
    <w:rsid w:val="003C0515"/>
    <w:rsid w:val="00483B8C"/>
    <w:rsid w:val="00484362"/>
    <w:rsid w:val="004A5A59"/>
    <w:rsid w:val="004A6F28"/>
    <w:rsid w:val="004E4A8D"/>
    <w:rsid w:val="00502205"/>
    <w:rsid w:val="00532A96"/>
    <w:rsid w:val="00560416"/>
    <w:rsid w:val="00566DD2"/>
    <w:rsid w:val="0057665A"/>
    <w:rsid w:val="00583D9D"/>
    <w:rsid w:val="00591AC9"/>
    <w:rsid w:val="005C66B0"/>
    <w:rsid w:val="006A3DC1"/>
    <w:rsid w:val="006C52E6"/>
    <w:rsid w:val="006F1432"/>
    <w:rsid w:val="007359A5"/>
    <w:rsid w:val="007563A6"/>
    <w:rsid w:val="0076274F"/>
    <w:rsid w:val="00774D9C"/>
    <w:rsid w:val="007D4834"/>
    <w:rsid w:val="00822B0C"/>
    <w:rsid w:val="00831F2E"/>
    <w:rsid w:val="008B1329"/>
    <w:rsid w:val="0090449F"/>
    <w:rsid w:val="009212C5"/>
    <w:rsid w:val="00954EB1"/>
    <w:rsid w:val="009E1E36"/>
    <w:rsid w:val="00A05E01"/>
    <w:rsid w:val="00A06DC0"/>
    <w:rsid w:val="00A15BDA"/>
    <w:rsid w:val="00A8712E"/>
    <w:rsid w:val="00AE3E92"/>
    <w:rsid w:val="00B14241"/>
    <w:rsid w:val="00BE0FE1"/>
    <w:rsid w:val="00BE1071"/>
    <w:rsid w:val="00BE66F5"/>
    <w:rsid w:val="00C22E85"/>
    <w:rsid w:val="00C23950"/>
    <w:rsid w:val="00C305FE"/>
    <w:rsid w:val="00C4578D"/>
    <w:rsid w:val="00CB0ADE"/>
    <w:rsid w:val="00D438BA"/>
    <w:rsid w:val="00D86EA1"/>
    <w:rsid w:val="00DC62D4"/>
    <w:rsid w:val="00E3658C"/>
    <w:rsid w:val="00F00BE9"/>
    <w:rsid w:val="00F10629"/>
    <w:rsid w:val="00F47563"/>
    <w:rsid w:val="00F8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566DD2"/>
    <w:pPr>
      <w:autoSpaceDE/>
      <w:autoSpaceDN/>
      <w:adjustRightInd/>
      <w:ind w:left="720"/>
    </w:pPr>
    <w:rPr>
      <w:rFonts w:ascii="Calibri" w:eastAsiaTheme="minorHAnsi" w:hAnsi="Calibri" w:cs="Calibri"/>
      <w:sz w:val="22"/>
      <w:szCs w:val="22"/>
    </w:rPr>
  </w:style>
  <w:style w:type="character" w:styleId="Hyperlink">
    <w:name w:val="Hyperlink"/>
    <w:uiPriority w:val="99"/>
    <w:unhideWhenUsed/>
    <w:rsid w:val="002C2A34"/>
    <w:rPr>
      <w:color w:val="0000FF"/>
      <w:u w:val="single"/>
    </w:rPr>
  </w:style>
  <w:style w:type="character" w:styleId="FollowedHyperlink">
    <w:name w:val="FollowedHyperlink"/>
    <w:basedOn w:val="DefaultParagraphFont"/>
    <w:uiPriority w:val="99"/>
    <w:semiHidden/>
    <w:unhideWhenUsed/>
    <w:rsid w:val="002C2A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566DD2"/>
    <w:pPr>
      <w:autoSpaceDE/>
      <w:autoSpaceDN/>
      <w:adjustRightInd/>
      <w:ind w:left="720"/>
    </w:pPr>
    <w:rPr>
      <w:rFonts w:ascii="Calibri" w:eastAsiaTheme="minorHAnsi" w:hAnsi="Calibri" w:cs="Calibri"/>
      <w:sz w:val="22"/>
      <w:szCs w:val="22"/>
    </w:rPr>
  </w:style>
  <w:style w:type="character" w:styleId="Hyperlink">
    <w:name w:val="Hyperlink"/>
    <w:uiPriority w:val="99"/>
    <w:unhideWhenUsed/>
    <w:rsid w:val="002C2A34"/>
    <w:rPr>
      <w:color w:val="0000FF"/>
      <w:u w:val="single"/>
    </w:rPr>
  </w:style>
  <w:style w:type="character" w:styleId="FollowedHyperlink">
    <w:name w:val="FollowedHyperlink"/>
    <w:basedOn w:val="DefaultParagraphFont"/>
    <w:uiPriority w:val="99"/>
    <w:semiHidden/>
    <w:unhideWhenUsed/>
    <w:rsid w:val="002C2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264">
      <w:bodyDiv w:val="1"/>
      <w:marLeft w:val="0"/>
      <w:marRight w:val="0"/>
      <w:marTop w:val="0"/>
      <w:marBottom w:val="0"/>
      <w:divBdr>
        <w:top w:val="none" w:sz="0" w:space="0" w:color="auto"/>
        <w:left w:val="none" w:sz="0" w:space="0" w:color="auto"/>
        <w:bottom w:val="none" w:sz="0" w:space="0" w:color="auto"/>
        <w:right w:val="none" w:sz="0" w:space="0" w:color="auto"/>
      </w:divBdr>
    </w:div>
    <w:div w:id="604963458">
      <w:bodyDiv w:val="1"/>
      <w:marLeft w:val="0"/>
      <w:marRight w:val="0"/>
      <w:marTop w:val="0"/>
      <w:marBottom w:val="0"/>
      <w:divBdr>
        <w:top w:val="none" w:sz="0" w:space="0" w:color="auto"/>
        <w:left w:val="none" w:sz="0" w:space="0" w:color="auto"/>
        <w:bottom w:val="none" w:sz="0" w:space="0" w:color="auto"/>
        <w:right w:val="none" w:sz="0" w:space="0" w:color="auto"/>
      </w:divBdr>
    </w:div>
    <w:div w:id="927348319">
      <w:bodyDiv w:val="1"/>
      <w:marLeft w:val="0"/>
      <w:marRight w:val="0"/>
      <w:marTop w:val="0"/>
      <w:marBottom w:val="0"/>
      <w:divBdr>
        <w:top w:val="none" w:sz="0" w:space="0" w:color="auto"/>
        <w:left w:val="none" w:sz="0" w:space="0" w:color="auto"/>
        <w:bottom w:val="none" w:sz="0" w:space="0" w:color="auto"/>
        <w:right w:val="none" w:sz="0" w:space="0" w:color="auto"/>
      </w:divBdr>
    </w:div>
    <w:div w:id="1348756034">
      <w:bodyDiv w:val="1"/>
      <w:marLeft w:val="0"/>
      <w:marRight w:val="0"/>
      <w:marTop w:val="0"/>
      <w:marBottom w:val="0"/>
      <w:divBdr>
        <w:top w:val="none" w:sz="0" w:space="0" w:color="auto"/>
        <w:left w:val="none" w:sz="0" w:space="0" w:color="auto"/>
        <w:bottom w:val="none" w:sz="0" w:space="0" w:color="auto"/>
        <w:right w:val="none" w:sz="0" w:space="0" w:color="auto"/>
      </w:divBdr>
    </w:div>
    <w:div w:id="17275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King</dc:creator>
  <cp:lastModifiedBy>Thomas Holloway</cp:lastModifiedBy>
  <cp:revision>2</cp:revision>
  <dcterms:created xsi:type="dcterms:W3CDTF">2014-09-02T14:18:00Z</dcterms:created>
  <dcterms:modified xsi:type="dcterms:W3CDTF">2014-09-02T14:18:00Z</dcterms:modified>
</cp:coreProperties>
</file>