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879C" w14:textId="77777777" w:rsidR="009E1E36" w:rsidRPr="00CC7761" w:rsidRDefault="009E1E36" w:rsidP="009E1E36">
      <w:pPr>
        <w:rPr>
          <w:b/>
          <w:bCs/>
          <w:sz w:val="28"/>
          <w:szCs w:val="28"/>
        </w:rPr>
      </w:pPr>
      <w:bookmarkStart w:id="0" w:name="_GoBack"/>
      <w:bookmarkEnd w:id="0"/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14:paraId="2F23879D" w14:textId="77777777" w:rsidR="009E1E36" w:rsidRPr="00CC7761" w:rsidRDefault="009E1E36" w:rsidP="009E1E36">
      <w:pPr>
        <w:rPr>
          <w:sz w:val="24"/>
          <w:szCs w:val="24"/>
        </w:rPr>
      </w:pPr>
    </w:p>
    <w:p w14:paraId="2F23879E" w14:textId="116955AE"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B15">
        <w:rPr>
          <w:sz w:val="24"/>
          <w:szCs w:val="24"/>
        </w:rPr>
        <w:t>June 25, 2014</w:t>
      </w:r>
    </w:p>
    <w:p w14:paraId="2F23879F" w14:textId="77777777" w:rsidR="009E1E36" w:rsidRPr="00CC7761" w:rsidRDefault="009E1E36" w:rsidP="009E1E36">
      <w:pPr>
        <w:rPr>
          <w:sz w:val="24"/>
          <w:szCs w:val="24"/>
        </w:rPr>
      </w:pPr>
    </w:p>
    <w:p w14:paraId="2F2387A0" w14:textId="77777777"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14:paraId="2F2387A1" w14:textId="77777777" w:rsidR="009E1E36" w:rsidRDefault="009E1E36" w:rsidP="009E1E36">
      <w:pPr>
        <w:rPr>
          <w:sz w:val="24"/>
          <w:szCs w:val="24"/>
          <w:lang w:val="en-CA"/>
        </w:rPr>
      </w:pPr>
    </w:p>
    <w:p w14:paraId="2F2387A2" w14:textId="585FDE29"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E64D2">
        <w:rPr>
          <w:sz w:val="24"/>
          <w:szCs w:val="24"/>
          <w:lang w:val="en-CA"/>
        </w:rPr>
        <w:t>Carl Daly</w:t>
      </w:r>
      <w:r w:rsidR="006F1432">
        <w:rPr>
          <w:sz w:val="24"/>
          <w:szCs w:val="24"/>
        </w:rPr>
        <w:t>, EPA</w:t>
      </w:r>
      <w:r w:rsidR="009E64D2">
        <w:rPr>
          <w:sz w:val="24"/>
          <w:szCs w:val="24"/>
        </w:rPr>
        <w:t xml:space="preserve"> Region 8</w:t>
      </w:r>
    </w:p>
    <w:p w14:paraId="2F2387A3" w14:textId="77777777" w:rsidR="009E1E36" w:rsidRDefault="009E1E36" w:rsidP="009E1E36">
      <w:pPr>
        <w:rPr>
          <w:sz w:val="24"/>
          <w:szCs w:val="24"/>
          <w:lang w:val="en-CA"/>
        </w:rPr>
      </w:pPr>
    </w:p>
    <w:p w14:paraId="2F2387A4" w14:textId="33CD81C3"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9E64D2">
        <w:rPr>
          <w:sz w:val="24"/>
          <w:szCs w:val="24"/>
          <w:lang w:val="en-CA"/>
        </w:rPr>
        <w:t>June 19, 2014</w:t>
      </w:r>
      <w:r>
        <w:rPr>
          <w:sz w:val="24"/>
          <w:szCs w:val="24"/>
          <w:lang w:val="en-CA"/>
        </w:rPr>
        <w:t xml:space="preserve">, Meeting </w:t>
      </w:r>
      <w:r w:rsidR="009E64D2">
        <w:rPr>
          <w:sz w:val="24"/>
          <w:szCs w:val="24"/>
          <w:lang w:val="en-CA"/>
        </w:rPr>
        <w:t xml:space="preserve">with Metro Denver Economic Development Council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14:paraId="2F2387A5" w14:textId="77777777"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14:paraId="2F2387A6" w14:textId="77777777"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14:paraId="2F2387A7" w14:textId="77777777"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2F2387A8" w14:textId="77777777" w:rsidR="009E1E36" w:rsidRDefault="009E1E36" w:rsidP="009E1E36">
      <w:pPr>
        <w:rPr>
          <w:sz w:val="24"/>
          <w:szCs w:val="24"/>
        </w:rPr>
      </w:pPr>
    </w:p>
    <w:p w14:paraId="2F2387A9" w14:textId="0BBDF4E9"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E64D2">
        <w:rPr>
          <w:sz w:val="24"/>
          <w:szCs w:val="24"/>
        </w:rPr>
        <w:t xml:space="preserve">one hour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9E64D2">
        <w:rPr>
          <w:sz w:val="24"/>
          <w:szCs w:val="24"/>
        </w:rPr>
        <w:t>June 19,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</w:t>
      </w:r>
      <w:r w:rsidR="009E64D2">
        <w:rPr>
          <w:sz w:val="24"/>
          <w:szCs w:val="24"/>
        </w:rPr>
        <w:t xml:space="preserve">factual information related to </w:t>
      </w:r>
      <w:r w:rsidR="004E4A8D">
        <w:rPr>
          <w:sz w:val="24"/>
          <w:szCs w:val="24"/>
        </w:rPr>
        <w:t xml:space="preserve">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 w:rsidR="00E77B15">
        <w:rPr>
          <w:sz w:val="24"/>
          <w:szCs w:val="24"/>
        </w:rPr>
        <w:t xml:space="preserve"> (111(d))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14:paraId="2F2387AA" w14:textId="77777777" w:rsidR="009E1E36" w:rsidRDefault="009E1E36" w:rsidP="009E1E36">
      <w:pPr>
        <w:ind w:firstLine="720"/>
        <w:rPr>
          <w:sz w:val="24"/>
          <w:szCs w:val="24"/>
        </w:rPr>
      </w:pPr>
    </w:p>
    <w:p w14:paraId="2F2387AB" w14:textId="77777777"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14:paraId="2F2387AC" w14:textId="5D6BCDAB" w:rsidR="009E1E36" w:rsidRDefault="00E77B15" w:rsidP="009E1E36">
      <w:pPr>
        <w:rPr>
          <w:sz w:val="24"/>
          <w:szCs w:val="24"/>
        </w:rPr>
      </w:pPr>
      <w:r>
        <w:rPr>
          <w:sz w:val="24"/>
          <w:szCs w:val="24"/>
        </w:rPr>
        <w:t>Carl Daly, EPA Region 8</w:t>
      </w:r>
    </w:p>
    <w:p w14:paraId="633F9F86" w14:textId="683B1254" w:rsidR="009E64D2" w:rsidRDefault="009E64D2" w:rsidP="009E1E36">
      <w:pPr>
        <w:rPr>
          <w:sz w:val="24"/>
          <w:szCs w:val="24"/>
          <w:lang w:val="en-CA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Prestridge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CA"/>
        </w:rPr>
        <w:t>Metro Denver Economic Development Council</w:t>
      </w:r>
    </w:p>
    <w:p w14:paraId="3D3B1D7F" w14:textId="0BDD4C0C" w:rsidR="009E64D2" w:rsidRDefault="009E64D2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Jack </w:t>
      </w:r>
      <w:proofErr w:type="spellStart"/>
      <w:r>
        <w:rPr>
          <w:sz w:val="24"/>
          <w:szCs w:val="24"/>
          <w:lang w:val="en-CA"/>
        </w:rPr>
        <w:t>Isley</w:t>
      </w:r>
      <w:proofErr w:type="spellEnd"/>
      <w:r>
        <w:rPr>
          <w:sz w:val="24"/>
          <w:szCs w:val="24"/>
          <w:lang w:val="en-CA"/>
        </w:rPr>
        <w:t>, Xcel Energy</w:t>
      </w:r>
    </w:p>
    <w:p w14:paraId="1FE76A14" w14:textId="16B38648" w:rsidR="009E64D2" w:rsidRDefault="009E64D2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Jennifer Jones, Denver Metro Chamber of Commerce</w:t>
      </w:r>
    </w:p>
    <w:p w14:paraId="43BB267A" w14:textId="06D89F2B" w:rsidR="009E64D2" w:rsidRDefault="009E64D2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Dave Lock, Tri-State Generation and Transmission Association</w:t>
      </w:r>
    </w:p>
    <w:p w14:paraId="4503225F" w14:textId="574378AD" w:rsidR="009E64D2" w:rsidRDefault="009E64D2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Tom Dougherty, Lewis Roca </w:t>
      </w:r>
      <w:proofErr w:type="spellStart"/>
      <w:r>
        <w:rPr>
          <w:sz w:val="24"/>
          <w:szCs w:val="24"/>
          <w:lang w:val="en-CA"/>
        </w:rPr>
        <w:t>Rothgerber</w:t>
      </w:r>
      <w:proofErr w:type="spellEnd"/>
      <w:r>
        <w:rPr>
          <w:sz w:val="24"/>
          <w:szCs w:val="24"/>
          <w:lang w:val="en-CA"/>
        </w:rPr>
        <w:t>, LLP</w:t>
      </w:r>
    </w:p>
    <w:p w14:paraId="2FABE9F4" w14:textId="6618C7C8" w:rsidR="009E64D2" w:rsidRDefault="00E77B15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David Hiller, Colorado Energy Research </w:t>
      </w:r>
      <w:proofErr w:type="spellStart"/>
      <w:r>
        <w:rPr>
          <w:sz w:val="24"/>
          <w:szCs w:val="24"/>
          <w:lang w:val="en-CA"/>
        </w:rPr>
        <w:t>Collaboratory</w:t>
      </w:r>
      <w:proofErr w:type="spellEnd"/>
    </w:p>
    <w:p w14:paraId="5FB53D43" w14:textId="2E6257FC" w:rsidR="00E77B15" w:rsidRDefault="00E77B15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Glenn Johnston, GEVO</w:t>
      </w:r>
    </w:p>
    <w:p w14:paraId="46FC2BF9" w14:textId="6EA57AFA" w:rsidR="00E77B15" w:rsidRDefault="00E77B15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Eric Doan, Crow </w:t>
      </w:r>
      <w:proofErr w:type="spellStart"/>
      <w:r>
        <w:rPr>
          <w:sz w:val="24"/>
          <w:szCs w:val="24"/>
          <w:lang w:val="en-CA"/>
        </w:rPr>
        <w:t>Horwath</w:t>
      </w:r>
      <w:proofErr w:type="spellEnd"/>
      <w:r>
        <w:rPr>
          <w:sz w:val="24"/>
          <w:szCs w:val="24"/>
          <w:lang w:val="en-CA"/>
        </w:rPr>
        <w:t>, PC</w:t>
      </w:r>
    </w:p>
    <w:p w14:paraId="713B0091" w14:textId="77777777" w:rsidR="009E64D2" w:rsidRDefault="009E64D2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32"/>
        <w:gridCol w:w="3122"/>
        <w:gridCol w:w="3122"/>
      </w:tblGrid>
      <w:tr w:rsidR="009E64D2" w:rsidRPr="00AA35C9" w14:paraId="2F2387AF" w14:textId="77777777" w:rsidTr="009E64D2">
        <w:tc>
          <w:tcPr>
            <w:tcW w:w="3256" w:type="dxa"/>
          </w:tcPr>
          <w:p w14:paraId="2F2387AD" w14:textId="7F91AD16" w:rsidR="009E64D2" w:rsidRPr="00AA35C9" w:rsidRDefault="009E64D2" w:rsidP="006F1432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5E2946EF" w14:textId="77777777" w:rsidR="009E64D2" w:rsidRPr="00AA35C9" w:rsidRDefault="009E64D2" w:rsidP="00A8712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2F2387AE" w14:textId="376CA601" w:rsidR="009E64D2" w:rsidRPr="00AA35C9" w:rsidRDefault="009E64D2" w:rsidP="00A8712E">
            <w:pPr>
              <w:rPr>
                <w:sz w:val="24"/>
                <w:szCs w:val="24"/>
              </w:rPr>
            </w:pPr>
          </w:p>
        </w:tc>
      </w:tr>
      <w:tr w:rsidR="009E64D2" w:rsidRPr="00AA35C9" w14:paraId="2F2387B2" w14:textId="77777777" w:rsidTr="009E64D2">
        <w:tc>
          <w:tcPr>
            <w:tcW w:w="3256" w:type="dxa"/>
          </w:tcPr>
          <w:p w14:paraId="2F2387B0" w14:textId="77777777" w:rsidR="009E64D2" w:rsidRPr="00AA35C9" w:rsidRDefault="009E64D2" w:rsidP="00A8712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571D384E" w14:textId="77777777" w:rsidR="009E64D2" w:rsidRPr="00AA35C9" w:rsidRDefault="009E64D2" w:rsidP="00822B0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2F2387B1" w14:textId="70931F1B" w:rsidR="009E64D2" w:rsidRPr="00AA35C9" w:rsidRDefault="009E64D2" w:rsidP="00822B0C">
            <w:pPr>
              <w:rPr>
                <w:sz w:val="24"/>
                <w:szCs w:val="24"/>
              </w:rPr>
            </w:pPr>
          </w:p>
        </w:tc>
      </w:tr>
      <w:tr w:rsidR="009E64D2" w:rsidRPr="00AA35C9" w14:paraId="2F2387B5" w14:textId="77777777" w:rsidTr="009E64D2">
        <w:tc>
          <w:tcPr>
            <w:tcW w:w="3256" w:type="dxa"/>
          </w:tcPr>
          <w:p w14:paraId="2F2387B3" w14:textId="77777777" w:rsidR="009E64D2" w:rsidRPr="00AA35C9" w:rsidRDefault="009E64D2" w:rsidP="00A8712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5C12785B" w14:textId="77777777" w:rsidR="009E64D2" w:rsidRPr="00AA35C9" w:rsidRDefault="009E64D2" w:rsidP="00B14241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2F2387B4" w14:textId="1705FEF3" w:rsidR="009E64D2" w:rsidRPr="00AA35C9" w:rsidRDefault="009E64D2" w:rsidP="00B14241">
            <w:pPr>
              <w:rPr>
                <w:sz w:val="24"/>
                <w:szCs w:val="24"/>
              </w:rPr>
            </w:pPr>
          </w:p>
        </w:tc>
      </w:tr>
      <w:tr w:rsidR="009E64D2" w:rsidRPr="00AA35C9" w14:paraId="2F2387B8" w14:textId="77777777" w:rsidTr="009E64D2">
        <w:tc>
          <w:tcPr>
            <w:tcW w:w="3256" w:type="dxa"/>
          </w:tcPr>
          <w:p w14:paraId="2F2387B6" w14:textId="77777777" w:rsidR="009E64D2" w:rsidRPr="00AA35C9" w:rsidRDefault="009E64D2" w:rsidP="00A8712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5B8D1C57" w14:textId="77777777" w:rsidR="009E64D2" w:rsidRPr="00AA35C9" w:rsidRDefault="009E64D2" w:rsidP="00B14241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2F2387B7" w14:textId="4BA03138" w:rsidR="009E64D2" w:rsidRPr="00AA35C9" w:rsidRDefault="009E64D2" w:rsidP="00B14241">
            <w:pPr>
              <w:rPr>
                <w:sz w:val="24"/>
                <w:szCs w:val="24"/>
              </w:rPr>
            </w:pPr>
          </w:p>
        </w:tc>
      </w:tr>
      <w:tr w:rsidR="009E64D2" w:rsidRPr="00AA35C9" w14:paraId="2F2387BB" w14:textId="77777777" w:rsidTr="009E64D2">
        <w:tc>
          <w:tcPr>
            <w:tcW w:w="3256" w:type="dxa"/>
          </w:tcPr>
          <w:p w14:paraId="2F2387B9" w14:textId="77777777" w:rsidR="009E64D2" w:rsidRDefault="009E64D2" w:rsidP="00A8712E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40E1C0BD" w14:textId="77777777" w:rsidR="009E64D2" w:rsidRDefault="009E64D2" w:rsidP="00822B0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14:paraId="2F2387BA" w14:textId="4F851E21" w:rsidR="009E64D2" w:rsidRDefault="009E64D2" w:rsidP="00822B0C">
            <w:pPr>
              <w:rPr>
                <w:sz w:val="24"/>
                <w:szCs w:val="24"/>
              </w:rPr>
            </w:pPr>
          </w:p>
        </w:tc>
      </w:tr>
    </w:tbl>
    <w:p w14:paraId="2F2387BC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7359A5"/>
    <w:rsid w:val="00822B0C"/>
    <w:rsid w:val="0090449F"/>
    <w:rsid w:val="009E1E36"/>
    <w:rsid w:val="009E64D2"/>
    <w:rsid w:val="00A8712E"/>
    <w:rsid w:val="00AE3E92"/>
    <w:rsid w:val="00B14241"/>
    <w:rsid w:val="00C23950"/>
    <w:rsid w:val="00D438BA"/>
    <w:rsid w:val="00E77B15"/>
    <w:rsid w:val="00F00BE9"/>
    <w:rsid w:val="00F10629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2</cp:revision>
  <dcterms:created xsi:type="dcterms:W3CDTF">2014-08-08T20:46:00Z</dcterms:created>
  <dcterms:modified xsi:type="dcterms:W3CDTF">2014-08-08T20:46:00Z</dcterms:modified>
</cp:coreProperties>
</file>