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9C1" w:rsidRDefault="002839C1" w:rsidP="002839C1">
      <w:pPr>
        <w:rPr>
          <w:b/>
          <w:bCs/>
          <w:sz w:val="28"/>
          <w:szCs w:val="28"/>
          <w:u w:val="single"/>
        </w:rPr>
      </w:pPr>
    </w:p>
    <w:p w:rsidR="002839C1" w:rsidRPr="002839C1" w:rsidRDefault="002839C1" w:rsidP="002839C1">
      <w:pPr>
        <w:rPr>
          <w:b/>
          <w:bCs/>
          <w:sz w:val="28"/>
          <w:szCs w:val="28"/>
          <w:u w:val="single"/>
        </w:rPr>
      </w:pPr>
      <w:r w:rsidRPr="002839C1">
        <w:rPr>
          <w:b/>
          <w:bCs/>
          <w:sz w:val="28"/>
          <w:szCs w:val="28"/>
          <w:u w:val="single"/>
        </w:rPr>
        <w:t>MEMORANDUM</w:t>
      </w:r>
    </w:p>
    <w:p w:rsidR="002839C1" w:rsidRPr="002839C1" w:rsidRDefault="002839C1" w:rsidP="002839C1"/>
    <w:p w:rsidR="002839C1" w:rsidRPr="002839C1" w:rsidRDefault="002839C1" w:rsidP="002839C1">
      <w:r w:rsidRPr="002839C1">
        <w:rPr>
          <w:b/>
          <w:bCs/>
          <w:caps/>
        </w:rPr>
        <w:t>Date:</w:t>
      </w:r>
      <w:r>
        <w:rPr>
          <w:caps/>
        </w:rPr>
        <w:t> </w:t>
      </w:r>
      <w:r>
        <w:rPr>
          <w:caps/>
        </w:rPr>
        <w:tab/>
      </w:r>
      <w:r>
        <w:rPr>
          <w:caps/>
        </w:rPr>
        <w:tab/>
      </w:r>
      <w:r w:rsidR="00B561D6">
        <w:t>11/20</w:t>
      </w:r>
      <w:r w:rsidR="00BB5C5E">
        <w:t>/14</w:t>
      </w:r>
    </w:p>
    <w:p w:rsidR="002839C1" w:rsidRPr="002839C1" w:rsidRDefault="002839C1" w:rsidP="002839C1"/>
    <w:p w:rsidR="002839C1" w:rsidRPr="002839C1" w:rsidRDefault="002839C1" w:rsidP="002839C1">
      <w:pPr>
        <w:outlineLvl w:val="0"/>
      </w:pPr>
      <w:r w:rsidRPr="002839C1">
        <w:rPr>
          <w:b/>
          <w:bCs/>
          <w:caps/>
        </w:rPr>
        <w:t>From:</w:t>
      </w:r>
      <w:r w:rsidRPr="002839C1">
        <w:t xml:space="preserve"> </w:t>
      </w:r>
      <w:r>
        <w:tab/>
      </w:r>
      <w:r>
        <w:tab/>
      </w:r>
      <w:r w:rsidRPr="002839C1">
        <w:t>Ken Mitchell/EPA Region 4</w:t>
      </w:r>
    </w:p>
    <w:p w:rsidR="002839C1" w:rsidRPr="002839C1" w:rsidRDefault="002839C1" w:rsidP="002839C1"/>
    <w:p w:rsidR="002839C1" w:rsidRPr="002839C1" w:rsidRDefault="002839C1" w:rsidP="002839C1">
      <w:r w:rsidRPr="002839C1">
        <w:rPr>
          <w:b/>
          <w:bCs/>
          <w:caps/>
        </w:rPr>
        <w:t>To:</w:t>
      </w:r>
      <w:r>
        <w:rPr>
          <w:b/>
          <w:bCs/>
          <w:caps/>
        </w:rPr>
        <w:tab/>
      </w:r>
      <w:r>
        <w:rPr>
          <w:b/>
          <w:bCs/>
          <w:caps/>
        </w:rPr>
        <w:tab/>
      </w:r>
      <w:r w:rsidRPr="002839C1">
        <w:t>Clean Power Plan for Existing Power Plants; Docket Id: OAR–2013-0602</w:t>
      </w:r>
    </w:p>
    <w:p w:rsidR="002839C1" w:rsidRPr="002839C1" w:rsidRDefault="002839C1" w:rsidP="002839C1"/>
    <w:p w:rsidR="002839C1" w:rsidRPr="002839C1" w:rsidRDefault="002839C1" w:rsidP="00BB5C5E">
      <w:pPr>
        <w:ind w:left="1440" w:hanging="1440"/>
      </w:pPr>
      <w:r w:rsidRPr="002839C1">
        <w:rPr>
          <w:b/>
          <w:bCs/>
          <w:caps/>
        </w:rPr>
        <w:t>Subject:</w:t>
      </w:r>
      <w:r>
        <w:rPr>
          <w:b/>
          <w:bCs/>
          <w:caps/>
        </w:rPr>
        <w:tab/>
      </w:r>
      <w:r w:rsidR="00BB5C5E">
        <w:t xml:space="preserve">Discussion of the Clean Power </w:t>
      </w:r>
      <w:r w:rsidR="003F50A4">
        <w:t xml:space="preserve">Plan </w:t>
      </w:r>
      <w:bookmarkStart w:id="0" w:name="_GoBack"/>
      <w:bookmarkEnd w:id="0"/>
      <w:r w:rsidR="003A484A">
        <w:t xml:space="preserve">with </w:t>
      </w:r>
      <w:r w:rsidR="005E3232">
        <w:t>South Carolina Department of Health and Environmental Control</w:t>
      </w:r>
      <w:r w:rsidR="00B561D6">
        <w:t xml:space="preserve"> and the Georgia Environmental Protection Division</w:t>
      </w:r>
    </w:p>
    <w:p w:rsidR="002839C1" w:rsidRPr="002839C1" w:rsidRDefault="002839C1" w:rsidP="002839C1"/>
    <w:p w:rsidR="002839C1" w:rsidRDefault="002839C1" w:rsidP="002839C1">
      <w:pPr>
        <w:rPr>
          <w:b/>
          <w:bCs/>
          <w:caps/>
          <w:u w:val="single"/>
        </w:rPr>
      </w:pPr>
    </w:p>
    <w:p w:rsidR="002839C1" w:rsidRDefault="002839C1" w:rsidP="002839C1">
      <w:pPr>
        <w:rPr>
          <w:b/>
          <w:bCs/>
          <w:caps/>
        </w:rPr>
      </w:pPr>
      <w:r w:rsidRPr="002839C1">
        <w:rPr>
          <w:b/>
          <w:bCs/>
          <w:caps/>
          <w:u w:val="single"/>
        </w:rPr>
        <w:t>Summary</w:t>
      </w:r>
      <w:r w:rsidRPr="002839C1">
        <w:rPr>
          <w:b/>
          <w:bCs/>
          <w:caps/>
        </w:rPr>
        <w:t xml:space="preserve">:        </w:t>
      </w:r>
    </w:p>
    <w:p w:rsidR="005E3232" w:rsidRDefault="005E3232" w:rsidP="002839C1">
      <w:pPr>
        <w:rPr>
          <w:b/>
          <w:bCs/>
          <w:caps/>
        </w:rPr>
      </w:pPr>
    </w:p>
    <w:p w:rsidR="00B561D6" w:rsidRDefault="005E3232" w:rsidP="00B561D6">
      <w:pPr>
        <w:ind w:left="1440" w:hanging="1440"/>
      </w:pPr>
      <w:r w:rsidRPr="005E3232">
        <w:rPr>
          <w:sz w:val="24"/>
          <w:szCs w:val="24"/>
        </w:rPr>
        <w:t>Region 4 provided information on the Clean Power Plan</w:t>
      </w:r>
      <w:r w:rsidR="008C7495">
        <w:rPr>
          <w:sz w:val="24"/>
          <w:szCs w:val="24"/>
        </w:rPr>
        <w:t xml:space="preserve"> </w:t>
      </w:r>
      <w:r w:rsidR="00B561D6">
        <w:rPr>
          <w:sz w:val="24"/>
          <w:szCs w:val="24"/>
        </w:rPr>
        <w:t xml:space="preserve">with the </w:t>
      </w:r>
      <w:r w:rsidR="00B561D6">
        <w:t>South Carolina Department of</w:t>
      </w:r>
    </w:p>
    <w:p w:rsidR="00B561D6" w:rsidRDefault="00B561D6" w:rsidP="00B561D6">
      <w:pPr>
        <w:ind w:left="1440" w:hanging="1440"/>
      </w:pPr>
      <w:r>
        <w:t>Health and Environmental Control and the Georgia Environmental Protection Division</w:t>
      </w:r>
      <w:r w:rsidR="005E3232" w:rsidRPr="005E3232">
        <w:t xml:space="preserve"> on </w:t>
      </w:r>
      <w:r>
        <w:t>August 12,</w:t>
      </w:r>
    </w:p>
    <w:p w:rsidR="005E3232" w:rsidRPr="005E3232" w:rsidRDefault="005E3232" w:rsidP="00B561D6">
      <w:pPr>
        <w:ind w:left="1440" w:hanging="1440"/>
        <w:rPr>
          <w:rFonts w:ascii="Times New Roman" w:hAnsi="Times New Roman" w:cs="Times New Roman"/>
          <w:sz w:val="24"/>
          <w:szCs w:val="24"/>
        </w:rPr>
      </w:pPr>
      <w:r w:rsidRPr="005E3232">
        <w:t>2014</w:t>
      </w:r>
      <w:r w:rsidRPr="005E3232">
        <w:rPr>
          <w:sz w:val="24"/>
          <w:szCs w:val="24"/>
        </w:rPr>
        <w:t>.  The Clea</w:t>
      </w:r>
      <w:r w:rsidR="008C7495">
        <w:rPr>
          <w:sz w:val="24"/>
          <w:szCs w:val="24"/>
        </w:rPr>
        <w:t>n Power</w:t>
      </w:r>
      <w:r w:rsidR="00B561D6">
        <w:rPr>
          <w:sz w:val="24"/>
          <w:szCs w:val="24"/>
        </w:rPr>
        <w:t xml:space="preserve"> </w:t>
      </w:r>
      <w:r w:rsidRPr="005E3232">
        <w:rPr>
          <w:sz w:val="24"/>
          <w:szCs w:val="24"/>
        </w:rPr>
        <w:t>Plan for Existing Power</w:t>
      </w:r>
      <w:r w:rsidR="008C7495">
        <w:rPr>
          <w:sz w:val="24"/>
          <w:szCs w:val="24"/>
        </w:rPr>
        <w:t xml:space="preserve"> </w:t>
      </w:r>
      <w:r w:rsidRPr="005E3232">
        <w:rPr>
          <w:sz w:val="24"/>
          <w:szCs w:val="24"/>
        </w:rPr>
        <w:t xml:space="preserve">Plants was </w:t>
      </w:r>
      <w:r w:rsidR="008C7495">
        <w:rPr>
          <w:sz w:val="24"/>
          <w:szCs w:val="24"/>
        </w:rPr>
        <w:t>p</w:t>
      </w:r>
      <w:r w:rsidRPr="005E3232">
        <w:rPr>
          <w:sz w:val="24"/>
          <w:szCs w:val="24"/>
        </w:rPr>
        <w:t>roposed on June 2, 2014.</w:t>
      </w:r>
      <w:r w:rsidR="008C7495">
        <w:rPr>
          <w:sz w:val="24"/>
          <w:szCs w:val="24"/>
        </w:rPr>
        <w:t xml:space="preserve">  </w:t>
      </w:r>
    </w:p>
    <w:p w:rsidR="002839C1" w:rsidRDefault="002839C1" w:rsidP="002839C1">
      <w:pPr>
        <w:rPr>
          <w:b/>
          <w:bCs/>
          <w:caps/>
        </w:rPr>
      </w:pPr>
    </w:p>
    <w:p w:rsidR="002839C1" w:rsidRPr="002839C1" w:rsidRDefault="002839C1" w:rsidP="002839C1">
      <w:pPr>
        <w:rPr>
          <w:b/>
          <w:bCs/>
          <w:caps/>
        </w:rPr>
      </w:pPr>
      <w:r w:rsidRPr="00BB5C5E">
        <w:rPr>
          <w:b/>
          <w:bCs/>
          <w:caps/>
        </w:rPr>
        <w:t>Attendees</w:t>
      </w:r>
      <w:r w:rsidRPr="002839C1">
        <w:rPr>
          <w:b/>
          <w:bCs/>
          <w:caps/>
        </w:rPr>
        <w:t>:</w:t>
      </w:r>
    </w:p>
    <w:p w:rsidR="002839C1" w:rsidRPr="002839C1" w:rsidRDefault="002839C1" w:rsidP="002839C1">
      <w:pPr>
        <w:rPr>
          <w:b/>
          <w:bCs/>
          <w:u w:val="single"/>
        </w:rPr>
      </w:pPr>
      <w:r w:rsidRPr="002839C1">
        <w:rPr>
          <w:b/>
          <w:bCs/>
          <w:u w:val="single"/>
        </w:rPr>
        <w:br/>
        <w:t>EPA</w:t>
      </w:r>
    </w:p>
    <w:p w:rsidR="00B561D6" w:rsidRDefault="00B561D6" w:rsidP="002839C1">
      <w:r>
        <w:t>Janet McCabe/EPA OAR</w:t>
      </w:r>
    </w:p>
    <w:p w:rsidR="002839C1" w:rsidRDefault="003A484A" w:rsidP="002839C1">
      <w:r>
        <w:t>Beverly Banister</w:t>
      </w:r>
      <w:r w:rsidR="002839C1" w:rsidRPr="002839C1">
        <w:t>/EPA R4</w:t>
      </w:r>
      <w:r w:rsidR="00066F9E">
        <w:t xml:space="preserve"> </w:t>
      </w:r>
    </w:p>
    <w:p w:rsidR="00B561D6" w:rsidRDefault="00B561D6" w:rsidP="005E3232">
      <w:r>
        <w:t>Jeaneanne Gettle/EPA R4</w:t>
      </w:r>
    </w:p>
    <w:p w:rsidR="005E3232" w:rsidRDefault="00B561D6" w:rsidP="005E3232">
      <w:r>
        <w:t>Ken Mitchell/EPA R4</w:t>
      </w:r>
    </w:p>
    <w:p w:rsidR="002839C1" w:rsidRDefault="005E3232" w:rsidP="002839C1">
      <w:r>
        <w:t>Lora Strine/EPA OAQPS</w:t>
      </w:r>
    </w:p>
    <w:p w:rsidR="00B561D6" w:rsidRDefault="00B561D6" w:rsidP="002839C1">
      <w:r>
        <w:t>Reid Harvey/EPA OAP</w:t>
      </w:r>
    </w:p>
    <w:p w:rsidR="005E3232" w:rsidRDefault="00B561D6" w:rsidP="002839C1">
      <w:r>
        <w:t>Matt Clouse/EPA OAP</w:t>
      </w:r>
    </w:p>
    <w:p w:rsidR="00B561D6" w:rsidRDefault="00B561D6" w:rsidP="002839C1">
      <w:r>
        <w:t>Other EPA Staff</w:t>
      </w:r>
    </w:p>
    <w:p w:rsidR="005E3232" w:rsidRPr="002839C1" w:rsidRDefault="005E3232" w:rsidP="002839C1"/>
    <w:p w:rsidR="002839C1" w:rsidRPr="002839C1" w:rsidRDefault="002839C1" w:rsidP="002839C1">
      <w:pPr>
        <w:rPr>
          <w:b/>
          <w:bCs/>
          <w:u w:val="single"/>
        </w:rPr>
      </w:pPr>
      <w:r w:rsidRPr="002839C1">
        <w:rPr>
          <w:b/>
          <w:bCs/>
          <w:u w:val="single"/>
        </w:rPr>
        <w:t>External Stakeholders</w:t>
      </w:r>
    </w:p>
    <w:p w:rsidR="00DA3A25" w:rsidRDefault="005E3232" w:rsidP="00DA3A25">
      <w:r>
        <w:t>Myra Reece/SC DHEC</w:t>
      </w:r>
    </w:p>
    <w:p w:rsidR="008C7495" w:rsidRDefault="00B561D6" w:rsidP="00DA3A25">
      <w:r>
        <w:t>Catherine Templeton/SC DHEC</w:t>
      </w:r>
    </w:p>
    <w:p w:rsidR="00B561D6" w:rsidRDefault="00B561D6" w:rsidP="00DA3A25">
      <w:r>
        <w:t xml:space="preserve">Elizabeth </w:t>
      </w:r>
      <w:proofErr w:type="spellStart"/>
      <w:r>
        <w:t>Diek</w:t>
      </w:r>
      <w:proofErr w:type="spellEnd"/>
      <w:r>
        <w:t>/SC DHEC</w:t>
      </w:r>
    </w:p>
    <w:p w:rsidR="00B561D6" w:rsidRDefault="00B561D6" w:rsidP="00DA3A25">
      <w:r>
        <w:t>Mary Walker/GA EPD</w:t>
      </w:r>
    </w:p>
    <w:p w:rsidR="00B561D6" w:rsidRDefault="00B561D6" w:rsidP="00DA3A25">
      <w:r>
        <w:t>Keith Bentley/GA EPD</w:t>
      </w:r>
    </w:p>
    <w:p w:rsidR="00B561D6" w:rsidRDefault="00B561D6" w:rsidP="00DA3A25">
      <w:r>
        <w:t>Jud Turner/GA EPD</w:t>
      </w:r>
    </w:p>
    <w:p w:rsidR="00D02F0A" w:rsidRDefault="00D02F0A" w:rsidP="00DA3A25"/>
    <w:p w:rsidR="00D02F0A" w:rsidRDefault="00D02F0A" w:rsidP="00DA3A25">
      <w:pPr>
        <w:rPr>
          <w:b/>
        </w:rPr>
      </w:pPr>
      <w:r w:rsidRPr="00D02F0A">
        <w:rPr>
          <w:b/>
        </w:rPr>
        <w:t>ATTACHMENT</w:t>
      </w:r>
    </w:p>
    <w:p w:rsidR="00D02F0A" w:rsidRDefault="00D02F0A">
      <w:pPr>
        <w:spacing w:after="160" w:line="259" w:lineRule="auto"/>
        <w:rPr>
          <w:b/>
        </w:rPr>
      </w:pPr>
      <w:r>
        <w:rPr>
          <w:b/>
        </w:rPr>
        <w:br w:type="page"/>
      </w:r>
    </w:p>
    <w:p w:rsidR="00D02F0A" w:rsidRDefault="00D02F0A" w:rsidP="00D02F0A">
      <w:pPr>
        <w:ind w:left="1440" w:hanging="1440"/>
        <w:rPr>
          <w:b/>
        </w:rPr>
      </w:pPr>
      <w:r w:rsidRPr="006D611E">
        <w:rPr>
          <w:b/>
        </w:rPr>
        <w:lastRenderedPageBreak/>
        <w:t>Advance Questions for Discussion of the Clean Power Plan wit</w:t>
      </w:r>
      <w:r w:rsidRPr="009F74D3">
        <w:rPr>
          <w:b/>
        </w:rPr>
        <w:t xml:space="preserve">h </w:t>
      </w:r>
      <w:r>
        <w:rPr>
          <w:b/>
        </w:rPr>
        <w:t xml:space="preserve">South Caroline Department of </w:t>
      </w:r>
    </w:p>
    <w:p w:rsidR="00D02F0A" w:rsidRPr="009F74D3" w:rsidRDefault="00D02F0A" w:rsidP="00D02F0A">
      <w:pPr>
        <w:ind w:left="1440" w:hanging="1440"/>
        <w:rPr>
          <w:rFonts w:asciiTheme="minorHAnsi" w:hAnsiTheme="minorHAnsi" w:cstheme="minorHAnsi"/>
          <w:b/>
        </w:rPr>
      </w:pPr>
      <w:r>
        <w:rPr>
          <w:b/>
        </w:rPr>
        <w:t xml:space="preserve">Health and Environmental Control and the Georgia Environmental Protection </w:t>
      </w:r>
      <w:proofErr w:type="spellStart"/>
      <w:r>
        <w:rPr>
          <w:b/>
        </w:rPr>
        <w:t>Divison</w:t>
      </w:r>
      <w:proofErr w:type="spellEnd"/>
      <w:r>
        <w:rPr>
          <w:b/>
        </w:rPr>
        <w:t xml:space="preserve"> on 8</w:t>
      </w:r>
      <w:r w:rsidRPr="009F74D3">
        <w:rPr>
          <w:b/>
        </w:rPr>
        <w:t>/</w:t>
      </w:r>
      <w:r>
        <w:rPr>
          <w:b/>
        </w:rPr>
        <w:t>12</w:t>
      </w:r>
      <w:r w:rsidRPr="009F74D3">
        <w:rPr>
          <w:b/>
        </w:rPr>
        <w:t>/14</w:t>
      </w:r>
    </w:p>
    <w:p w:rsidR="00D02F0A" w:rsidRPr="00D02F0A" w:rsidRDefault="00D02F0A" w:rsidP="00D02F0A"/>
    <w:p w:rsidR="00D02F0A" w:rsidRPr="00D02F0A" w:rsidRDefault="00D02F0A" w:rsidP="00D02F0A">
      <w:pPr>
        <w:pStyle w:val="ListParagraph"/>
        <w:numPr>
          <w:ilvl w:val="0"/>
          <w:numId w:val="16"/>
        </w:numPr>
      </w:pPr>
      <w:r w:rsidRPr="00D02F0A">
        <w:t>Can someone clearly explain how “under construction” nuclear energy is accounted for and why??</w:t>
      </w:r>
      <w:r>
        <w:br/>
      </w:r>
    </w:p>
    <w:p w:rsidR="00D02F0A" w:rsidRPr="00D02F0A" w:rsidRDefault="00D02F0A" w:rsidP="00D02F0A">
      <w:pPr>
        <w:pStyle w:val="ListParagraph"/>
        <w:numPr>
          <w:ilvl w:val="0"/>
          <w:numId w:val="16"/>
        </w:numPr>
      </w:pPr>
      <w:r w:rsidRPr="00D02F0A">
        <w:t>Why does EPA feel it is important to include “under construction” nuclear in the target calculation?  Including it in the target goal takes away any credit that we should get for our leadership in developing our new units.</w:t>
      </w:r>
      <w:r>
        <w:br/>
      </w:r>
    </w:p>
    <w:p w:rsidR="00D02F0A" w:rsidRPr="00D02F0A" w:rsidRDefault="00D02F0A" w:rsidP="00D02F0A">
      <w:pPr>
        <w:pStyle w:val="ListParagraph"/>
        <w:numPr>
          <w:ilvl w:val="0"/>
          <w:numId w:val="16"/>
        </w:numPr>
      </w:pPr>
      <w:r w:rsidRPr="00D02F0A">
        <w:t>Why doesn’t EPA view nuclear the same as renewable energy for this proposal?  Both are zero carbon emission sources.</w:t>
      </w:r>
      <w:r>
        <w:br/>
      </w:r>
    </w:p>
    <w:p w:rsidR="00D02F0A" w:rsidRPr="00D02F0A" w:rsidRDefault="00D02F0A" w:rsidP="00D02F0A">
      <w:pPr>
        <w:pStyle w:val="ListParagraph"/>
        <w:numPr>
          <w:ilvl w:val="0"/>
          <w:numId w:val="16"/>
        </w:numPr>
      </w:pPr>
      <w:r w:rsidRPr="00D02F0A">
        <w:t>Does EPA agree that the country gets the benefit of the carbon reduction achieved by the “under construction” nuclear and understand that it is the rate payers ONLY in SC &amp; GA that are paying the costs ($24 BILLION) for this reduction?</w:t>
      </w:r>
      <w:r>
        <w:br/>
      </w:r>
    </w:p>
    <w:p w:rsidR="00D02F0A" w:rsidRPr="00D02F0A" w:rsidRDefault="00D02F0A" w:rsidP="00D02F0A">
      <w:pPr>
        <w:pStyle w:val="ListParagraph"/>
        <w:numPr>
          <w:ilvl w:val="0"/>
          <w:numId w:val="16"/>
        </w:numPr>
      </w:pPr>
      <w:r w:rsidRPr="00D02F0A">
        <w:t>What’s does EPA’s federal implementation plan (FIP) look like?  It is imperative that we know this before we approach our legislature on approving our state plan.</w:t>
      </w:r>
      <w:r>
        <w:br/>
      </w:r>
    </w:p>
    <w:p w:rsidR="00D02F0A" w:rsidRPr="00D02F0A" w:rsidRDefault="00D02F0A" w:rsidP="00D02F0A">
      <w:pPr>
        <w:pStyle w:val="ListParagraph"/>
        <w:numPr>
          <w:ilvl w:val="0"/>
          <w:numId w:val="16"/>
        </w:numPr>
      </w:pPr>
      <w:r w:rsidRPr="00D02F0A">
        <w:t>For SC, the 111(d) standard will be much more stringent that the 111(b).  Is that EPA’s intent?</w:t>
      </w:r>
      <w:r>
        <w:br/>
      </w:r>
    </w:p>
    <w:p w:rsidR="00D02F0A" w:rsidRPr="00D02F0A" w:rsidRDefault="00D02F0A" w:rsidP="00D02F0A">
      <w:pPr>
        <w:pStyle w:val="ListParagraph"/>
        <w:numPr>
          <w:ilvl w:val="0"/>
          <w:numId w:val="16"/>
        </w:numPr>
      </w:pPr>
      <w:r w:rsidRPr="00D02F0A">
        <w:t>Why did EPA choose an interim goal, and not just a final 2030 goal? Impossible for SC to develop a cost effective plan in that time frame.</w:t>
      </w:r>
      <w:r>
        <w:br/>
      </w:r>
    </w:p>
    <w:p w:rsidR="00D02F0A" w:rsidRPr="00D02F0A" w:rsidRDefault="00D02F0A" w:rsidP="00D02F0A">
      <w:pPr>
        <w:pStyle w:val="ListParagraph"/>
        <w:numPr>
          <w:ilvl w:val="0"/>
          <w:numId w:val="16"/>
        </w:numPr>
      </w:pPr>
      <w:r w:rsidRPr="00D02F0A">
        <w:t>Since this rule is so complex, legally vulnerable and resource intensive to states, will EPA consider expanding the timeframe for state plan submittals?</w:t>
      </w:r>
    </w:p>
    <w:p w:rsidR="002839C1" w:rsidRPr="00D02F0A" w:rsidRDefault="002839C1" w:rsidP="002839C1"/>
    <w:sectPr w:rsidR="002839C1" w:rsidRPr="00D02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56D3D"/>
    <w:multiLevelType w:val="hybridMultilevel"/>
    <w:tmpl w:val="120CC85E"/>
    <w:lvl w:ilvl="0" w:tplc="538EEAA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46B99"/>
    <w:multiLevelType w:val="hybridMultilevel"/>
    <w:tmpl w:val="DF041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A6E89"/>
    <w:multiLevelType w:val="hybridMultilevel"/>
    <w:tmpl w:val="64105340"/>
    <w:lvl w:ilvl="0" w:tplc="2A3A58C4">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9605D"/>
    <w:multiLevelType w:val="hybridMultilevel"/>
    <w:tmpl w:val="7D8CCAB6"/>
    <w:lvl w:ilvl="0" w:tplc="1C7AD0E4">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E6A9A"/>
    <w:multiLevelType w:val="hybridMultilevel"/>
    <w:tmpl w:val="B2E69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A94581"/>
    <w:multiLevelType w:val="multilevel"/>
    <w:tmpl w:val="52D07714"/>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abstractNum>
  <w:abstractNum w:abstractNumId="6">
    <w:nsid w:val="450E71AB"/>
    <w:multiLevelType w:val="hybridMultilevel"/>
    <w:tmpl w:val="70D4D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D85556"/>
    <w:multiLevelType w:val="hybridMultilevel"/>
    <w:tmpl w:val="6EB0CAEC"/>
    <w:lvl w:ilvl="0" w:tplc="4FFCD6BA">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2355F8"/>
    <w:multiLevelType w:val="hybridMultilevel"/>
    <w:tmpl w:val="A5B48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50F2FE5"/>
    <w:multiLevelType w:val="hybridMultilevel"/>
    <w:tmpl w:val="D49A9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1A691E"/>
    <w:multiLevelType w:val="multilevel"/>
    <w:tmpl w:val="D350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5302B9"/>
    <w:multiLevelType w:val="hybridMultilevel"/>
    <w:tmpl w:val="A5F2DE30"/>
    <w:lvl w:ilvl="0" w:tplc="5802B95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F23944"/>
    <w:multiLevelType w:val="hybridMultilevel"/>
    <w:tmpl w:val="1B4A2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AE26C1"/>
    <w:multiLevelType w:val="hybridMultilevel"/>
    <w:tmpl w:val="C812EF78"/>
    <w:lvl w:ilvl="0" w:tplc="6D720AE6">
      <w:start w:val="1"/>
      <w:numFmt w:val="bullet"/>
      <w:lvlText w:val="•"/>
      <w:lvlJc w:val="left"/>
      <w:pPr>
        <w:tabs>
          <w:tab w:val="num" w:pos="720"/>
        </w:tabs>
        <w:ind w:left="720" w:hanging="360"/>
      </w:pPr>
      <w:rPr>
        <w:rFonts w:ascii="Times New Roman" w:hAnsi="Times New Roman" w:cs="Times New Roman" w:hint="default"/>
      </w:rPr>
    </w:lvl>
    <w:lvl w:ilvl="1" w:tplc="57ACC6F4">
      <w:start w:val="1"/>
      <w:numFmt w:val="bullet"/>
      <w:lvlText w:val="•"/>
      <w:lvlJc w:val="left"/>
      <w:pPr>
        <w:tabs>
          <w:tab w:val="num" w:pos="1440"/>
        </w:tabs>
        <w:ind w:left="1440" w:hanging="360"/>
      </w:pPr>
      <w:rPr>
        <w:rFonts w:ascii="Times New Roman" w:hAnsi="Times New Roman" w:cs="Times New Roman" w:hint="default"/>
      </w:rPr>
    </w:lvl>
    <w:lvl w:ilvl="2" w:tplc="188E54FA">
      <w:start w:val="1"/>
      <w:numFmt w:val="bullet"/>
      <w:lvlText w:val="•"/>
      <w:lvlJc w:val="left"/>
      <w:pPr>
        <w:tabs>
          <w:tab w:val="num" w:pos="2160"/>
        </w:tabs>
        <w:ind w:left="2160" w:hanging="360"/>
      </w:pPr>
      <w:rPr>
        <w:rFonts w:ascii="Times New Roman" w:hAnsi="Times New Roman" w:cs="Times New Roman" w:hint="default"/>
      </w:rPr>
    </w:lvl>
    <w:lvl w:ilvl="3" w:tplc="7B2A7024">
      <w:start w:val="1"/>
      <w:numFmt w:val="bullet"/>
      <w:lvlText w:val="•"/>
      <w:lvlJc w:val="left"/>
      <w:pPr>
        <w:tabs>
          <w:tab w:val="num" w:pos="2880"/>
        </w:tabs>
        <w:ind w:left="2880" w:hanging="360"/>
      </w:pPr>
      <w:rPr>
        <w:rFonts w:ascii="Times New Roman" w:hAnsi="Times New Roman" w:cs="Times New Roman" w:hint="default"/>
      </w:rPr>
    </w:lvl>
    <w:lvl w:ilvl="4" w:tplc="A4E68078">
      <w:start w:val="1"/>
      <w:numFmt w:val="bullet"/>
      <w:lvlText w:val="•"/>
      <w:lvlJc w:val="left"/>
      <w:pPr>
        <w:tabs>
          <w:tab w:val="num" w:pos="3600"/>
        </w:tabs>
        <w:ind w:left="3600" w:hanging="360"/>
      </w:pPr>
      <w:rPr>
        <w:rFonts w:ascii="Times New Roman" w:hAnsi="Times New Roman" w:cs="Times New Roman" w:hint="default"/>
      </w:rPr>
    </w:lvl>
    <w:lvl w:ilvl="5" w:tplc="EAD0C95A">
      <w:start w:val="1"/>
      <w:numFmt w:val="bullet"/>
      <w:lvlText w:val="•"/>
      <w:lvlJc w:val="left"/>
      <w:pPr>
        <w:tabs>
          <w:tab w:val="num" w:pos="4320"/>
        </w:tabs>
        <w:ind w:left="4320" w:hanging="360"/>
      </w:pPr>
      <w:rPr>
        <w:rFonts w:ascii="Times New Roman" w:hAnsi="Times New Roman" w:cs="Times New Roman" w:hint="default"/>
      </w:rPr>
    </w:lvl>
    <w:lvl w:ilvl="6" w:tplc="13BECEDE">
      <w:start w:val="1"/>
      <w:numFmt w:val="bullet"/>
      <w:lvlText w:val="•"/>
      <w:lvlJc w:val="left"/>
      <w:pPr>
        <w:tabs>
          <w:tab w:val="num" w:pos="5040"/>
        </w:tabs>
        <w:ind w:left="5040" w:hanging="360"/>
      </w:pPr>
      <w:rPr>
        <w:rFonts w:ascii="Times New Roman" w:hAnsi="Times New Roman" w:cs="Times New Roman" w:hint="default"/>
      </w:rPr>
    </w:lvl>
    <w:lvl w:ilvl="7" w:tplc="B81EED8A">
      <w:start w:val="1"/>
      <w:numFmt w:val="bullet"/>
      <w:lvlText w:val="•"/>
      <w:lvlJc w:val="left"/>
      <w:pPr>
        <w:tabs>
          <w:tab w:val="num" w:pos="5760"/>
        </w:tabs>
        <w:ind w:left="5760" w:hanging="360"/>
      </w:pPr>
      <w:rPr>
        <w:rFonts w:ascii="Times New Roman" w:hAnsi="Times New Roman" w:cs="Times New Roman" w:hint="default"/>
      </w:rPr>
    </w:lvl>
    <w:lvl w:ilvl="8" w:tplc="8718277E">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7C8E3356"/>
    <w:multiLevelType w:val="hybridMultilevel"/>
    <w:tmpl w:val="1464C8E2"/>
    <w:lvl w:ilvl="0" w:tplc="35649868">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4"/>
  </w:num>
  <w:num w:numId="7">
    <w:abstractNumId w:val="2"/>
  </w:num>
  <w:num w:numId="8">
    <w:abstractNumId w:val="3"/>
  </w:num>
  <w:num w:numId="9">
    <w:abstractNumId w:val="11"/>
  </w:num>
  <w:num w:numId="10">
    <w:abstractNumId w:val="0"/>
  </w:num>
  <w:num w:numId="11">
    <w:abstractNumId w:val="1"/>
  </w:num>
  <w:num w:numId="12">
    <w:abstractNumId w:val="6"/>
  </w:num>
  <w:num w:numId="13">
    <w:abstractNumId w:val="10"/>
  </w:num>
  <w:num w:numId="14">
    <w:abstractNumId w:val="9"/>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C1"/>
    <w:rsid w:val="00066F9E"/>
    <w:rsid w:val="000C2429"/>
    <w:rsid w:val="000C7E3A"/>
    <w:rsid w:val="001F5648"/>
    <w:rsid w:val="00204617"/>
    <w:rsid w:val="002839C1"/>
    <w:rsid w:val="00297CE4"/>
    <w:rsid w:val="003A484A"/>
    <w:rsid w:val="003F50A4"/>
    <w:rsid w:val="00477F64"/>
    <w:rsid w:val="004E3AD6"/>
    <w:rsid w:val="00507AD3"/>
    <w:rsid w:val="005A4E73"/>
    <w:rsid w:val="005E3232"/>
    <w:rsid w:val="006D611E"/>
    <w:rsid w:val="008B7355"/>
    <w:rsid w:val="008C7495"/>
    <w:rsid w:val="009F74D3"/>
    <w:rsid w:val="00AA4CC5"/>
    <w:rsid w:val="00AD3FE5"/>
    <w:rsid w:val="00B561D6"/>
    <w:rsid w:val="00BB5C5E"/>
    <w:rsid w:val="00BC3E55"/>
    <w:rsid w:val="00BF2166"/>
    <w:rsid w:val="00C22AE1"/>
    <w:rsid w:val="00D02F0A"/>
    <w:rsid w:val="00DA3A25"/>
    <w:rsid w:val="00F640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3EB96-E816-4792-9EB3-03AEC48C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9C1"/>
    <w:pPr>
      <w:spacing w:after="0" w:line="240" w:lineRule="auto"/>
    </w:pPr>
    <w:rPr>
      <w:rFonts w:ascii="Calibri" w:hAnsi="Calibri" w:cs="Calibri"/>
    </w:rPr>
  </w:style>
  <w:style w:type="paragraph" w:styleId="Heading1">
    <w:name w:val="heading 1"/>
    <w:basedOn w:val="Normal"/>
    <w:next w:val="Normal"/>
    <w:link w:val="Heading1Char"/>
    <w:uiPriority w:val="9"/>
    <w:qFormat/>
    <w:rsid w:val="00DA3A25"/>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DA3A25"/>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11E"/>
    <w:pPr>
      <w:ind w:left="720"/>
    </w:pPr>
  </w:style>
  <w:style w:type="paragraph" w:customStyle="1" w:styleId="Body">
    <w:name w:val="Body"/>
    <w:basedOn w:val="Normal"/>
    <w:rsid w:val="000C7E3A"/>
    <w:rPr>
      <w:rFonts w:ascii="Helvetica" w:hAnsi="Helvetica" w:cs="Times New Roman"/>
      <w:color w:val="000000"/>
      <w:lang w:eastAsia="ja-JP"/>
    </w:rPr>
  </w:style>
  <w:style w:type="numbering" w:customStyle="1" w:styleId="Numbered">
    <w:name w:val="Numbered"/>
    <w:rsid w:val="000C7E3A"/>
    <w:pPr>
      <w:numPr>
        <w:numId w:val="3"/>
      </w:numPr>
    </w:pPr>
  </w:style>
  <w:style w:type="character" w:customStyle="1" w:styleId="Heading1Char">
    <w:name w:val="Heading 1 Char"/>
    <w:basedOn w:val="DefaultParagraphFont"/>
    <w:link w:val="Heading1"/>
    <w:uiPriority w:val="9"/>
    <w:rsid w:val="00DA3A2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DA3A25"/>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396555">
      <w:bodyDiv w:val="1"/>
      <w:marLeft w:val="0"/>
      <w:marRight w:val="0"/>
      <w:marTop w:val="0"/>
      <w:marBottom w:val="0"/>
      <w:divBdr>
        <w:top w:val="none" w:sz="0" w:space="0" w:color="auto"/>
        <w:left w:val="none" w:sz="0" w:space="0" w:color="auto"/>
        <w:bottom w:val="none" w:sz="0" w:space="0" w:color="auto"/>
        <w:right w:val="none" w:sz="0" w:space="0" w:color="auto"/>
      </w:divBdr>
    </w:div>
    <w:div w:id="975454934">
      <w:bodyDiv w:val="1"/>
      <w:marLeft w:val="0"/>
      <w:marRight w:val="0"/>
      <w:marTop w:val="0"/>
      <w:marBottom w:val="0"/>
      <w:divBdr>
        <w:top w:val="none" w:sz="0" w:space="0" w:color="auto"/>
        <w:left w:val="none" w:sz="0" w:space="0" w:color="auto"/>
        <w:bottom w:val="none" w:sz="0" w:space="0" w:color="auto"/>
        <w:right w:val="none" w:sz="0" w:space="0" w:color="auto"/>
      </w:divBdr>
    </w:div>
    <w:div w:id="1112440487">
      <w:bodyDiv w:val="1"/>
      <w:marLeft w:val="0"/>
      <w:marRight w:val="0"/>
      <w:marTop w:val="0"/>
      <w:marBottom w:val="0"/>
      <w:divBdr>
        <w:top w:val="none" w:sz="0" w:space="0" w:color="auto"/>
        <w:left w:val="none" w:sz="0" w:space="0" w:color="auto"/>
        <w:bottom w:val="none" w:sz="0" w:space="0" w:color="auto"/>
        <w:right w:val="none" w:sz="0" w:space="0" w:color="auto"/>
      </w:divBdr>
    </w:div>
    <w:div w:id="1289509738">
      <w:bodyDiv w:val="1"/>
      <w:marLeft w:val="0"/>
      <w:marRight w:val="0"/>
      <w:marTop w:val="0"/>
      <w:marBottom w:val="0"/>
      <w:divBdr>
        <w:top w:val="none" w:sz="0" w:space="0" w:color="auto"/>
        <w:left w:val="none" w:sz="0" w:space="0" w:color="auto"/>
        <w:bottom w:val="none" w:sz="0" w:space="0" w:color="auto"/>
        <w:right w:val="none" w:sz="0" w:space="0" w:color="auto"/>
      </w:divBdr>
    </w:div>
    <w:div w:id="1325084616">
      <w:bodyDiv w:val="1"/>
      <w:marLeft w:val="0"/>
      <w:marRight w:val="0"/>
      <w:marTop w:val="0"/>
      <w:marBottom w:val="0"/>
      <w:divBdr>
        <w:top w:val="none" w:sz="0" w:space="0" w:color="auto"/>
        <w:left w:val="none" w:sz="0" w:space="0" w:color="auto"/>
        <w:bottom w:val="none" w:sz="0" w:space="0" w:color="auto"/>
        <w:right w:val="none" w:sz="0" w:space="0" w:color="auto"/>
      </w:divBdr>
    </w:div>
    <w:div w:id="1622567388">
      <w:bodyDiv w:val="1"/>
      <w:marLeft w:val="0"/>
      <w:marRight w:val="0"/>
      <w:marTop w:val="0"/>
      <w:marBottom w:val="0"/>
      <w:divBdr>
        <w:top w:val="none" w:sz="0" w:space="0" w:color="auto"/>
        <w:left w:val="none" w:sz="0" w:space="0" w:color="auto"/>
        <w:bottom w:val="none" w:sz="0" w:space="0" w:color="auto"/>
        <w:right w:val="none" w:sz="0" w:space="0" w:color="auto"/>
      </w:divBdr>
    </w:div>
    <w:div w:id="179262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Ken</dc:creator>
  <cp:keywords/>
  <dc:description/>
  <cp:lastModifiedBy>Holloway, Thomas C.  (Tom)</cp:lastModifiedBy>
  <cp:revision>2</cp:revision>
  <dcterms:created xsi:type="dcterms:W3CDTF">2014-11-21T15:41:00Z</dcterms:created>
  <dcterms:modified xsi:type="dcterms:W3CDTF">2014-11-21T15:41:00Z</dcterms:modified>
</cp:coreProperties>
</file>